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131" w:rsidRPr="001C1131" w:rsidTr="001C1131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131" w:rsidRPr="001C1131" w:rsidRDefault="001C1131" w:rsidP="006344A8">
            <w:pPr>
              <w:spacing w:after="0" w:line="21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5A4705"/>
                <w:kern w:val="36"/>
                <w:sz w:val="27"/>
                <w:szCs w:val="27"/>
                <w:lang w:eastAsia="hr-HR"/>
              </w:rPr>
            </w:pPr>
            <w:r w:rsidRPr="001C1131">
              <w:rPr>
                <w:rFonts w:ascii="Arial" w:eastAsia="Times New Roman" w:hAnsi="Arial" w:cs="Arial"/>
                <w:b/>
                <w:bCs/>
                <w:color w:val="5A4705"/>
                <w:kern w:val="36"/>
                <w:sz w:val="27"/>
                <w:szCs w:val="27"/>
                <w:lang w:eastAsia="hr-HR"/>
              </w:rPr>
              <w:t xml:space="preserve">Otvoreni javni poziv za izdavanje suglasnosti za provođenje Programa osposobljavanja </w:t>
            </w:r>
            <w:r w:rsidR="006344A8">
              <w:rPr>
                <w:rFonts w:ascii="Arial" w:eastAsia="Times New Roman" w:hAnsi="Arial" w:cs="Arial"/>
                <w:b/>
                <w:bCs/>
                <w:color w:val="5A4705"/>
                <w:kern w:val="36"/>
                <w:sz w:val="27"/>
                <w:szCs w:val="27"/>
                <w:lang w:eastAsia="hr-HR"/>
              </w:rPr>
              <w:t>ovlaštenih osoba za provođenje energetskog pregleda velikih poduzeća</w:t>
            </w:r>
          </w:p>
        </w:tc>
      </w:tr>
      <w:tr w:rsidR="001C1131" w:rsidRPr="001C1131" w:rsidTr="001C1131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44F18" w:rsidRPr="00A03852" w:rsidRDefault="001C1131" w:rsidP="001C1131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D11F99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gospodarstva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objavljuje otvoreni javni poziv </w:t>
            </w:r>
            <w:r w:rsidR="00EA481A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sveučilištima,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veleučilištima, </w:t>
            </w:r>
            <w:r w:rsidR="00444F18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visokim školama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444F18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znanstvenim institucijama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podnošenje zahtjeva za davanje suglasnosti za pro</w:t>
            </w:r>
            <w:r w:rsidR="00D11F99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vođenje Programa osposobljavanja </w:t>
            </w:r>
            <w:r w:rsidR="006344A8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ovlaštenih osoba za provođenje energetskih pregleda velikih poduzeća</w:t>
            </w:r>
            <w:r w:rsidR="00D11F99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44F18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44F18" w:rsidRPr="00A03852">
              <w:rPr>
                <w:rFonts w:ascii="Times New Roman" w:hAnsi="Times New Roman"/>
                <w:sz w:val="24"/>
                <w:szCs w:val="24"/>
              </w:rPr>
              <w:t>Program osposobljavanja provodi se sukladno Programu izobrazbe sadržanom u Prilogu 1. Pravilnika o energetskom pregledu za velika poduzeća (Narodne novine, br. 123/15)</w:t>
            </w:r>
            <w:r w:rsidR="00302EC7" w:rsidRPr="00A03852">
              <w:rPr>
                <w:rFonts w:ascii="Times New Roman" w:hAnsi="Times New Roman" w:cs="Times New Roman"/>
                <w:sz w:val="24"/>
                <w:szCs w:val="24"/>
              </w:rPr>
              <w:t xml:space="preserve"> (u daljnjem tekstu: Pravilnik).</w:t>
            </w:r>
            <w:r w:rsidR="00D11F99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C1131" w:rsidRPr="00A03852" w:rsidRDefault="001C1131" w:rsidP="001C1131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odredbi Zakona o energetskoj učinkovito</w:t>
            </w:r>
            <w:r w:rsidR="00CE4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 (Narodne novine, broj 127/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14) donesen je Pravilnik kojim se utvrđuju uvjeti i mjerila za </w:t>
            </w:r>
            <w:r w:rsidR="00D11F99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energetski pregled velikih poduzeća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sadržaj i način provođenja Programa izobrazbe, </w:t>
            </w:r>
            <w:r w:rsidR="00302EC7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uvjeti za dobivanje suglasnosti za provođenje Programa osposobljavanja,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Nositelja Programa osposobljavanja, nadzor nad radom Nositelja Programa osposobljavanja i drugo.</w:t>
            </w:r>
          </w:p>
          <w:p w:rsidR="001C1131" w:rsidRPr="00A03852" w:rsidRDefault="001C1131" w:rsidP="001C1131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osposobljavanja </w:t>
            </w:r>
            <w:r w:rsidR="00BE0C10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ovlaštenih osoba za provođenje energetsk</w:t>
            </w:r>
            <w:r w:rsidR="00302EC7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 pregleda velikih poduzeća provode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pravne osobe (Nositelji programa osposobljavanja) koje imaju suglasnost Ministarstva </w:t>
            </w:r>
            <w:r w:rsidR="00BE0C10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gospodarstva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provođenje Programa osposobljavanja.</w:t>
            </w:r>
          </w:p>
          <w:p w:rsidR="001C1131" w:rsidRPr="00A03852" w:rsidRDefault="001C1131" w:rsidP="001C1131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Suglasnost za provođenje Programa osposobljavanja m</w:t>
            </w:r>
            <w:bookmarkStart w:id="0" w:name="_GoBack"/>
            <w:bookmarkEnd w:id="0"/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 dobiti podnositelj zahtjeva, pravna osoba, koja:</w:t>
            </w:r>
          </w:p>
          <w:p w:rsidR="00907C96" w:rsidRPr="00A03852" w:rsidRDefault="00907C96" w:rsidP="00907C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52">
              <w:rPr>
                <w:rFonts w:ascii="Times New Roman" w:hAnsi="Times New Roman"/>
                <w:sz w:val="24"/>
                <w:szCs w:val="24"/>
              </w:rPr>
              <w:t xml:space="preserve">zapošljava ili na drugi način osigurava stručne osobe koje će voditi osposobljavanje i provjeru znanja osoba ovlaštenih za provođenje energetskih pregleda velikih poduzeća, </w:t>
            </w:r>
          </w:p>
          <w:p w:rsidR="00907C96" w:rsidRPr="00A03852" w:rsidRDefault="00907C96" w:rsidP="00907C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52">
              <w:rPr>
                <w:rFonts w:ascii="Times New Roman" w:hAnsi="Times New Roman"/>
                <w:sz w:val="24"/>
                <w:szCs w:val="24"/>
              </w:rPr>
              <w:t>raspolaže opremljenim prostorom za provođenje Programa osposobljavanja,</w:t>
            </w:r>
          </w:p>
          <w:p w:rsidR="00907C96" w:rsidRPr="00A03852" w:rsidRDefault="00907C96" w:rsidP="00907C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52">
              <w:rPr>
                <w:rFonts w:ascii="Times New Roman" w:hAnsi="Times New Roman"/>
                <w:sz w:val="24"/>
                <w:szCs w:val="24"/>
              </w:rPr>
              <w:t>zapošljava potrebnu administraciju za vođenje evidencija i drugih administrativnih poslova.</w:t>
            </w:r>
          </w:p>
          <w:p w:rsidR="00907C96" w:rsidRPr="00A03852" w:rsidRDefault="00907C96" w:rsidP="00907C96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1C1131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izdavanje suglasnosti za provođenje Programa osposobljavanja podnosi se Ministarstvo gospodarstva, </w:t>
            </w:r>
            <w:r w:rsidR="00CE4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C1131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zahtjevu se prilaže slijedeća dokumentacija:</w:t>
            </w:r>
          </w:p>
          <w:p w:rsidR="001C1131" w:rsidRPr="00A03852" w:rsidRDefault="001C1131" w:rsidP="00907C9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preslike diploma stručnih osoba koje će provoditi Program 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osposobljavanja,</w:t>
            </w:r>
          </w:p>
          <w:p w:rsidR="001C1131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životopisi stručnih osoba koje će provoditi Program 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osposobljavanja,</w:t>
            </w:r>
          </w:p>
          <w:p w:rsidR="00907C96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detaljno razrađeni Program 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osposobljavanja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Prilogu 1. Pravilnika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C1131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i način provođenja provjere znanja polaznika Programa osposobljavanja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C1131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vlasništvu, najmu ili pravu korištenja potrebnog prostora za provođenje Programa osposobljavanja</w:t>
            </w:r>
            <w:r w:rsidR="00CE4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07C96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javnobilježnički ovjer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ovljenu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izjav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07C96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stalno zaposlenoj administrativnoj osobi i pojedinim predavačima na Programu osposobljavanja,</w:t>
            </w:r>
          </w:p>
          <w:p w:rsidR="00907C96" w:rsidRPr="00A03852" w:rsidRDefault="00907C96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javnobilježnički ovjerovljenu izjavu</w:t>
            </w:r>
            <w:r w:rsidR="00302EC7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 se protiv pravne osobe i odgovorne osobe u pravnoj osobi ne vodi kazneni postupak zbog kaznenog djela koje se goni po službenoj dužnosti, te da nije izrečena pravomoćna osuđujuća presuda za jedno od kaznenih djela iz članka 11. </w:t>
            </w:r>
            <w:r w:rsidR="00CE4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točke 5. </w:t>
            </w:r>
            <w:r w:rsidR="00302EC7"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Pravilnika,</w:t>
            </w:r>
          </w:p>
          <w:p w:rsidR="00302EC7" w:rsidRPr="00A03852" w:rsidRDefault="00302EC7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o poslovno-tehničkoj suradnji predavača na Programu osposobljavanja koji nisu zaposleni kod Nositelja Programa osposobljavanja,</w:t>
            </w:r>
          </w:p>
          <w:p w:rsidR="00302EC7" w:rsidRPr="00A03852" w:rsidRDefault="00302EC7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zahtjev podnosi zajedno više pravnih osoba, dužni su, uz navedenu dokum</w:t>
            </w:r>
            <w:r w:rsidR="00136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entaciju, priložiti odgovarajući</w:t>
            </w: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ugovor o suradnji,</w:t>
            </w:r>
          </w:p>
          <w:p w:rsidR="001C1131" w:rsidRPr="00A03852" w:rsidRDefault="001C1131" w:rsidP="001C1131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upravna pristojba u državnim </w:t>
            </w:r>
            <w:proofErr w:type="spellStart"/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biljezima</w:t>
            </w:r>
            <w:proofErr w:type="spellEnd"/>
            <w:r w:rsidRPr="00A038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(70 kn), zalijepljena na zahtjev.</w:t>
            </w:r>
          </w:p>
          <w:p w:rsidR="001C1131" w:rsidRPr="006344A8" w:rsidRDefault="001C1131" w:rsidP="001C1131">
            <w:pPr>
              <w:spacing w:after="225" w:line="22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6344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 </w:t>
            </w:r>
          </w:p>
          <w:p w:rsidR="001C1131" w:rsidRPr="006344A8" w:rsidRDefault="001C1131" w:rsidP="008E29C5">
            <w:pPr>
              <w:pBdr>
                <w:top w:val="single" w:sz="6" w:space="2" w:color="DDDDDD"/>
                <w:left w:val="single" w:sz="6" w:space="4" w:color="DDDDDD"/>
                <w:bottom w:val="single" w:sz="6" w:space="2" w:color="DDDDDD"/>
                <w:right w:val="single" w:sz="6" w:space="2" w:color="DDDDDD"/>
              </w:pBdr>
              <w:shd w:val="clear" w:color="auto" w:fill="EEEEEE"/>
              <w:spacing w:before="100" w:beforeAutospacing="1" w:after="75" w:line="225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hr-HR"/>
              </w:rPr>
            </w:pPr>
            <w:r w:rsidRPr="006344A8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hr-HR"/>
              </w:rPr>
              <w:t>Za sva dodatna pitanja</w:t>
            </w:r>
            <w:r w:rsidRPr="006344A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hr-HR"/>
              </w:rPr>
              <w:t xml:space="preserve"> stojimo na raspolaganju putem e-pošte: </w:t>
            </w:r>
            <w:hyperlink r:id="rId6" w:history="1">
              <w:r w:rsidR="008E29C5" w:rsidRPr="006344A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>energetika@mingo.hr</w:t>
              </w:r>
            </w:hyperlink>
            <w:r w:rsidRPr="006344A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hr-HR"/>
              </w:rPr>
              <w:t xml:space="preserve"> ili na tel. broj: </w:t>
            </w:r>
            <w:r w:rsidR="008E29C5" w:rsidRPr="006344A8">
              <w:rPr>
                <w:rFonts w:ascii="Times New Roman" w:hAnsi="Times New Roman" w:cs="Times New Roman"/>
                <w:sz w:val="18"/>
                <w:szCs w:val="18"/>
              </w:rPr>
              <w:t xml:space="preserve">01/61 06 113, </w:t>
            </w:r>
            <w:proofErr w:type="spellStart"/>
            <w:r w:rsidR="008E29C5" w:rsidRPr="006344A8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 w:rsidR="008E29C5" w:rsidRPr="006344A8">
              <w:rPr>
                <w:rFonts w:ascii="Times New Roman" w:hAnsi="Times New Roman" w:cs="Times New Roman"/>
                <w:sz w:val="18"/>
                <w:szCs w:val="18"/>
              </w:rPr>
              <w:t xml:space="preserve">: 01/61 06 022 </w:t>
            </w:r>
            <w:r w:rsidRPr="006344A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hr-HR"/>
              </w:rPr>
              <w:t>svakim radnim danom od 9 -16h</w:t>
            </w:r>
          </w:p>
        </w:tc>
      </w:tr>
    </w:tbl>
    <w:p w:rsidR="00223C68" w:rsidRDefault="00223C68"/>
    <w:sectPr w:rsidR="002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75"/>
    <w:multiLevelType w:val="hybridMultilevel"/>
    <w:tmpl w:val="BD5A9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F98"/>
    <w:multiLevelType w:val="hybridMultilevel"/>
    <w:tmpl w:val="9F54E4EC"/>
    <w:lvl w:ilvl="0" w:tplc="041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3A5043B7"/>
    <w:multiLevelType w:val="multilevel"/>
    <w:tmpl w:val="11B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23CBD"/>
    <w:multiLevelType w:val="multilevel"/>
    <w:tmpl w:val="A1F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31"/>
    <w:rsid w:val="001369C9"/>
    <w:rsid w:val="001C1131"/>
    <w:rsid w:val="00223C68"/>
    <w:rsid w:val="00302EC7"/>
    <w:rsid w:val="00444F18"/>
    <w:rsid w:val="004F21E0"/>
    <w:rsid w:val="006344A8"/>
    <w:rsid w:val="008275A0"/>
    <w:rsid w:val="008E29C5"/>
    <w:rsid w:val="00907C96"/>
    <w:rsid w:val="00A03852"/>
    <w:rsid w:val="00BE0C10"/>
    <w:rsid w:val="00BE1F2E"/>
    <w:rsid w:val="00CE4E24"/>
    <w:rsid w:val="00D11F99"/>
    <w:rsid w:val="00EA481A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C96"/>
    <w:pPr>
      <w:spacing w:after="120" w:line="240" w:lineRule="auto"/>
      <w:ind w:left="720"/>
      <w:contextualSpacing/>
      <w:jc w:val="both"/>
    </w:pPr>
    <w:rPr>
      <w:rFonts w:ascii="HRHelvetica" w:eastAsia="Times New Roman" w:hAnsi="HRHelvetica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C96"/>
    <w:pPr>
      <w:spacing w:after="120" w:line="240" w:lineRule="auto"/>
      <w:ind w:left="720"/>
      <w:contextualSpacing/>
      <w:jc w:val="both"/>
    </w:pPr>
    <w:rPr>
      <w:rFonts w:ascii="HRHelvetica" w:eastAsia="Times New Roman" w:hAnsi="HRHelvetica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etika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Zmajlović</dc:creator>
  <cp:lastModifiedBy>Danijela Ban</cp:lastModifiedBy>
  <cp:revision>2</cp:revision>
  <dcterms:created xsi:type="dcterms:W3CDTF">2015-11-24T14:25:00Z</dcterms:created>
  <dcterms:modified xsi:type="dcterms:W3CDTF">2015-11-24T14:25:00Z</dcterms:modified>
</cp:coreProperties>
</file>