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3B" w:rsidRDefault="0004083B" w:rsidP="0004083B">
      <w:pPr>
        <w:tabs>
          <w:tab w:val="left" w:pos="6047"/>
        </w:tabs>
        <w:spacing w:after="0" w:line="240" w:lineRule="auto"/>
        <w:outlineLvl w:val="1"/>
        <w:rPr>
          <w:rFonts w:ascii="Times New Roman" w:eastAsia="Times New Roman" w:hAnsi="Times New Roman" w:cs="Times New Roman"/>
          <w:b/>
          <w:sz w:val="24"/>
          <w:szCs w:val="24"/>
        </w:rPr>
      </w:pPr>
      <w:r>
        <w:rPr>
          <w:noProof/>
        </w:rPr>
        <w:drawing>
          <wp:inline distT="0" distB="0" distL="0" distR="0" wp14:anchorId="37E9B33D" wp14:editId="1B8DED2D">
            <wp:extent cx="2268187" cy="66493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917" t="38487" r="34227" b="37570"/>
                    <a:stretch/>
                  </pic:blipFill>
                  <pic:spPr bwMode="auto">
                    <a:xfrm>
                      <a:off x="0" y="0"/>
                      <a:ext cx="2295482" cy="672933"/>
                    </a:xfrm>
                    <a:prstGeom prst="rect">
                      <a:avLst/>
                    </a:prstGeom>
                    <a:ln>
                      <a:noFill/>
                    </a:ln>
                    <a:extLst>
                      <a:ext uri="{53640926-AAD7-44D8-BBD7-CCE9431645EC}">
                        <a14:shadowObscured xmlns:a14="http://schemas.microsoft.com/office/drawing/2010/main"/>
                      </a:ext>
                    </a:extLst>
                  </pic:spPr>
                </pic:pic>
              </a:graphicData>
            </a:graphic>
          </wp:inline>
        </w:drawing>
      </w:r>
    </w:p>
    <w:p w:rsidR="004C53F3" w:rsidRDefault="004C53F3" w:rsidP="0004083B">
      <w:pPr>
        <w:tabs>
          <w:tab w:val="left" w:pos="6047"/>
        </w:tabs>
        <w:spacing w:after="0" w:line="240" w:lineRule="auto"/>
        <w:outlineLvl w:val="1"/>
        <w:rPr>
          <w:rFonts w:ascii="Times New Roman" w:eastAsia="Times New Roman" w:hAnsi="Times New Roman" w:cs="Times New Roman"/>
          <w:b/>
          <w:sz w:val="24"/>
          <w:szCs w:val="24"/>
        </w:rPr>
      </w:pPr>
    </w:p>
    <w:p w:rsidR="00AF1EF0" w:rsidRDefault="00AF1EF0" w:rsidP="0004083B">
      <w:pPr>
        <w:tabs>
          <w:tab w:val="left" w:pos="6047"/>
        </w:tabs>
        <w:spacing w:after="0" w:line="240" w:lineRule="auto"/>
        <w:outlineLvl w:val="1"/>
        <w:rPr>
          <w:rFonts w:ascii="Times New Roman" w:eastAsia="Times New Roman" w:hAnsi="Times New Roman" w:cs="Times New Roman"/>
          <w:b/>
          <w:sz w:val="24"/>
          <w:szCs w:val="24"/>
        </w:rPr>
      </w:pPr>
    </w:p>
    <w:p w:rsidR="0004083B" w:rsidRPr="00F8094A" w:rsidRDefault="0004083B" w:rsidP="0004083B">
      <w:pPr>
        <w:jc w:val="center"/>
        <w:rPr>
          <w:rFonts w:ascii="Times New Roman" w:hAnsi="Times New Roman" w:cs="Times New Roman"/>
          <w:b/>
          <w:sz w:val="24"/>
          <w:szCs w:val="24"/>
        </w:rPr>
      </w:pPr>
      <w:r w:rsidRPr="00F8094A">
        <w:rPr>
          <w:rFonts w:ascii="Times New Roman" w:eastAsia="Times New Roman" w:hAnsi="Times New Roman" w:cs="Times New Roman"/>
          <w:b/>
          <w:sz w:val="24"/>
          <w:szCs w:val="24"/>
        </w:rPr>
        <w:t xml:space="preserve">Sažetak </w:t>
      </w:r>
      <w:r w:rsidRPr="00F8094A">
        <w:rPr>
          <w:rFonts w:ascii="Times New Roman" w:hAnsi="Times New Roman" w:cs="Times New Roman"/>
          <w:b/>
          <w:sz w:val="24"/>
          <w:szCs w:val="24"/>
        </w:rPr>
        <w:t>Trajnog otvorenog poziva na dostavu projektnih prijedloga za dodjelu bespovratnih sredstava za</w:t>
      </w:r>
      <w:r w:rsidRPr="00F8094A">
        <w:rPr>
          <w:rFonts w:ascii="Times New Roman" w:hAnsi="Times New Roman" w:cs="Times New Roman"/>
          <w:sz w:val="24"/>
          <w:szCs w:val="24"/>
        </w:rPr>
        <w:br/>
      </w:r>
      <w:r w:rsidRPr="00F8094A">
        <w:rPr>
          <w:rFonts w:ascii="Times New Roman" w:hAnsi="Times New Roman" w:cs="Times New Roman"/>
          <w:b/>
          <w:i/>
          <w:sz w:val="24"/>
          <w:szCs w:val="24"/>
        </w:rPr>
        <w:t>„Povećanje razvoja novih proizvoda i usluga koji proizlaze iz aktivnosti istraživanja i razvoja“</w:t>
      </w:r>
    </w:p>
    <w:p w:rsidR="0004083B" w:rsidRPr="00F8094A" w:rsidRDefault="0004083B" w:rsidP="0004083B">
      <w:pPr>
        <w:tabs>
          <w:tab w:val="left" w:pos="6047"/>
        </w:tabs>
        <w:spacing w:after="0" w:line="240" w:lineRule="auto"/>
        <w:jc w:val="center"/>
        <w:outlineLvl w:val="1"/>
        <w:rPr>
          <w:rFonts w:ascii="Times New Roman" w:hAnsi="Times New Roman" w:cs="Times New Roman"/>
          <w:b/>
          <w:sz w:val="24"/>
          <w:szCs w:val="24"/>
        </w:rPr>
      </w:pPr>
    </w:p>
    <w:p w:rsidR="0004083B" w:rsidRPr="00F8094A" w:rsidRDefault="0004083B" w:rsidP="0004083B">
      <w:pPr>
        <w:tabs>
          <w:tab w:val="left" w:pos="6047"/>
        </w:tabs>
        <w:spacing w:after="0" w:line="240" w:lineRule="auto"/>
        <w:jc w:val="center"/>
        <w:outlineLvl w:val="1"/>
        <w:rPr>
          <w:rFonts w:ascii="Times New Roman" w:eastAsia="Times New Roman" w:hAnsi="Times New Roman" w:cs="Times New Roman"/>
          <w:bCs/>
          <w:sz w:val="24"/>
          <w:szCs w:val="24"/>
          <w:lang w:eastAsia="ar-SA"/>
        </w:rPr>
      </w:pPr>
    </w:p>
    <w:p w:rsidR="0004083B" w:rsidRPr="00F8094A" w:rsidRDefault="0004083B" w:rsidP="00AF1EF0">
      <w:pPr>
        <w:jc w:val="center"/>
        <w:rPr>
          <w:rFonts w:ascii="Times New Roman" w:eastAsiaTheme="minorHAnsi" w:hAnsi="Times New Roman" w:cs="Times New Roman"/>
          <w:sz w:val="24"/>
          <w:szCs w:val="24"/>
          <w:lang w:eastAsia="en-US"/>
        </w:rPr>
      </w:pPr>
      <w:r w:rsidRPr="00F8094A">
        <w:rPr>
          <w:rFonts w:ascii="Times New Roman" w:eastAsia="Times New Roman" w:hAnsi="Times New Roman" w:cs="Times New Roman"/>
          <w:bCs/>
          <w:sz w:val="24"/>
          <w:szCs w:val="24"/>
          <w:lang w:eastAsia="ar-SA"/>
        </w:rPr>
        <w:t>Referentni broj poziva</w:t>
      </w:r>
      <w:r w:rsidR="00AF1EF0" w:rsidRPr="00F8094A">
        <w:rPr>
          <w:rFonts w:ascii="Times New Roman" w:eastAsia="Times New Roman" w:hAnsi="Times New Roman" w:cs="Times New Roman"/>
          <w:bCs/>
          <w:sz w:val="24"/>
          <w:szCs w:val="24"/>
          <w:lang w:eastAsia="ar-SA"/>
        </w:rPr>
        <w:t xml:space="preserve"> </w:t>
      </w:r>
      <w:r w:rsidR="00AF1EF0" w:rsidRPr="00F8094A">
        <w:rPr>
          <w:rFonts w:ascii="Times New Roman" w:eastAsiaTheme="minorHAnsi" w:hAnsi="Times New Roman" w:cs="Times New Roman"/>
          <w:sz w:val="24"/>
          <w:szCs w:val="24"/>
          <w:lang w:eastAsia="en-US"/>
        </w:rPr>
        <w:t>&lt;..&gt;</w:t>
      </w:r>
    </w:p>
    <w:p w:rsidR="0004083B" w:rsidRPr="00F8094A" w:rsidRDefault="0004083B" w:rsidP="0004083B">
      <w:pPr>
        <w:tabs>
          <w:tab w:val="center" w:pos="4320"/>
          <w:tab w:val="right" w:pos="8640"/>
        </w:tabs>
        <w:spacing w:after="0" w:line="240" w:lineRule="auto"/>
        <w:jc w:val="center"/>
        <w:rPr>
          <w:rFonts w:ascii="Times New Roman" w:eastAsia="Times New Roman" w:hAnsi="Times New Roman" w:cs="Times New Roman"/>
          <w:bCs/>
          <w:sz w:val="24"/>
          <w:szCs w:val="24"/>
          <w:lang w:val="en-US" w:eastAsia="ar-SA"/>
        </w:rPr>
      </w:pPr>
    </w:p>
    <w:p w:rsidR="0004083B" w:rsidRPr="00F8094A" w:rsidRDefault="0004083B" w:rsidP="0004083B">
      <w:pPr>
        <w:tabs>
          <w:tab w:val="center" w:pos="4320"/>
          <w:tab w:val="right" w:pos="8640"/>
        </w:tabs>
        <w:spacing w:after="0" w:line="240" w:lineRule="auto"/>
        <w:jc w:val="both"/>
        <w:rPr>
          <w:rFonts w:ascii="Times New Roman" w:eastAsia="Times New Roman" w:hAnsi="Times New Roman" w:cs="Times New Roman"/>
          <w:bCs/>
          <w:sz w:val="24"/>
          <w:szCs w:val="24"/>
          <w:lang w:val="en-US" w:eastAsia="ar-SA"/>
        </w:rPr>
      </w:pPr>
    </w:p>
    <w:p w:rsidR="0004083B" w:rsidRPr="00F8094A" w:rsidRDefault="0004083B" w:rsidP="0004083B">
      <w:pPr>
        <w:pStyle w:val="ListParagraph"/>
        <w:numPr>
          <w:ilvl w:val="0"/>
          <w:numId w:val="1"/>
        </w:numPr>
        <w:tabs>
          <w:tab w:val="center" w:pos="4320"/>
          <w:tab w:val="right" w:pos="8640"/>
        </w:tabs>
        <w:spacing w:after="0" w:line="360" w:lineRule="auto"/>
        <w:jc w:val="both"/>
        <w:rPr>
          <w:rStyle w:val="hps"/>
          <w:rFonts w:ascii="Times New Roman" w:eastAsia="Times New Roman" w:hAnsi="Times New Roman" w:cs="Times New Roman"/>
          <w:b/>
          <w:bCs/>
          <w:sz w:val="24"/>
          <w:szCs w:val="24"/>
          <w:lang w:val="en-US" w:eastAsia="ar-SA"/>
        </w:rPr>
      </w:pPr>
      <w:r w:rsidRPr="00F8094A">
        <w:rPr>
          <w:rStyle w:val="hps"/>
          <w:rFonts w:ascii="Times New Roman" w:hAnsi="Times New Roman" w:cs="Times New Roman"/>
          <w:b/>
          <w:sz w:val="24"/>
          <w:szCs w:val="24"/>
        </w:rPr>
        <w:t>Cilj poziva</w:t>
      </w:r>
    </w:p>
    <w:p w:rsidR="0004083B" w:rsidRPr="00F8094A" w:rsidRDefault="0004083B" w:rsidP="0004083B">
      <w:pPr>
        <w:pStyle w:val="ListParagraph"/>
        <w:tabs>
          <w:tab w:val="center" w:pos="4320"/>
          <w:tab w:val="right" w:pos="8640"/>
        </w:tabs>
        <w:spacing w:after="0" w:line="360" w:lineRule="auto"/>
        <w:jc w:val="both"/>
        <w:rPr>
          <w:rStyle w:val="hps"/>
          <w:rFonts w:ascii="Times New Roman" w:eastAsia="Times New Roman" w:hAnsi="Times New Roman" w:cs="Times New Roman"/>
          <w:b/>
          <w:bCs/>
          <w:sz w:val="24"/>
          <w:szCs w:val="24"/>
          <w:lang w:val="en-US" w:eastAsia="ar-SA"/>
        </w:rPr>
      </w:pPr>
    </w:p>
    <w:p w:rsidR="0004083B" w:rsidRPr="009A75A2" w:rsidRDefault="00CA7EFE" w:rsidP="0004083B">
      <w:pPr>
        <w:pStyle w:val="CommentText"/>
        <w:spacing w:after="0" w:line="360" w:lineRule="auto"/>
        <w:jc w:val="both"/>
        <w:rPr>
          <w:rFonts w:ascii="Times New Roman" w:hAnsi="Times New Roman" w:cs="Times New Roman"/>
          <w:sz w:val="24"/>
          <w:szCs w:val="24"/>
        </w:rPr>
      </w:pPr>
      <w:r w:rsidRPr="00F8094A">
        <w:rPr>
          <w:rFonts w:ascii="Times New Roman" w:hAnsi="Times New Roman" w:cs="Times New Roman"/>
          <w:i/>
          <w:sz w:val="24"/>
          <w:szCs w:val="24"/>
        </w:rPr>
        <w:t>Opći c</w:t>
      </w:r>
      <w:r w:rsidR="0004083B" w:rsidRPr="00F8094A">
        <w:rPr>
          <w:rFonts w:ascii="Times New Roman" w:hAnsi="Times New Roman" w:cs="Times New Roman"/>
          <w:i/>
          <w:sz w:val="24"/>
          <w:szCs w:val="24"/>
        </w:rPr>
        <w:t>ilj</w:t>
      </w:r>
      <w:r w:rsidRPr="00F8094A">
        <w:rPr>
          <w:rFonts w:ascii="Times New Roman" w:hAnsi="Times New Roman" w:cs="Times New Roman"/>
          <w:sz w:val="24"/>
          <w:szCs w:val="24"/>
        </w:rPr>
        <w:t>: R</w:t>
      </w:r>
      <w:r w:rsidR="0004083B" w:rsidRPr="00F8094A">
        <w:rPr>
          <w:rFonts w:ascii="Times New Roman" w:hAnsi="Times New Roman" w:cs="Times New Roman"/>
          <w:sz w:val="24"/>
          <w:szCs w:val="24"/>
        </w:rPr>
        <w:t>azvoj novih proizvoda (dobara i usluga), tehnologija i poslovnih procesa kroz povećanje privatnih ulaganja u istraživanje, razvoj i inovacije, te jačanje kapaciteta poduzeća za istraživanje, razvoj i inovacije, kroz poboljšanje nj</w:t>
      </w:r>
      <w:r w:rsidR="0004083B" w:rsidRPr="0065353D">
        <w:rPr>
          <w:rFonts w:ascii="Times New Roman" w:hAnsi="Times New Roman" w:cs="Times New Roman"/>
          <w:sz w:val="24"/>
          <w:szCs w:val="24"/>
        </w:rPr>
        <w:t xml:space="preserve">ihove suradnje s institucijama za istraživanje i razvoj. </w:t>
      </w:r>
    </w:p>
    <w:p w:rsidR="00CA7EFE" w:rsidRPr="009A75A2" w:rsidRDefault="00CA7EFE" w:rsidP="0004083B">
      <w:pPr>
        <w:pStyle w:val="CommentText"/>
        <w:spacing w:after="0" w:line="360" w:lineRule="auto"/>
        <w:jc w:val="both"/>
        <w:rPr>
          <w:rFonts w:ascii="Times New Roman" w:hAnsi="Times New Roman" w:cs="Times New Roman"/>
          <w:sz w:val="24"/>
          <w:szCs w:val="24"/>
        </w:rPr>
      </w:pPr>
    </w:p>
    <w:p w:rsidR="0004083B" w:rsidRPr="00F8094A" w:rsidRDefault="0004083B" w:rsidP="0004083B">
      <w:pPr>
        <w:spacing w:after="0" w:line="360" w:lineRule="auto"/>
        <w:rPr>
          <w:rFonts w:ascii="Times New Roman" w:hAnsi="Times New Roman" w:cs="Times New Roman"/>
          <w:sz w:val="24"/>
          <w:szCs w:val="24"/>
        </w:rPr>
      </w:pPr>
      <w:r w:rsidRPr="004C53F3">
        <w:rPr>
          <w:rFonts w:ascii="Times New Roman" w:hAnsi="Times New Roman" w:cs="Times New Roman"/>
          <w:i/>
          <w:sz w:val="24"/>
          <w:szCs w:val="24"/>
        </w:rPr>
        <w:t xml:space="preserve">Specifični cilj: </w:t>
      </w:r>
      <w:r w:rsidRPr="004C53F3">
        <w:rPr>
          <w:rFonts w:ascii="Times New Roman" w:hAnsi="Times New Roman" w:cs="Times New Roman"/>
          <w:sz w:val="24"/>
          <w:szCs w:val="24"/>
        </w:rPr>
        <w:t>Novi proizvodi i usluge kao rezultat djelatnosti istraživanja, razvoja i inovacija (IRI).</w:t>
      </w:r>
    </w:p>
    <w:p w:rsidR="00AF1EF0" w:rsidRPr="00F8094A" w:rsidRDefault="00AF1EF0" w:rsidP="0004083B">
      <w:pPr>
        <w:spacing w:after="0" w:line="360" w:lineRule="auto"/>
        <w:jc w:val="both"/>
        <w:rPr>
          <w:rFonts w:ascii="Times New Roman" w:eastAsiaTheme="minorHAnsi" w:hAnsi="Times New Roman" w:cs="Times New Roman"/>
          <w:i/>
          <w:color w:val="000000" w:themeColor="text1"/>
          <w:sz w:val="24"/>
          <w:szCs w:val="24"/>
          <w:lang w:eastAsia="en-US"/>
        </w:rPr>
      </w:pPr>
    </w:p>
    <w:p w:rsidR="0004083B" w:rsidRPr="00F8094A" w:rsidRDefault="0004083B" w:rsidP="0004083B">
      <w:pPr>
        <w:spacing w:after="0" w:line="360" w:lineRule="auto"/>
        <w:jc w:val="both"/>
        <w:rPr>
          <w:rFonts w:ascii="Times New Roman" w:hAnsi="Times New Roman" w:cs="Times New Roman"/>
          <w:sz w:val="24"/>
          <w:szCs w:val="24"/>
        </w:rPr>
      </w:pPr>
      <w:r w:rsidRPr="00F8094A">
        <w:rPr>
          <w:rFonts w:ascii="Times New Roman" w:hAnsi="Times New Roman" w:cs="Times New Roman"/>
          <w:sz w:val="24"/>
          <w:szCs w:val="24"/>
        </w:rPr>
        <w:t xml:space="preserve">Temeljem ovog Poziva dodjeljivat će se državne potpore poduzetnicima koji provode projekte istraživanja i razvoja unutar jednog ili više identificiranih prioritetnih tematskih i pod tematskih područja Strategije pametne specijalizacije RH kroz: </w:t>
      </w:r>
    </w:p>
    <w:p w:rsidR="0004083B" w:rsidRPr="00F8094A" w:rsidRDefault="0004083B" w:rsidP="0004083B">
      <w:pPr>
        <w:numPr>
          <w:ilvl w:val="0"/>
          <w:numId w:val="16"/>
        </w:numPr>
        <w:spacing w:after="0" w:line="360" w:lineRule="auto"/>
        <w:contextualSpacing/>
        <w:rPr>
          <w:rFonts w:ascii="Times New Roman" w:hAnsi="Times New Roman" w:cs="Times New Roman"/>
          <w:sz w:val="24"/>
          <w:szCs w:val="24"/>
        </w:rPr>
      </w:pPr>
      <w:r w:rsidRPr="00F8094A">
        <w:rPr>
          <w:rFonts w:ascii="Times New Roman" w:hAnsi="Times New Roman" w:cs="Times New Roman"/>
          <w:sz w:val="24"/>
          <w:szCs w:val="24"/>
        </w:rPr>
        <w:t>potpore za projekte istraživanja i razvoja temeljem članka 25. Uredbe 651/2014;</w:t>
      </w:r>
    </w:p>
    <w:p w:rsidR="0004083B" w:rsidRPr="00F8094A" w:rsidRDefault="0004083B" w:rsidP="0004083B">
      <w:pPr>
        <w:numPr>
          <w:ilvl w:val="0"/>
          <w:numId w:val="16"/>
        </w:numPr>
        <w:spacing w:after="0" w:line="360" w:lineRule="auto"/>
        <w:contextualSpacing/>
        <w:rPr>
          <w:rFonts w:ascii="Times New Roman" w:hAnsi="Times New Roman" w:cs="Times New Roman"/>
          <w:sz w:val="24"/>
          <w:szCs w:val="24"/>
        </w:rPr>
      </w:pPr>
      <w:r w:rsidRPr="00F8094A">
        <w:rPr>
          <w:rFonts w:ascii="Times New Roman" w:hAnsi="Times New Roman" w:cs="Times New Roman"/>
          <w:sz w:val="24"/>
          <w:szCs w:val="24"/>
        </w:rPr>
        <w:t>regionalne potpore za ulaganje temeljem članka 14. Uredbe 651/2014.</w:t>
      </w:r>
    </w:p>
    <w:p w:rsidR="0004083B" w:rsidRPr="00F8094A" w:rsidRDefault="0004083B" w:rsidP="0004083B">
      <w:pPr>
        <w:spacing w:after="0" w:line="360" w:lineRule="auto"/>
        <w:jc w:val="both"/>
        <w:rPr>
          <w:rFonts w:ascii="Times New Roman" w:eastAsiaTheme="minorHAnsi" w:hAnsi="Times New Roman" w:cs="Times New Roman"/>
          <w:color w:val="000000" w:themeColor="text1"/>
          <w:sz w:val="24"/>
          <w:szCs w:val="24"/>
          <w:lang w:eastAsia="en-US"/>
        </w:rPr>
      </w:pPr>
    </w:p>
    <w:p w:rsidR="00AF1EF0" w:rsidRPr="00F8094A" w:rsidRDefault="00AF1EF0" w:rsidP="0004083B">
      <w:pPr>
        <w:spacing w:after="0" w:line="360" w:lineRule="auto"/>
        <w:jc w:val="both"/>
        <w:rPr>
          <w:rFonts w:ascii="Times New Roman" w:eastAsiaTheme="minorHAnsi" w:hAnsi="Times New Roman" w:cs="Times New Roman"/>
          <w:color w:val="000000" w:themeColor="text1"/>
          <w:sz w:val="24"/>
          <w:szCs w:val="24"/>
          <w:lang w:eastAsia="en-US"/>
        </w:rPr>
      </w:pPr>
    </w:p>
    <w:p w:rsidR="0004083B" w:rsidRPr="00F8094A" w:rsidRDefault="0004083B" w:rsidP="0004083B">
      <w:pPr>
        <w:spacing w:after="0" w:line="360" w:lineRule="auto"/>
        <w:jc w:val="both"/>
        <w:rPr>
          <w:rFonts w:ascii="Times New Roman" w:eastAsiaTheme="minorHAnsi" w:hAnsi="Times New Roman" w:cs="Times New Roman"/>
          <w:color w:val="000000" w:themeColor="text1"/>
          <w:sz w:val="24"/>
          <w:szCs w:val="24"/>
          <w:lang w:eastAsia="en-US"/>
        </w:rPr>
      </w:pPr>
      <w:r w:rsidRPr="00F8094A">
        <w:rPr>
          <w:rFonts w:ascii="Times New Roman" w:hAnsi="Times New Roman" w:cs="Times New Roman"/>
          <w:noProof/>
          <w:sz w:val="24"/>
          <w:szCs w:val="24"/>
        </w:rPr>
        <w:drawing>
          <wp:inline distT="0" distB="0" distL="0" distR="0" wp14:anchorId="04469201" wp14:editId="225BF1A1">
            <wp:extent cx="5760720" cy="947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132" t="46903" r="16790" b="28497"/>
                    <a:stretch/>
                  </pic:blipFill>
                  <pic:spPr bwMode="auto">
                    <a:xfrm>
                      <a:off x="0" y="0"/>
                      <a:ext cx="5760720" cy="947420"/>
                    </a:xfrm>
                    <a:prstGeom prst="rect">
                      <a:avLst/>
                    </a:prstGeom>
                    <a:ln>
                      <a:noFill/>
                    </a:ln>
                    <a:extLst>
                      <a:ext uri="{53640926-AAD7-44D8-BBD7-CCE9431645EC}">
                        <a14:shadowObscured xmlns:a14="http://schemas.microsoft.com/office/drawing/2010/main"/>
                      </a:ext>
                    </a:extLst>
                  </pic:spPr>
                </pic:pic>
              </a:graphicData>
            </a:graphic>
          </wp:inline>
        </w:drawing>
      </w:r>
    </w:p>
    <w:p w:rsidR="0004083B" w:rsidRPr="00F8094A" w:rsidRDefault="0004083B" w:rsidP="0004083B">
      <w:pPr>
        <w:spacing w:after="0" w:line="360" w:lineRule="auto"/>
        <w:jc w:val="both"/>
        <w:rPr>
          <w:rFonts w:ascii="Times New Roman" w:eastAsiaTheme="minorHAnsi" w:hAnsi="Times New Roman" w:cs="Times New Roman"/>
          <w:b/>
          <w:i/>
          <w:iCs/>
          <w:color w:val="000000" w:themeColor="text1"/>
          <w:sz w:val="24"/>
          <w:szCs w:val="24"/>
          <w:lang w:eastAsia="en-US" w:bidi="hr-HR"/>
        </w:rPr>
      </w:pPr>
      <w:r w:rsidRPr="00F8094A">
        <w:rPr>
          <w:rFonts w:ascii="Times New Roman" w:eastAsiaTheme="minorHAnsi" w:hAnsi="Times New Roman" w:cs="Times New Roman"/>
          <w:b/>
          <w:i/>
          <w:iCs/>
          <w:color w:val="000000" w:themeColor="text1"/>
          <w:sz w:val="24"/>
          <w:szCs w:val="24"/>
          <w:lang w:eastAsia="en-US" w:bidi="hr-HR"/>
        </w:rPr>
        <w:t>Ovaj poziv se financira iz Europskog fonda za regionalni razvoj</w:t>
      </w:r>
    </w:p>
    <w:p w:rsidR="00AF1EF0" w:rsidRPr="00F8094A" w:rsidRDefault="00AF1EF0" w:rsidP="00AF1EF0">
      <w:pPr>
        <w:spacing w:after="0" w:line="360" w:lineRule="auto"/>
        <w:jc w:val="both"/>
        <w:rPr>
          <w:rFonts w:ascii="Times New Roman" w:eastAsiaTheme="minorHAnsi" w:hAnsi="Times New Roman" w:cs="Times New Roman"/>
          <w:b/>
          <w:sz w:val="24"/>
          <w:szCs w:val="24"/>
          <w:lang w:eastAsia="en-US"/>
        </w:rPr>
      </w:pPr>
      <w:r w:rsidRPr="00F8094A">
        <w:rPr>
          <w:rFonts w:ascii="Times New Roman" w:eastAsiaTheme="minorHAnsi" w:hAnsi="Times New Roman" w:cs="Times New Roman"/>
          <w:sz w:val="24"/>
          <w:szCs w:val="24"/>
          <w:lang w:eastAsia="en-US"/>
        </w:rPr>
        <w:lastRenderedPageBreak/>
        <w:t xml:space="preserve">Ovaj trajno otvoreni </w:t>
      </w:r>
      <w:r w:rsidRPr="00F8094A">
        <w:rPr>
          <w:rFonts w:ascii="Times New Roman" w:hAnsi="Times New Roman" w:cs="Times New Roman"/>
          <w:sz w:val="24"/>
          <w:szCs w:val="24"/>
        </w:rPr>
        <w:t xml:space="preserve">Poziv se provodi u okviru OPKK, </w:t>
      </w:r>
      <w:r w:rsidRPr="00F8094A">
        <w:rPr>
          <w:rFonts w:ascii="Times New Roman" w:hAnsi="Times New Roman" w:cs="Times New Roman"/>
          <w:b/>
          <w:bCs/>
          <w:sz w:val="24"/>
          <w:szCs w:val="24"/>
        </w:rPr>
        <w:t xml:space="preserve">Prioritetne osi 1. </w:t>
      </w:r>
      <w:r w:rsidRPr="00F8094A">
        <w:rPr>
          <w:rFonts w:ascii="Times New Roman" w:hAnsi="Times New Roman" w:cs="Times New Roman"/>
          <w:bCs/>
          <w:sz w:val="24"/>
          <w:szCs w:val="24"/>
        </w:rPr>
        <w:t>„</w:t>
      </w:r>
      <w:r w:rsidRPr="00F8094A">
        <w:rPr>
          <w:rFonts w:ascii="Times New Roman" w:hAnsi="Times New Roman" w:cs="Times New Roman"/>
          <w:sz w:val="24"/>
          <w:szCs w:val="24"/>
        </w:rPr>
        <w:t>Jačanje gospodarstva primjenom istraživanja i inovacija</w:t>
      </w:r>
      <w:r w:rsidRPr="00F8094A">
        <w:rPr>
          <w:rFonts w:ascii="Times New Roman" w:hAnsi="Times New Roman" w:cs="Times New Roman"/>
          <w:bCs/>
          <w:sz w:val="24"/>
          <w:szCs w:val="24"/>
        </w:rPr>
        <w:t>“</w:t>
      </w:r>
      <w:r w:rsidRPr="00F8094A">
        <w:rPr>
          <w:rFonts w:ascii="Times New Roman" w:hAnsi="Times New Roman" w:cs="Times New Roman"/>
          <w:b/>
          <w:bCs/>
          <w:sz w:val="24"/>
          <w:szCs w:val="24"/>
        </w:rPr>
        <w:t xml:space="preserve"> Specifičnog cilja 1.b.1. </w:t>
      </w:r>
      <w:r w:rsidRPr="00F8094A">
        <w:rPr>
          <w:rFonts w:ascii="Times New Roman" w:hAnsi="Times New Roman" w:cs="Times New Roman"/>
          <w:bCs/>
          <w:sz w:val="24"/>
          <w:szCs w:val="24"/>
        </w:rPr>
        <w:t>„</w:t>
      </w:r>
      <w:r w:rsidRPr="00F8094A">
        <w:rPr>
          <w:rFonts w:ascii="Times New Roman" w:hAnsi="Times New Roman" w:cs="Times New Roman"/>
          <w:sz w:val="24"/>
          <w:szCs w:val="24"/>
        </w:rPr>
        <w:t xml:space="preserve">Novi proizvodi i usluge kao rezultat djelatnosti istraživanja, razvoja i inovacija (IRI)“ </w:t>
      </w:r>
      <w:r w:rsidRPr="0065353D">
        <w:rPr>
          <w:rFonts w:ascii="Times New Roman" w:hAnsi="Times New Roman" w:cs="Times New Roman"/>
          <w:b/>
          <w:bCs/>
          <w:sz w:val="24"/>
          <w:szCs w:val="24"/>
        </w:rPr>
        <w:t xml:space="preserve">Operacije 1.b.1.1. </w:t>
      </w:r>
      <w:r w:rsidRPr="009A75A2">
        <w:rPr>
          <w:rFonts w:ascii="Times New Roman" w:eastAsia="Times New Roman" w:hAnsi="Times New Roman" w:cs="Times New Roman"/>
          <w:sz w:val="24"/>
          <w:szCs w:val="24"/>
        </w:rPr>
        <w:t>„Povećanje razvoja novih proizvoda i usluga koji proizlaze iz aktivnosti istraživanja i razvoja“.</w:t>
      </w:r>
    </w:p>
    <w:p w:rsidR="0004083B" w:rsidRPr="00F8094A" w:rsidRDefault="0004083B" w:rsidP="0004083B">
      <w:pPr>
        <w:spacing w:after="0" w:line="360" w:lineRule="auto"/>
        <w:jc w:val="both"/>
        <w:rPr>
          <w:rFonts w:ascii="Times New Roman" w:eastAsiaTheme="minorHAnsi" w:hAnsi="Times New Roman" w:cs="Times New Roman"/>
          <w:color w:val="000000" w:themeColor="text1"/>
          <w:sz w:val="24"/>
          <w:szCs w:val="24"/>
          <w:lang w:eastAsia="en-US"/>
        </w:rPr>
      </w:pPr>
    </w:p>
    <w:p w:rsidR="00F8094A" w:rsidRPr="00F8094A" w:rsidRDefault="00035D57" w:rsidP="00F8094A">
      <w:pPr>
        <w:pStyle w:val="ListParagraph"/>
        <w:numPr>
          <w:ilvl w:val="0"/>
          <w:numId w:val="1"/>
        </w:numPr>
        <w:tabs>
          <w:tab w:val="center" w:pos="4320"/>
          <w:tab w:val="right" w:pos="8640"/>
        </w:tabs>
        <w:spacing w:line="360" w:lineRule="auto"/>
        <w:jc w:val="both"/>
        <w:rPr>
          <w:rStyle w:val="hps"/>
          <w:rFonts w:ascii="Times New Roman" w:eastAsia="Times New Roman" w:hAnsi="Times New Roman" w:cs="Times New Roman"/>
          <w:b/>
          <w:bCs/>
          <w:sz w:val="24"/>
          <w:szCs w:val="24"/>
          <w:lang w:val="en-US" w:eastAsia="ar-SA"/>
        </w:rPr>
      </w:pPr>
      <w:r w:rsidRPr="00F8094A">
        <w:rPr>
          <w:rStyle w:val="hps"/>
          <w:rFonts w:ascii="Times New Roman" w:hAnsi="Times New Roman" w:cs="Times New Roman"/>
          <w:b/>
          <w:sz w:val="24"/>
          <w:szCs w:val="24"/>
        </w:rPr>
        <w:t>Ukupno</w:t>
      </w:r>
      <w:r w:rsidR="0004083B" w:rsidRPr="00F8094A">
        <w:rPr>
          <w:rFonts w:ascii="Times New Roman" w:hAnsi="Times New Roman" w:cs="Times New Roman"/>
          <w:b/>
          <w:sz w:val="24"/>
          <w:szCs w:val="24"/>
        </w:rPr>
        <w:t xml:space="preserve"> </w:t>
      </w:r>
      <w:r w:rsidR="0004083B" w:rsidRPr="00F8094A">
        <w:rPr>
          <w:rStyle w:val="hps"/>
          <w:rFonts w:ascii="Times New Roman" w:hAnsi="Times New Roman" w:cs="Times New Roman"/>
          <w:b/>
          <w:sz w:val="24"/>
          <w:szCs w:val="24"/>
        </w:rPr>
        <w:t>raspoloživa sredstva</w:t>
      </w:r>
    </w:p>
    <w:p w:rsidR="0004083B" w:rsidRPr="00F8094A" w:rsidRDefault="0004083B" w:rsidP="00F8094A">
      <w:pPr>
        <w:tabs>
          <w:tab w:val="center" w:pos="4320"/>
          <w:tab w:val="right" w:pos="8640"/>
        </w:tabs>
        <w:spacing w:line="360" w:lineRule="auto"/>
        <w:jc w:val="both"/>
        <w:rPr>
          <w:rFonts w:ascii="Times New Roman" w:eastAsia="Times New Roman" w:hAnsi="Times New Roman" w:cs="Times New Roman"/>
          <w:b/>
          <w:bCs/>
          <w:sz w:val="24"/>
          <w:szCs w:val="24"/>
          <w:lang w:val="en-US" w:eastAsia="ar-SA"/>
        </w:rPr>
      </w:pPr>
      <w:r w:rsidRPr="00F8094A">
        <w:rPr>
          <w:rFonts w:ascii="Times New Roman" w:hAnsi="Times New Roman" w:cs="Times New Roman"/>
          <w:sz w:val="24"/>
          <w:szCs w:val="24"/>
        </w:rPr>
        <w:t xml:space="preserve">Iznos bespovratnih sredstava iz EFRR koji se dodjeljuje u okviru ovog  Trajno otvorenog Poziva iznosi </w:t>
      </w:r>
      <w:r w:rsidR="00D74C03">
        <w:rPr>
          <w:rFonts w:ascii="Times New Roman" w:hAnsi="Times New Roman" w:cs="Times New Roman"/>
          <w:b/>
          <w:sz w:val="24"/>
          <w:szCs w:val="24"/>
        </w:rPr>
        <w:t>748.000.000,00</w:t>
      </w:r>
      <w:r w:rsidRPr="00F8094A">
        <w:rPr>
          <w:rFonts w:ascii="Times New Roman" w:hAnsi="Times New Roman" w:cs="Times New Roman"/>
          <w:b/>
          <w:sz w:val="24"/>
          <w:szCs w:val="24"/>
        </w:rPr>
        <w:t xml:space="preserve"> HRK</w:t>
      </w:r>
      <w:r w:rsidR="00D74C03">
        <w:rPr>
          <w:rFonts w:ascii="Times New Roman" w:hAnsi="Times New Roman" w:cs="Times New Roman"/>
          <w:b/>
          <w:sz w:val="24"/>
          <w:szCs w:val="24"/>
        </w:rPr>
        <w:t xml:space="preserve"> </w:t>
      </w:r>
      <w:r w:rsidRPr="00F8094A">
        <w:rPr>
          <w:rFonts w:ascii="Times New Roman" w:hAnsi="Times New Roman" w:cs="Times New Roman"/>
          <w:sz w:val="24"/>
          <w:szCs w:val="24"/>
        </w:rPr>
        <w:t xml:space="preserve">koji je osiguran temeljem OPKK. Obavezni udio nacionalnog sufinanciranja osigurat će se </w:t>
      </w:r>
      <w:r w:rsidRPr="00F8094A">
        <w:rPr>
          <w:rFonts w:ascii="Times New Roman" w:eastAsia="Calibri" w:hAnsi="Times New Roman" w:cs="Times New Roman"/>
          <w:sz w:val="24"/>
          <w:szCs w:val="24"/>
        </w:rPr>
        <w:t>od strane</w:t>
      </w:r>
      <w:r w:rsidRPr="00F8094A">
        <w:rPr>
          <w:rFonts w:ascii="Times New Roman" w:hAnsi="Times New Roman" w:cs="Times New Roman"/>
          <w:sz w:val="24"/>
          <w:szCs w:val="24"/>
        </w:rPr>
        <w:t xml:space="preserve"> Korisnika </w:t>
      </w:r>
      <w:r w:rsidRPr="0065353D">
        <w:rPr>
          <w:rFonts w:ascii="Times New Roman" w:eastAsia="Calibri" w:hAnsi="Times New Roman" w:cs="Times New Roman"/>
          <w:sz w:val="24"/>
          <w:szCs w:val="24"/>
        </w:rPr>
        <w:t>što</w:t>
      </w:r>
      <w:r w:rsidRPr="009A75A2">
        <w:rPr>
          <w:rFonts w:ascii="Times New Roman" w:hAnsi="Times New Roman" w:cs="Times New Roman"/>
          <w:sz w:val="24"/>
          <w:szCs w:val="24"/>
        </w:rPr>
        <w:t xml:space="preserve"> će se provjeravati tijekom postupka ugovaranja i provedbe projekta.</w:t>
      </w:r>
    </w:p>
    <w:p w:rsidR="00AF1EF0" w:rsidRPr="00F8094A" w:rsidRDefault="00AF1EF0" w:rsidP="0004083B">
      <w:pPr>
        <w:tabs>
          <w:tab w:val="center" w:pos="4320"/>
          <w:tab w:val="right" w:pos="8640"/>
        </w:tabs>
        <w:spacing w:line="360" w:lineRule="auto"/>
        <w:ind w:left="360"/>
        <w:jc w:val="both"/>
        <w:rPr>
          <w:rFonts w:ascii="Times New Roman" w:hAnsi="Times New Roman" w:cs="Times New Roman"/>
          <w:sz w:val="24"/>
          <w:szCs w:val="24"/>
        </w:rPr>
      </w:pPr>
    </w:p>
    <w:p w:rsidR="00035D57" w:rsidRPr="00F8094A" w:rsidRDefault="00035D57" w:rsidP="00035D57">
      <w:pPr>
        <w:pStyle w:val="ListParagraph"/>
        <w:numPr>
          <w:ilvl w:val="0"/>
          <w:numId w:val="1"/>
        </w:numPr>
        <w:tabs>
          <w:tab w:val="center" w:pos="4320"/>
          <w:tab w:val="right" w:pos="8640"/>
        </w:tabs>
        <w:spacing w:after="0" w:line="240" w:lineRule="auto"/>
        <w:rPr>
          <w:rFonts w:ascii="Times New Roman" w:eastAsia="Times New Roman" w:hAnsi="Times New Roman" w:cs="Times New Roman"/>
          <w:b/>
          <w:bCs/>
          <w:sz w:val="24"/>
          <w:szCs w:val="24"/>
          <w:lang w:eastAsia="ar-SA"/>
        </w:rPr>
      </w:pPr>
      <w:r w:rsidRPr="00F8094A">
        <w:rPr>
          <w:rStyle w:val="hps"/>
          <w:rFonts w:ascii="Times New Roman" w:hAnsi="Times New Roman" w:cs="Times New Roman"/>
          <w:b/>
          <w:sz w:val="24"/>
          <w:szCs w:val="24"/>
        </w:rPr>
        <w:t>Raspoloživa</w:t>
      </w:r>
      <w:r w:rsidRPr="00F8094A">
        <w:rPr>
          <w:rFonts w:ascii="Times New Roman" w:hAnsi="Times New Roman" w:cs="Times New Roman"/>
          <w:b/>
          <w:sz w:val="24"/>
          <w:szCs w:val="24"/>
        </w:rPr>
        <w:t xml:space="preserve"> </w:t>
      </w:r>
      <w:r w:rsidRPr="00F8094A">
        <w:rPr>
          <w:rStyle w:val="hps"/>
          <w:rFonts w:ascii="Times New Roman" w:hAnsi="Times New Roman" w:cs="Times New Roman"/>
          <w:b/>
          <w:sz w:val="24"/>
          <w:szCs w:val="24"/>
        </w:rPr>
        <w:t>sredstva</w:t>
      </w:r>
      <w:r w:rsidRPr="00F8094A">
        <w:rPr>
          <w:rFonts w:ascii="Times New Roman" w:hAnsi="Times New Roman" w:cs="Times New Roman"/>
          <w:b/>
          <w:sz w:val="24"/>
          <w:szCs w:val="24"/>
        </w:rPr>
        <w:t xml:space="preserve"> </w:t>
      </w:r>
      <w:r w:rsidRPr="00F8094A">
        <w:rPr>
          <w:rStyle w:val="hps"/>
          <w:rFonts w:ascii="Times New Roman" w:hAnsi="Times New Roman" w:cs="Times New Roman"/>
          <w:b/>
          <w:sz w:val="24"/>
          <w:szCs w:val="24"/>
        </w:rPr>
        <w:t>po</w:t>
      </w:r>
      <w:r w:rsidRPr="00F8094A">
        <w:rPr>
          <w:rFonts w:ascii="Times New Roman" w:hAnsi="Times New Roman" w:cs="Times New Roman"/>
          <w:b/>
          <w:sz w:val="24"/>
          <w:szCs w:val="24"/>
        </w:rPr>
        <w:t xml:space="preserve"> </w:t>
      </w:r>
      <w:r w:rsidRPr="00F8094A">
        <w:rPr>
          <w:rStyle w:val="hps"/>
          <w:rFonts w:ascii="Times New Roman" w:hAnsi="Times New Roman" w:cs="Times New Roman"/>
          <w:b/>
          <w:sz w:val="24"/>
          <w:szCs w:val="24"/>
        </w:rPr>
        <w:t>prijavitelju</w:t>
      </w:r>
      <w:r w:rsidRPr="00F8094A">
        <w:rPr>
          <w:rFonts w:ascii="Times New Roman" w:hAnsi="Times New Roman" w:cs="Times New Roman"/>
          <w:b/>
          <w:sz w:val="24"/>
          <w:szCs w:val="24"/>
        </w:rPr>
        <w:t xml:space="preserve"> </w:t>
      </w:r>
      <w:r w:rsidRPr="00F8094A">
        <w:rPr>
          <w:rStyle w:val="hps"/>
          <w:rFonts w:ascii="Times New Roman" w:hAnsi="Times New Roman" w:cs="Times New Roman"/>
          <w:b/>
          <w:sz w:val="24"/>
          <w:szCs w:val="24"/>
        </w:rPr>
        <w:t>(</w:t>
      </w:r>
      <w:r w:rsidRPr="00F8094A">
        <w:rPr>
          <w:rFonts w:ascii="Times New Roman" w:hAnsi="Times New Roman" w:cs="Times New Roman"/>
          <w:b/>
          <w:sz w:val="24"/>
          <w:szCs w:val="24"/>
        </w:rPr>
        <w:t xml:space="preserve">min. </w:t>
      </w:r>
      <w:r w:rsidRPr="00F8094A">
        <w:rPr>
          <w:rStyle w:val="hps"/>
          <w:rFonts w:ascii="Times New Roman" w:hAnsi="Times New Roman" w:cs="Times New Roman"/>
          <w:b/>
          <w:sz w:val="24"/>
          <w:szCs w:val="24"/>
        </w:rPr>
        <w:t>–</w:t>
      </w:r>
      <w:r w:rsidRPr="00F8094A">
        <w:rPr>
          <w:rFonts w:ascii="Times New Roman" w:hAnsi="Times New Roman" w:cs="Times New Roman"/>
          <w:b/>
          <w:sz w:val="24"/>
          <w:szCs w:val="24"/>
        </w:rPr>
        <w:t xml:space="preserve"> </w:t>
      </w:r>
      <w:proofErr w:type="spellStart"/>
      <w:r w:rsidRPr="00F8094A">
        <w:rPr>
          <w:rStyle w:val="hps"/>
          <w:rFonts w:ascii="Times New Roman" w:hAnsi="Times New Roman" w:cs="Times New Roman"/>
          <w:b/>
          <w:sz w:val="24"/>
          <w:szCs w:val="24"/>
        </w:rPr>
        <w:t>maks</w:t>
      </w:r>
      <w:proofErr w:type="spellEnd"/>
      <w:r w:rsidRPr="00F8094A">
        <w:rPr>
          <w:rStyle w:val="hps"/>
          <w:rFonts w:ascii="Times New Roman" w:hAnsi="Times New Roman" w:cs="Times New Roman"/>
          <w:b/>
          <w:sz w:val="24"/>
          <w:szCs w:val="24"/>
        </w:rPr>
        <w:t>.</w:t>
      </w:r>
      <w:r w:rsidRPr="00F8094A">
        <w:rPr>
          <w:rFonts w:ascii="Times New Roman" w:hAnsi="Times New Roman" w:cs="Times New Roman"/>
          <w:b/>
          <w:sz w:val="24"/>
          <w:szCs w:val="24"/>
        </w:rPr>
        <w:t xml:space="preserve"> </w:t>
      </w:r>
      <w:r w:rsidRPr="00F8094A">
        <w:rPr>
          <w:rStyle w:val="hps"/>
          <w:rFonts w:ascii="Times New Roman" w:hAnsi="Times New Roman" w:cs="Times New Roman"/>
          <w:b/>
          <w:sz w:val="24"/>
          <w:szCs w:val="24"/>
        </w:rPr>
        <w:t>iznos</w:t>
      </w:r>
      <w:r w:rsidRPr="00F8094A">
        <w:rPr>
          <w:rFonts w:ascii="Times New Roman" w:hAnsi="Times New Roman" w:cs="Times New Roman"/>
          <w:b/>
          <w:sz w:val="24"/>
          <w:szCs w:val="24"/>
        </w:rPr>
        <w:t xml:space="preserve"> </w:t>
      </w:r>
      <w:r w:rsidRPr="00F8094A">
        <w:rPr>
          <w:rStyle w:val="hps"/>
          <w:rFonts w:ascii="Times New Roman" w:hAnsi="Times New Roman" w:cs="Times New Roman"/>
          <w:b/>
          <w:sz w:val="24"/>
          <w:szCs w:val="24"/>
        </w:rPr>
        <w:t>ako je relevantno</w:t>
      </w:r>
      <w:r w:rsidRPr="00F8094A">
        <w:rPr>
          <w:rFonts w:ascii="Times New Roman" w:hAnsi="Times New Roman" w:cs="Times New Roman"/>
          <w:b/>
          <w:sz w:val="24"/>
          <w:szCs w:val="24"/>
        </w:rPr>
        <w:t>)</w:t>
      </w:r>
    </w:p>
    <w:p w:rsidR="00AF1EF0" w:rsidRPr="00F8094A" w:rsidRDefault="00AF1EF0" w:rsidP="0004083B">
      <w:pPr>
        <w:tabs>
          <w:tab w:val="center" w:pos="4320"/>
          <w:tab w:val="right" w:pos="8640"/>
        </w:tabs>
        <w:spacing w:line="360" w:lineRule="auto"/>
        <w:ind w:left="360"/>
        <w:jc w:val="both"/>
        <w:rPr>
          <w:rFonts w:ascii="Times New Roman" w:eastAsia="Times New Roman" w:hAnsi="Times New Roman" w:cs="Times New Roman"/>
          <w:b/>
          <w:bCs/>
          <w:sz w:val="24"/>
          <w:szCs w:val="24"/>
          <w:lang w:eastAsia="ar-SA"/>
        </w:rPr>
      </w:pPr>
    </w:p>
    <w:tbl>
      <w:tblPr>
        <w:tblW w:w="9105" w:type="dxa"/>
        <w:tblInd w:w="93" w:type="dxa"/>
        <w:tblLook w:val="04A0" w:firstRow="1" w:lastRow="0" w:firstColumn="1" w:lastColumn="0" w:noHBand="0" w:noVBand="1"/>
      </w:tblPr>
      <w:tblGrid>
        <w:gridCol w:w="2567"/>
        <w:gridCol w:w="3685"/>
        <w:gridCol w:w="2853"/>
      </w:tblGrid>
      <w:tr w:rsidR="0089602E" w:rsidRPr="0089602E" w:rsidTr="00A27512">
        <w:trPr>
          <w:trHeight w:val="300"/>
        </w:trPr>
        <w:tc>
          <w:tcPr>
            <w:tcW w:w="2567" w:type="dxa"/>
            <w:vMerge w:val="restart"/>
            <w:tcBorders>
              <w:top w:val="single" w:sz="8" w:space="0" w:color="auto"/>
              <w:left w:val="single" w:sz="8" w:space="0" w:color="auto"/>
              <w:bottom w:val="single" w:sz="8" w:space="0" w:color="000080"/>
              <w:right w:val="nil"/>
            </w:tcBorders>
            <w:shd w:val="clear" w:color="000000" w:fill="C6D9F1"/>
            <w:vAlign w:val="center"/>
            <w:hideMark/>
          </w:tcPr>
          <w:p w:rsidR="0089602E" w:rsidRPr="0089602E" w:rsidRDefault="0089602E" w:rsidP="0089602E">
            <w:pPr>
              <w:spacing w:after="0" w:line="240" w:lineRule="auto"/>
              <w:jc w:val="center"/>
              <w:rPr>
                <w:rFonts w:ascii="Times New Roman" w:eastAsia="Times New Roman" w:hAnsi="Times New Roman" w:cs="Times New Roman"/>
                <w:b/>
                <w:bCs/>
                <w:color w:val="000000"/>
                <w:lang w:val="en-US" w:eastAsia="en-US"/>
              </w:rPr>
            </w:pPr>
            <w:r w:rsidRPr="0089602E">
              <w:rPr>
                <w:rFonts w:ascii="Times New Roman" w:eastAsia="Times New Roman" w:hAnsi="Times New Roman" w:cs="Times New Roman"/>
                <w:b/>
                <w:bCs/>
                <w:color w:val="000000"/>
                <w:lang w:eastAsia="en-US"/>
              </w:rPr>
              <w:t xml:space="preserve">Ukupna alokacija poziva za bespovratna sredstva                                            748.000.000,00 HRK </w:t>
            </w:r>
          </w:p>
        </w:tc>
        <w:tc>
          <w:tcPr>
            <w:tcW w:w="3685"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89602E" w:rsidRPr="0089602E" w:rsidRDefault="0089602E" w:rsidP="0089602E">
            <w:pPr>
              <w:spacing w:after="0" w:line="240" w:lineRule="auto"/>
              <w:jc w:val="center"/>
              <w:rPr>
                <w:rFonts w:ascii="Times New Roman" w:eastAsia="Times New Roman" w:hAnsi="Times New Roman" w:cs="Times New Roman"/>
                <w:b/>
                <w:bCs/>
                <w:lang w:eastAsia="en-US"/>
              </w:rPr>
            </w:pPr>
            <w:r w:rsidRPr="0089602E">
              <w:rPr>
                <w:rFonts w:ascii="Times New Roman" w:eastAsia="Times New Roman" w:hAnsi="Times New Roman" w:cs="Times New Roman"/>
                <w:b/>
                <w:bCs/>
                <w:lang w:eastAsia="en-US"/>
              </w:rPr>
              <w:t>Skupina 1.</w:t>
            </w:r>
          </w:p>
          <w:p w:rsidR="0089602E" w:rsidRPr="0089602E" w:rsidRDefault="0089602E" w:rsidP="0089602E">
            <w:pPr>
              <w:spacing w:after="0" w:line="240" w:lineRule="auto"/>
              <w:jc w:val="center"/>
              <w:rPr>
                <w:rFonts w:ascii="Times New Roman" w:eastAsia="Times New Roman" w:hAnsi="Times New Roman" w:cs="Times New Roman"/>
                <w:b/>
                <w:bCs/>
                <w:lang w:eastAsia="en-US"/>
              </w:rPr>
            </w:pPr>
          </w:p>
          <w:p w:rsidR="0089602E" w:rsidRPr="0089602E" w:rsidRDefault="0089602E" w:rsidP="0089602E">
            <w:pPr>
              <w:spacing w:after="0" w:line="240" w:lineRule="auto"/>
              <w:jc w:val="center"/>
              <w:rPr>
                <w:rFonts w:ascii="Times New Roman" w:eastAsia="Times New Roman" w:hAnsi="Times New Roman" w:cs="Times New Roman"/>
                <w:b/>
                <w:bCs/>
                <w:color w:val="000000"/>
                <w:lang w:val="en-US" w:eastAsia="en-US"/>
              </w:rPr>
            </w:pPr>
            <w:r w:rsidRPr="0089602E">
              <w:rPr>
                <w:rFonts w:ascii="Times New Roman" w:eastAsia="Times New Roman" w:hAnsi="Times New Roman" w:cs="Times New Roman"/>
                <w:b/>
                <w:bCs/>
                <w:color w:val="000000"/>
                <w:lang w:eastAsia="en-US"/>
              </w:rPr>
              <w:t>alokacija za projekte ukupne  vrijednosti do 1.500.000,00 HRK</w:t>
            </w:r>
          </w:p>
        </w:tc>
        <w:tc>
          <w:tcPr>
            <w:tcW w:w="2853"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89602E" w:rsidRPr="0089602E" w:rsidRDefault="0089602E" w:rsidP="0089602E">
            <w:pPr>
              <w:spacing w:after="0" w:line="240" w:lineRule="auto"/>
              <w:jc w:val="center"/>
              <w:rPr>
                <w:rFonts w:ascii="Times New Roman" w:eastAsia="Times New Roman" w:hAnsi="Times New Roman" w:cs="Times New Roman"/>
                <w:b/>
                <w:bCs/>
                <w:color w:val="000000"/>
                <w:lang w:val="en-US" w:eastAsia="en-US"/>
              </w:rPr>
            </w:pPr>
            <w:r w:rsidRPr="0089602E">
              <w:rPr>
                <w:rFonts w:ascii="Times New Roman" w:eastAsia="Times New Roman" w:hAnsi="Times New Roman" w:cs="Times New Roman"/>
                <w:b/>
                <w:bCs/>
                <w:color w:val="000000"/>
                <w:lang w:eastAsia="en-US"/>
              </w:rPr>
              <w:t xml:space="preserve">300.000.000,00 HRK </w:t>
            </w:r>
          </w:p>
        </w:tc>
      </w:tr>
      <w:tr w:rsidR="0089602E" w:rsidRPr="0089602E" w:rsidTr="00A27512">
        <w:trPr>
          <w:trHeight w:val="390"/>
        </w:trPr>
        <w:tc>
          <w:tcPr>
            <w:tcW w:w="2567" w:type="dxa"/>
            <w:vMerge/>
            <w:tcBorders>
              <w:top w:val="single" w:sz="8" w:space="0" w:color="auto"/>
              <w:left w:val="single" w:sz="8" w:space="0" w:color="auto"/>
              <w:bottom w:val="single" w:sz="8" w:space="0" w:color="000080"/>
              <w:right w:val="nil"/>
            </w:tcBorders>
            <w:vAlign w:val="center"/>
            <w:hideMark/>
          </w:tcPr>
          <w:p w:rsidR="0089602E" w:rsidRPr="0089602E" w:rsidRDefault="0089602E" w:rsidP="0089602E">
            <w:pPr>
              <w:spacing w:after="0" w:line="240" w:lineRule="auto"/>
              <w:rPr>
                <w:rFonts w:ascii="Times New Roman" w:eastAsia="Times New Roman" w:hAnsi="Times New Roman" w:cs="Times New Roman"/>
                <w:b/>
                <w:bCs/>
                <w:color w:val="000000"/>
                <w:lang w:val="en-US" w:eastAsia="en-US"/>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rsidR="0089602E" w:rsidRPr="0089602E" w:rsidRDefault="0089602E" w:rsidP="0089602E">
            <w:pPr>
              <w:spacing w:after="0" w:line="240" w:lineRule="auto"/>
              <w:rPr>
                <w:rFonts w:ascii="Times New Roman" w:eastAsia="Times New Roman" w:hAnsi="Times New Roman" w:cs="Times New Roman"/>
                <w:b/>
                <w:bCs/>
                <w:color w:val="000000"/>
                <w:lang w:val="en-US" w:eastAsia="en-US"/>
              </w:rPr>
            </w:pPr>
          </w:p>
        </w:tc>
        <w:tc>
          <w:tcPr>
            <w:tcW w:w="2853" w:type="dxa"/>
            <w:vMerge/>
            <w:tcBorders>
              <w:top w:val="single" w:sz="8" w:space="0" w:color="auto"/>
              <w:left w:val="single" w:sz="8" w:space="0" w:color="auto"/>
              <w:bottom w:val="single" w:sz="8" w:space="0" w:color="000000"/>
              <w:right w:val="single" w:sz="8" w:space="0" w:color="auto"/>
            </w:tcBorders>
            <w:vAlign w:val="center"/>
            <w:hideMark/>
          </w:tcPr>
          <w:p w:rsidR="0089602E" w:rsidRPr="0089602E" w:rsidRDefault="0089602E" w:rsidP="0089602E">
            <w:pPr>
              <w:spacing w:after="0" w:line="240" w:lineRule="auto"/>
              <w:rPr>
                <w:rFonts w:ascii="Times New Roman" w:eastAsia="Times New Roman" w:hAnsi="Times New Roman" w:cs="Times New Roman"/>
                <w:b/>
                <w:bCs/>
                <w:color w:val="000000"/>
                <w:lang w:val="en-US" w:eastAsia="en-US"/>
              </w:rPr>
            </w:pPr>
          </w:p>
        </w:tc>
      </w:tr>
      <w:tr w:rsidR="0089602E" w:rsidRPr="0089602E" w:rsidTr="00A27512">
        <w:trPr>
          <w:trHeight w:val="300"/>
        </w:trPr>
        <w:tc>
          <w:tcPr>
            <w:tcW w:w="2567" w:type="dxa"/>
            <w:vMerge/>
            <w:tcBorders>
              <w:top w:val="single" w:sz="8" w:space="0" w:color="auto"/>
              <w:left w:val="single" w:sz="8" w:space="0" w:color="auto"/>
              <w:bottom w:val="single" w:sz="8" w:space="0" w:color="000080"/>
              <w:right w:val="nil"/>
            </w:tcBorders>
            <w:vAlign w:val="center"/>
            <w:hideMark/>
          </w:tcPr>
          <w:p w:rsidR="0089602E" w:rsidRPr="0089602E" w:rsidRDefault="0089602E" w:rsidP="0089602E">
            <w:pPr>
              <w:spacing w:after="0" w:line="240" w:lineRule="auto"/>
              <w:rPr>
                <w:rFonts w:ascii="Times New Roman" w:eastAsia="Times New Roman" w:hAnsi="Times New Roman" w:cs="Times New Roman"/>
                <w:b/>
                <w:bCs/>
                <w:color w:val="000000"/>
                <w:lang w:val="en-US" w:eastAsia="en-US"/>
              </w:rPr>
            </w:pPr>
          </w:p>
        </w:tc>
        <w:tc>
          <w:tcPr>
            <w:tcW w:w="3685"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9602E" w:rsidRPr="0089602E" w:rsidRDefault="0089602E" w:rsidP="0089602E">
            <w:pPr>
              <w:spacing w:after="0" w:line="240" w:lineRule="auto"/>
              <w:jc w:val="center"/>
              <w:rPr>
                <w:rFonts w:ascii="Times New Roman" w:eastAsia="Times New Roman" w:hAnsi="Times New Roman" w:cs="Times New Roman"/>
                <w:b/>
                <w:bCs/>
                <w:color w:val="000000"/>
                <w:lang w:eastAsia="en-US"/>
              </w:rPr>
            </w:pPr>
            <w:r w:rsidRPr="0089602E">
              <w:rPr>
                <w:rFonts w:ascii="Times New Roman" w:eastAsia="Times New Roman" w:hAnsi="Times New Roman" w:cs="Times New Roman"/>
                <w:b/>
                <w:bCs/>
                <w:color w:val="000000"/>
                <w:lang w:eastAsia="en-US"/>
              </w:rPr>
              <w:t xml:space="preserve">Skupina 2. </w:t>
            </w:r>
          </w:p>
          <w:p w:rsidR="0089602E" w:rsidRPr="0089602E" w:rsidRDefault="0089602E" w:rsidP="0089602E">
            <w:pPr>
              <w:spacing w:after="0" w:line="240" w:lineRule="auto"/>
              <w:jc w:val="center"/>
              <w:rPr>
                <w:rFonts w:ascii="Times New Roman" w:eastAsia="Times New Roman" w:hAnsi="Times New Roman" w:cs="Times New Roman"/>
                <w:b/>
                <w:bCs/>
                <w:color w:val="000000"/>
                <w:lang w:eastAsia="en-US"/>
              </w:rPr>
            </w:pPr>
          </w:p>
          <w:p w:rsidR="0089602E" w:rsidRPr="0089602E" w:rsidRDefault="0089602E" w:rsidP="0089602E">
            <w:pPr>
              <w:spacing w:after="0" w:line="240" w:lineRule="auto"/>
              <w:jc w:val="center"/>
              <w:rPr>
                <w:rFonts w:ascii="Times New Roman" w:eastAsia="Times New Roman" w:hAnsi="Times New Roman" w:cs="Times New Roman"/>
                <w:b/>
                <w:bCs/>
                <w:color w:val="000000"/>
                <w:lang w:val="en-US" w:eastAsia="en-US"/>
              </w:rPr>
            </w:pPr>
            <w:r w:rsidRPr="0089602E">
              <w:rPr>
                <w:rFonts w:ascii="Times New Roman" w:eastAsia="Times New Roman" w:hAnsi="Times New Roman" w:cs="Times New Roman"/>
                <w:b/>
                <w:bCs/>
                <w:color w:val="000000"/>
                <w:lang w:eastAsia="en-US"/>
              </w:rPr>
              <w:t>alokacija za projekte ukupne vrijednosti iznad 1.500.000,00 HRK</w:t>
            </w:r>
          </w:p>
        </w:tc>
        <w:tc>
          <w:tcPr>
            <w:tcW w:w="2853"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9602E" w:rsidRPr="0089602E" w:rsidRDefault="0089602E" w:rsidP="0089602E">
            <w:pPr>
              <w:spacing w:after="0" w:line="240" w:lineRule="auto"/>
              <w:jc w:val="center"/>
              <w:rPr>
                <w:rFonts w:ascii="Times New Roman" w:eastAsia="Times New Roman" w:hAnsi="Times New Roman" w:cs="Times New Roman"/>
                <w:b/>
                <w:bCs/>
                <w:color w:val="000000"/>
                <w:lang w:val="en-US" w:eastAsia="en-US"/>
              </w:rPr>
            </w:pPr>
            <w:r w:rsidRPr="0089602E">
              <w:rPr>
                <w:rFonts w:ascii="Times New Roman" w:eastAsia="Times New Roman" w:hAnsi="Times New Roman" w:cs="Times New Roman"/>
                <w:b/>
                <w:bCs/>
                <w:color w:val="000000"/>
                <w:lang w:eastAsia="en-US"/>
              </w:rPr>
              <w:t>448.000.000,00 HRK</w:t>
            </w:r>
          </w:p>
        </w:tc>
      </w:tr>
      <w:tr w:rsidR="0089602E" w:rsidRPr="0089602E" w:rsidTr="00A27512">
        <w:trPr>
          <w:trHeight w:val="465"/>
        </w:trPr>
        <w:tc>
          <w:tcPr>
            <w:tcW w:w="2567" w:type="dxa"/>
            <w:vMerge/>
            <w:tcBorders>
              <w:top w:val="single" w:sz="8" w:space="0" w:color="auto"/>
              <w:left w:val="single" w:sz="8" w:space="0" w:color="auto"/>
              <w:bottom w:val="single" w:sz="8" w:space="0" w:color="000080"/>
              <w:right w:val="nil"/>
            </w:tcBorders>
            <w:vAlign w:val="center"/>
            <w:hideMark/>
          </w:tcPr>
          <w:p w:rsidR="0089602E" w:rsidRPr="0089602E" w:rsidRDefault="0089602E" w:rsidP="0089602E">
            <w:pPr>
              <w:spacing w:after="0" w:line="240" w:lineRule="auto"/>
              <w:rPr>
                <w:rFonts w:ascii="Times New Roman" w:eastAsia="Times New Roman" w:hAnsi="Times New Roman" w:cs="Times New Roman"/>
                <w:b/>
                <w:bCs/>
                <w:color w:val="000000"/>
                <w:lang w:val="en-US" w:eastAsia="en-US"/>
              </w:rPr>
            </w:pPr>
          </w:p>
        </w:tc>
        <w:tc>
          <w:tcPr>
            <w:tcW w:w="3685" w:type="dxa"/>
            <w:vMerge/>
            <w:tcBorders>
              <w:top w:val="nil"/>
              <w:left w:val="single" w:sz="8" w:space="0" w:color="auto"/>
              <w:bottom w:val="single" w:sz="8" w:space="0" w:color="000000"/>
              <w:right w:val="single" w:sz="8" w:space="0" w:color="auto"/>
            </w:tcBorders>
            <w:vAlign w:val="center"/>
            <w:hideMark/>
          </w:tcPr>
          <w:p w:rsidR="0089602E" w:rsidRPr="0089602E" w:rsidRDefault="0089602E" w:rsidP="0089602E">
            <w:pPr>
              <w:spacing w:after="0" w:line="240" w:lineRule="auto"/>
              <w:rPr>
                <w:rFonts w:ascii="Times New Roman" w:eastAsia="Times New Roman" w:hAnsi="Times New Roman" w:cs="Times New Roman"/>
                <w:b/>
                <w:bCs/>
                <w:color w:val="000000"/>
                <w:lang w:val="en-US" w:eastAsia="en-US"/>
              </w:rPr>
            </w:pPr>
          </w:p>
        </w:tc>
        <w:tc>
          <w:tcPr>
            <w:tcW w:w="2853" w:type="dxa"/>
            <w:vMerge/>
            <w:tcBorders>
              <w:top w:val="nil"/>
              <w:left w:val="single" w:sz="8" w:space="0" w:color="auto"/>
              <w:bottom w:val="single" w:sz="8" w:space="0" w:color="000000"/>
              <w:right w:val="single" w:sz="8" w:space="0" w:color="auto"/>
            </w:tcBorders>
            <w:vAlign w:val="center"/>
            <w:hideMark/>
          </w:tcPr>
          <w:p w:rsidR="0089602E" w:rsidRPr="0089602E" w:rsidRDefault="0089602E" w:rsidP="0089602E">
            <w:pPr>
              <w:spacing w:after="0" w:line="240" w:lineRule="auto"/>
              <w:rPr>
                <w:rFonts w:ascii="Times New Roman" w:eastAsia="Times New Roman" w:hAnsi="Times New Roman" w:cs="Times New Roman"/>
                <w:b/>
                <w:bCs/>
                <w:color w:val="000000"/>
                <w:lang w:val="en-US" w:eastAsia="en-US"/>
              </w:rPr>
            </w:pPr>
          </w:p>
        </w:tc>
      </w:tr>
      <w:tr w:rsidR="0089602E" w:rsidRPr="0089602E" w:rsidTr="00A27512">
        <w:trPr>
          <w:trHeight w:val="405"/>
        </w:trPr>
        <w:tc>
          <w:tcPr>
            <w:tcW w:w="2567" w:type="dxa"/>
            <w:vMerge w:val="restart"/>
            <w:tcBorders>
              <w:top w:val="nil"/>
              <w:left w:val="single" w:sz="8" w:space="0" w:color="auto"/>
              <w:bottom w:val="single" w:sz="8" w:space="0" w:color="000080"/>
              <w:right w:val="single" w:sz="8" w:space="0" w:color="000080"/>
            </w:tcBorders>
            <w:shd w:val="clear" w:color="000000" w:fill="C6D9F1"/>
            <w:vAlign w:val="center"/>
            <w:hideMark/>
          </w:tcPr>
          <w:p w:rsidR="0089602E" w:rsidRPr="0089602E" w:rsidRDefault="0089602E" w:rsidP="0089602E">
            <w:pPr>
              <w:spacing w:after="0" w:line="240" w:lineRule="auto"/>
              <w:rPr>
                <w:rFonts w:ascii="Times New Roman" w:eastAsia="Times New Roman" w:hAnsi="Times New Roman" w:cs="Times New Roman"/>
                <w:b/>
                <w:bCs/>
                <w:color w:val="000000"/>
                <w:lang w:val="en-US" w:eastAsia="en-US"/>
              </w:rPr>
            </w:pPr>
            <w:r w:rsidRPr="0089602E">
              <w:rPr>
                <w:rFonts w:ascii="Times New Roman" w:eastAsia="Times New Roman" w:hAnsi="Times New Roman" w:cs="Times New Roman"/>
                <w:b/>
                <w:bCs/>
                <w:color w:val="000000"/>
                <w:lang w:eastAsia="en-US"/>
              </w:rPr>
              <w:t>POTPORE</w:t>
            </w:r>
          </w:p>
        </w:tc>
        <w:tc>
          <w:tcPr>
            <w:tcW w:w="6538" w:type="dxa"/>
            <w:gridSpan w:val="2"/>
            <w:tcBorders>
              <w:top w:val="nil"/>
              <w:left w:val="nil"/>
              <w:bottom w:val="single" w:sz="8" w:space="0" w:color="000080"/>
              <w:right w:val="single" w:sz="8" w:space="0" w:color="000000"/>
            </w:tcBorders>
            <w:shd w:val="clear" w:color="000000" w:fill="C6D9F1"/>
            <w:vAlign w:val="center"/>
            <w:hideMark/>
          </w:tcPr>
          <w:p w:rsidR="0089602E" w:rsidRPr="0089602E" w:rsidRDefault="0089602E" w:rsidP="0089602E">
            <w:pPr>
              <w:spacing w:after="0" w:line="240" w:lineRule="auto"/>
              <w:jc w:val="center"/>
              <w:rPr>
                <w:rFonts w:ascii="Times New Roman" w:eastAsia="Times New Roman" w:hAnsi="Times New Roman" w:cs="Times New Roman"/>
                <w:b/>
                <w:bCs/>
                <w:color w:val="000000"/>
                <w:lang w:eastAsia="en-US"/>
              </w:rPr>
            </w:pPr>
            <w:r w:rsidRPr="0089602E">
              <w:rPr>
                <w:rFonts w:ascii="Times New Roman" w:eastAsia="Times New Roman" w:hAnsi="Times New Roman" w:cs="Times New Roman"/>
                <w:b/>
                <w:bCs/>
                <w:color w:val="000000"/>
                <w:lang w:eastAsia="en-US"/>
              </w:rPr>
              <w:t>IZNOS BESPOVRATNIH SREDSTAVA</w:t>
            </w:r>
          </w:p>
          <w:p w:rsidR="0089602E" w:rsidRPr="0089602E" w:rsidRDefault="0089602E" w:rsidP="0089602E">
            <w:pPr>
              <w:spacing w:after="0" w:line="240" w:lineRule="auto"/>
              <w:jc w:val="center"/>
              <w:rPr>
                <w:rFonts w:ascii="Times New Roman" w:eastAsia="Times New Roman" w:hAnsi="Times New Roman" w:cs="Times New Roman"/>
                <w:b/>
                <w:bCs/>
                <w:color w:val="000000"/>
                <w:lang w:val="en-US" w:eastAsia="en-US"/>
              </w:rPr>
            </w:pPr>
          </w:p>
        </w:tc>
      </w:tr>
      <w:tr w:rsidR="0089602E" w:rsidRPr="0089602E" w:rsidTr="00A27512">
        <w:trPr>
          <w:trHeight w:val="705"/>
        </w:trPr>
        <w:tc>
          <w:tcPr>
            <w:tcW w:w="2567" w:type="dxa"/>
            <w:vMerge/>
            <w:tcBorders>
              <w:top w:val="nil"/>
              <w:left w:val="single" w:sz="8" w:space="0" w:color="auto"/>
              <w:bottom w:val="single" w:sz="8" w:space="0" w:color="000080"/>
              <w:right w:val="single" w:sz="8" w:space="0" w:color="000080"/>
            </w:tcBorders>
            <w:vAlign w:val="center"/>
            <w:hideMark/>
          </w:tcPr>
          <w:p w:rsidR="0089602E" w:rsidRPr="0089602E" w:rsidRDefault="0089602E" w:rsidP="0089602E">
            <w:pPr>
              <w:spacing w:after="0" w:line="240" w:lineRule="auto"/>
              <w:rPr>
                <w:rFonts w:ascii="Times New Roman" w:eastAsia="Times New Roman" w:hAnsi="Times New Roman" w:cs="Times New Roman"/>
                <w:b/>
                <w:bCs/>
                <w:color w:val="000000"/>
                <w:lang w:val="en-US" w:eastAsia="en-US"/>
              </w:rPr>
            </w:pPr>
          </w:p>
        </w:tc>
        <w:tc>
          <w:tcPr>
            <w:tcW w:w="3685" w:type="dxa"/>
            <w:tcBorders>
              <w:top w:val="nil"/>
              <w:left w:val="nil"/>
              <w:bottom w:val="single" w:sz="8" w:space="0" w:color="000080"/>
              <w:right w:val="single" w:sz="8" w:space="0" w:color="000080"/>
            </w:tcBorders>
            <w:shd w:val="clear" w:color="000000" w:fill="548DD4"/>
            <w:vAlign w:val="center"/>
            <w:hideMark/>
          </w:tcPr>
          <w:p w:rsidR="0089602E" w:rsidRPr="0089602E" w:rsidRDefault="0089602E" w:rsidP="0089602E">
            <w:pPr>
              <w:spacing w:after="0" w:line="240" w:lineRule="auto"/>
              <w:jc w:val="center"/>
              <w:rPr>
                <w:rFonts w:ascii="Times New Roman" w:eastAsia="Times New Roman" w:hAnsi="Times New Roman" w:cs="Times New Roman"/>
                <w:b/>
                <w:bCs/>
                <w:color w:val="000000"/>
                <w:lang w:val="en-US" w:eastAsia="en-US"/>
              </w:rPr>
            </w:pPr>
            <w:r w:rsidRPr="0089602E">
              <w:rPr>
                <w:rFonts w:ascii="Times New Roman" w:eastAsia="Times New Roman" w:hAnsi="Times New Roman" w:cs="Times New Roman"/>
                <w:b/>
                <w:bCs/>
                <w:color w:val="000000"/>
                <w:lang w:eastAsia="en-US"/>
              </w:rPr>
              <w:t>Najniža vrijednost potpore</w:t>
            </w:r>
          </w:p>
        </w:tc>
        <w:tc>
          <w:tcPr>
            <w:tcW w:w="2853" w:type="dxa"/>
            <w:tcBorders>
              <w:top w:val="nil"/>
              <w:left w:val="nil"/>
              <w:bottom w:val="single" w:sz="8" w:space="0" w:color="000080"/>
              <w:right w:val="single" w:sz="8" w:space="0" w:color="auto"/>
            </w:tcBorders>
            <w:shd w:val="clear" w:color="000000" w:fill="548DD4"/>
            <w:vAlign w:val="center"/>
            <w:hideMark/>
          </w:tcPr>
          <w:p w:rsidR="0089602E" w:rsidRPr="0089602E" w:rsidRDefault="0089602E" w:rsidP="0089602E">
            <w:pPr>
              <w:spacing w:after="0" w:line="240" w:lineRule="auto"/>
              <w:jc w:val="center"/>
              <w:rPr>
                <w:rFonts w:ascii="Times New Roman" w:eastAsia="Times New Roman" w:hAnsi="Times New Roman" w:cs="Times New Roman"/>
                <w:b/>
                <w:bCs/>
                <w:color w:val="000000"/>
                <w:lang w:val="en-US" w:eastAsia="en-US"/>
              </w:rPr>
            </w:pPr>
            <w:r w:rsidRPr="0089602E">
              <w:rPr>
                <w:rFonts w:ascii="Times New Roman" w:eastAsia="Times New Roman" w:hAnsi="Times New Roman" w:cs="Times New Roman"/>
                <w:b/>
                <w:bCs/>
                <w:color w:val="000000"/>
                <w:lang w:eastAsia="en-US"/>
              </w:rPr>
              <w:t>Najviša vrijednost potpore</w:t>
            </w:r>
          </w:p>
        </w:tc>
      </w:tr>
      <w:tr w:rsidR="0089602E" w:rsidRPr="0089602E" w:rsidTr="00A27512">
        <w:trPr>
          <w:trHeight w:val="645"/>
        </w:trPr>
        <w:tc>
          <w:tcPr>
            <w:tcW w:w="2567" w:type="dxa"/>
            <w:tcBorders>
              <w:top w:val="nil"/>
              <w:left w:val="single" w:sz="8" w:space="0" w:color="auto"/>
              <w:bottom w:val="single" w:sz="8" w:space="0" w:color="000080"/>
              <w:right w:val="single" w:sz="8" w:space="0" w:color="000080"/>
            </w:tcBorders>
            <w:shd w:val="clear" w:color="000000" w:fill="F2F2F2"/>
            <w:vAlign w:val="center"/>
            <w:hideMark/>
          </w:tcPr>
          <w:p w:rsidR="0089602E" w:rsidRPr="0089602E" w:rsidRDefault="0089602E" w:rsidP="0089602E">
            <w:pPr>
              <w:spacing w:after="0" w:line="240" w:lineRule="auto"/>
              <w:rPr>
                <w:rFonts w:ascii="Times New Roman" w:eastAsia="Times New Roman" w:hAnsi="Times New Roman" w:cs="Times New Roman"/>
                <w:b/>
                <w:bCs/>
                <w:i/>
                <w:iCs/>
                <w:color w:val="000000"/>
                <w:lang w:val="en-US" w:eastAsia="en-US"/>
              </w:rPr>
            </w:pPr>
            <w:r w:rsidRPr="0089602E">
              <w:rPr>
                <w:rFonts w:ascii="Times New Roman" w:eastAsia="Times New Roman" w:hAnsi="Times New Roman" w:cs="Times New Roman"/>
                <w:b/>
                <w:bCs/>
                <w:i/>
                <w:iCs/>
                <w:color w:val="000000"/>
                <w:lang w:eastAsia="en-US"/>
              </w:rPr>
              <w:t>Potpore za projekte istraživanja i razvoja</w:t>
            </w:r>
          </w:p>
        </w:tc>
        <w:tc>
          <w:tcPr>
            <w:tcW w:w="3685" w:type="dxa"/>
            <w:tcBorders>
              <w:top w:val="nil"/>
              <w:left w:val="nil"/>
              <w:bottom w:val="single" w:sz="8" w:space="0" w:color="000080"/>
              <w:right w:val="single" w:sz="8" w:space="0" w:color="000080"/>
            </w:tcBorders>
            <w:shd w:val="clear" w:color="000000" w:fill="F2F2F2"/>
            <w:vAlign w:val="center"/>
            <w:hideMark/>
          </w:tcPr>
          <w:p w:rsidR="0089602E" w:rsidRPr="0089602E" w:rsidRDefault="0089602E" w:rsidP="0089602E">
            <w:pPr>
              <w:spacing w:after="0" w:line="240" w:lineRule="auto"/>
              <w:jc w:val="center"/>
              <w:rPr>
                <w:rFonts w:ascii="Times New Roman" w:eastAsia="Times New Roman" w:hAnsi="Times New Roman" w:cs="Times New Roman"/>
                <w:color w:val="000000"/>
                <w:lang w:val="en-US" w:eastAsia="en-US"/>
              </w:rPr>
            </w:pPr>
            <w:r w:rsidRPr="0089602E">
              <w:rPr>
                <w:rFonts w:ascii="Times New Roman" w:eastAsia="Times New Roman" w:hAnsi="Times New Roman" w:cs="Times New Roman"/>
                <w:color w:val="000000"/>
                <w:lang w:eastAsia="en-US"/>
              </w:rPr>
              <w:t xml:space="preserve">190.000,00 HRK  </w:t>
            </w:r>
          </w:p>
        </w:tc>
        <w:tc>
          <w:tcPr>
            <w:tcW w:w="2853" w:type="dxa"/>
            <w:tcBorders>
              <w:top w:val="nil"/>
              <w:left w:val="nil"/>
              <w:bottom w:val="single" w:sz="8" w:space="0" w:color="000080"/>
              <w:right w:val="single" w:sz="8" w:space="0" w:color="auto"/>
            </w:tcBorders>
            <w:shd w:val="clear" w:color="000000" w:fill="F2F2F2"/>
            <w:vAlign w:val="center"/>
            <w:hideMark/>
          </w:tcPr>
          <w:p w:rsidR="0089602E" w:rsidRPr="0089602E" w:rsidRDefault="0089602E" w:rsidP="0089602E">
            <w:pPr>
              <w:spacing w:after="0" w:line="240" w:lineRule="auto"/>
              <w:jc w:val="center"/>
              <w:rPr>
                <w:rFonts w:ascii="Times New Roman" w:eastAsia="Times New Roman" w:hAnsi="Times New Roman" w:cs="Times New Roman"/>
                <w:color w:val="000000"/>
                <w:lang w:val="en-US" w:eastAsia="en-US"/>
              </w:rPr>
            </w:pPr>
            <w:r w:rsidRPr="0089602E">
              <w:rPr>
                <w:rFonts w:ascii="Times New Roman" w:eastAsia="Times New Roman" w:hAnsi="Times New Roman" w:cs="Times New Roman"/>
                <w:color w:val="000000"/>
                <w:lang w:eastAsia="en-US"/>
              </w:rPr>
              <w:t xml:space="preserve">56.000.000,00 HRK </w:t>
            </w:r>
          </w:p>
        </w:tc>
      </w:tr>
      <w:tr w:rsidR="0089602E" w:rsidRPr="0089602E" w:rsidTr="00A27512">
        <w:trPr>
          <w:trHeight w:val="675"/>
        </w:trPr>
        <w:tc>
          <w:tcPr>
            <w:tcW w:w="2567" w:type="dxa"/>
            <w:tcBorders>
              <w:top w:val="nil"/>
              <w:left w:val="single" w:sz="8" w:space="0" w:color="auto"/>
              <w:bottom w:val="single" w:sz="8" w:space="0" w:color="auto"/>
              <w:right w:val="single" w:sz="8" w:space="0" w:color="000080"/>
            </w:tcBorders>
            <w:shd w:val="clear" w:color="000000" w:fill="F2F2F2"/>
            <w:vAlign w:val="center"/>
            <w:hideMark/>
          </w:tcPr>
          <w:p w:rsidR="0089602E" w:rsidRPr="0089602E" w:rsidRDefault="0089602E" w:rsidP="0089602E">
            <w:pPr>
              <w:spacing w:after="0" w:line="240" w:lineRule="auto"/>
              <w:rPr>
                <w:rFonts w:ascii="Times New Roman" w:eastAsia="Times New Roman" w:hAnsi="Times New Roman" w:cs="Times New Roman"/>
                <w:b/>
                <w:bCs/>
                <w:i/>
                <w:iCs/>
                <w:color w:val="000000"/>
                <w:lang w:val="en-US" w:eastAsia="en-US"/>
              </w:rPr>
            </w:pPr>
            <w:r w:rsidRPr="0089602E">
              <w:rPr>
                <w:rFonts w:ascii="Times New Roman" w:eastAsia="Times New Roman" w:hAnsi="Times New Roman" w:cs="Times New Roman"/>
                <w:b/>
                <w:bCs/>
                <w:i/>
                <w:iCs/>
                <w:color w:val="000000"/>
                <w:lang w:eastAsia="en-US"/>
              </w:rPr>
              <w:t>Regionalne potpore za ulaganje</w:t>
            </w:r>
          </w:p>
        </w:tc>
        <w:tc>
          <w:tcPr>
            <w:tcW w:w="3685" w:type="dxa"/>
            <w:tcBorders>
              <w:top w:val="nil"/>
              <w:left w:val="nil"/>
              <w:bottom w:val="single" w:sz="8" w:space="0" w:color="auto"/>
              <w:right w:val="single" w:sz="8" w:space="0" w:color="000080"/>
            </w:tcBorders>
            <w:shd w:val="clear" w:color="000000" w:fill="F2F2F2"/>
            <w:vAlign w:val="center"/>
            <w:hideMark/>
          </w:tcPr>
          <w:p w:rsidR="0089602E" w:rsidRPr="0089602E" w:rsidRDefault="0089602E" w:rsidP="0089602E">
            <w:pPr>
              <w:spacing w:after="0" w:line="240" w:lineRule="auto"/>
              <w:jc w:val="center"/>
              <w:rPr>
                <w:rFonts w:ascii="Times New Roman" w:eastAsia="Times New Roman" w:hAnsi="Times New Roman" w:cs="Times New Roman"/>
                <w:color w:val="000000"/>
                <w:lang w:val="en-US" w:eastAsia="en-US"/>
              </w:rPr>
            </w:pPr>
            <w:r w:rsidRPr="0089602E">
              <w:rPr>
                <w:rFonts w:ascii="Times New Roman" w:eastAsia="Times New Roman" w:hAnsi="Times New Roman" w:cs="Times New Roman"/>
                <w:color w:val="000000"/>
                <w:lang w:eastAsia="en-US"/>
              </w:rPr>
              <w:t xml:space="preserve">190.000,00 HRK  </w:t>
            </w:r>
          </w:p>
        </w:tc>
        <w:tc>
          <w:tcPr>
            <w:tcW w:w="2853" w:type="dxa"/>
            <w:tcBorders>
              <w:top w:val="nil"/>
              <w:left w:val="nil"/>
              <w:bottom w:val="single" w:sz="8" w:space="0" w:color="auto"/>
              <w:right w:val="single" w:sz="8" w:space="0" w:color="auto"/>
            </w:tcBorders>
            <w:shd w:val="clear" w:color="000000" w:fill="F2F2F2"/>
            <w:vAlign w:val="center"/>
            <w:hideMark/>
          </w:tcPr>
          <w:p w:rsidR="0089602E" w:rsidRPr="0089602E" w:rsidRDefault="0089602E" w:rsidP="0089602E">
            <w:pPr>
              <w:spacing w:after="0" w:line="240" w:lineRule="auto"/>
              <w:jc w:val="center"/>
              <w:rPr>
                <w:rFonts w:ascii="Times New Roman" w:eastAsia="Times New Roman" w:hAnsi="Times New Roman" w:cs="Times New Roman"/>
                <w:color w:val="000000"/>
                <w:lang w:val="en-US" w:eastAsia="en-US"/>
              </w:rPr>
            </w:pPr>
            <w:r w:rsidRPr="0089602E">
              <w:rPr>
                <w:rFonts w:ascii="Times New Roman" w:eastAsia="Times New Roman" w:hAnsi="Times New Roman" w:cs="Times New Roman"/>
                <w:color w:val="000000"/>
                <w:lang w:eastAsia="en-US"/>
              </w:rPr>
              <w:t xml:space="preserve">56.000.000,00 HRK </w:t>
            </w:r>
          </w:p>
        </w:tc>
      </w:tr>
    </w:tbl>
    <w:p w:rsidR="00AF1EF0" w:rsidRPr="00F8094A" w:rsidRDefault="00AF1EF0" w:rsidP="0004083B">
      <w:pPr>
        <w:tabs>
          <w:tab w:val="center" w:pos="4320"/>
          <w:tab w:val="right" w:pos="8640"/>
        </w:tabs>
        <w:spacing w:after="0" w:line="360" w:lineRule="auto"/>
        <w:jc w:val="both"/>
        <w:rPr>
          <w:rStyle w:val="hps"/>
          <w:rFonts w:ascii="Times New Roman" w:eastAsia="Times New Roman" w:hAnsi="Times New Roman" w:cs="Times New Roman"/>
          <w:b/>
          <w:bCs/>
          <w:sz w:val="24"/>
          <w:szCs w:val="24"/>
          <w:lang w:val="en-US" w:eastAsia="ar-SA"/>
        </w:rPr>
      </w:pPr>
    </w:p>
    <w:p w:rsidR="00AF1EF0" w:rsidRPr="00F8094A" w:rsidRDefault="00AF1EF0" w:rsidP="0004083B">
      <w:pPr>
        <w:tabs>
          <w:tab w:val="center" w:pos="4320"/>
          <w:tab w:val="right" w:pos="8640"/>
        </w:tabs>
        <w:spacing w:after="0" w:line="360" w:lineRule="auto"/>
        <w:jc w:val="both"/>
        <w:rPr>
          <w:rStyle w:val="hps"/>
          <w:rFonts w:ascii="Times New Roman" w:eastAsia="Times New Roman" w:hAnsi="Times New Roman" w:cs="Times New Roman"/>
          <w:b/>
          <w:bCs/>
          <w:sz w:val="24"/>
          <w:szCs w:val="24"/>
          <w:lang w:val="en-US" w:eastAsia="ar-SA"/>
        </w:rPr>
      </w:pPr>
    </w:p>
    <w:p w:rsidR="00035D57" w:rsidRDefault="00035D57" w:rsidP="00035D57">
      <w:pPr>
        <w:tabs>
          <w:tab w:val="center" w:pos="4320"/>
          <w:tab w:val="right" w:pos="8640"/>
        </w:tabs>
        <w:spacing w:after="0" w:line="360" w:lineRule="auto"/>
        <w:jc w:val="both"/>
        <w:rPr>
          <w:rStyle w:val="hps"/>
          <w:rFonts w:ascii="Times New Roman" w:eastAsia="Times New Roman" w:hAnsi="Times New Roman" w:cs="Times New Roman"/>
          <w:b/>
          <w:bCs/>
          <w:sz w:val="24"/>
          <w:szCs w:val="24"/>
          <w:lang w:val="en-US" w:eastAsia="ar-SA"/>
        </w:rPr>
      </w:pPr>
    </w:p>
    <w:p w:rsidR="0089602E" w:rsidRDefault="0089602E" w:rsidP="00035D57">
      <w:pPr>
        <w:tabs>
          <w:tab w:val="center" w:pos="4320"/>
          <w:tab w:val="right" w:pos="8640"/>
        </w:tabs>
        <w:spacing w:after="0" w:line="360" w:lineRule="auto"/>
        <w:jc w:val="both"/>
        <w:rPr>
          <w:rStyle w:val="hps"/>
          <w:rFonts w:ascii="Times New Roman" w:eastAsia="Times New Roman" w:hAnsi="Times New Roman" w:cs="Times New Roman"/>
          <w:b/>
          <w:bCs/>
          <w:sz w:val="24"/>
          <w:szCs w:val="24"/>
          <w:lang w:val="en-US" w:eastAsia="ar-SA"/>
        </w:rPr>
      </w:pPr>
    </w:p>
    <w:p w:rsidR="0089602E" w:rsidRDefault="0089602E" w:rsidP="00035D57">
      <w:pPr>
        <w:tabs>
          <w:tab w:val="center" w:pos="4320"/>
          <w:tab w:val="right" w:pos="8640"/>
        </w:tabs>
        <w:spacing w:after="0" w:line="360" w:lineRule="auto"/>
        <w:jc w:val="both"/>
        <w:rPr>
          <w:rStyle w:val="hps"/>
          <w:rFonts w:ascii="Times New Roman" w:eastAsia="Times New Roman" w:hAnsi="Times New Roman" w:cs="Times New Roman"/>
          <w:b/>
          <w:bCs/>
          <w:sz w:val="24"/>
          <w:szCs w:val="24"/>
          <w:lang w:val="en-US" w:eastAsia="ar-SA"/>
        </w:rPr>
      </w:pPr>
    </w:p>
    <w:p w:rsidR="00D74C03" w:rsidRPr="00F8094A" w:rsidRDefault="00D74C03" w:rsidP="00035D57">
      <w:pPr>
        <w:tabs>
          <w:tab w:val="center" w:pos="4320"/>
          <w:tab w:val="right" w:pos="8640"/>
        </w:tabs>
        <w:spacing w:after="0" w:line="360" w:lineRule="auto"/>
        <w:jc w:val="both"/>
        <w:rPr>
          <w:rStyle w:val="hps"/>
          <w:rFonts w:ascii="Times New Roman" w:eastAsia="Times New Roman" w:hAnsi="Times New Roman" w:cs="Times New Roman"/>
          <w:b/>
          <w:bCs/>
          <w:sz w:val="24"/>
          <w:szCs w:val="24"/>
          <w:lang w:val="en-US" w:eastAsia="ar-SA"/>
        </w:rPr>
      </w:pPr>
    </w:p>
    <w:p w:rsidR="00F8094A" w:rsidRPr="00F8094A" w:rsidRDefault="00F8094A" w:rsidP="00035D57">
      <w:pPr>
        <w:tabs>
          <w:tab w:val="center" w:pos="4320"/>
          <w:tab w:val="right" w:pos="8640"/>
        </w:tabs>
        <w:spacing w:after="0" w:line="360" w:lineRule="auto"/>
        <w:jc w:val="both"/>
        <w:rPr>
          <w:rStyle w:val="hps"/>
          <w:rFonts w:ascii="Times New Roman" w:eastAsia="Times New Roman" w:hAnsi="Times New Roman" w:cs="Times New Roman"/>
          <w:b/>
          <w:bCs/>
          <w:sz w:val="24"/>
          <w:szCs w:val="24"/>
          <w:lang w:val="en-US" w:eastAsia="ar-SA"/>
        </w:rPr>
      </w:pPr>
    </w:p>
    <w:p w:rsidR="0004083B" w:rsidRPr="00F8094A" w:rsidRDefault="00035D57" w:rsidP="0004083B">
      <w:pPr>
        <w:pStyle w:val="ListParagraph"/>
        <w:numPr>
          <w:ilvl w:val="0"/>
          <w:numId w:val="17"/>
        </w:numPr>
        <w:tabs>
          <w:tab w:val="center" w:pos="4320"/>
          <w:tab w:val="right" w:pos="8640"/>
        </w:tabs>
        <w:spacing w:after="0" w:line="360" w:lineRule="auto"/>
        <w:jc w:val="both"/>
        <w:rPr>
          <w:rStyle w:val="hps"/>
          <w:rFonts w:ascii="Times New Roman" w:eastAsia="Times New Roman" w:hAnsi="Times New Roman" w:cs="Times New Roman"/>
          <w:b/>
          <w:bCs/>
          <w:sz w:val="24"/>
          <w:szCs w:val="24"/>
          <w:lang w:val="de-DE" w:eastAsia="ar-SA"/>
        </w:rPr>
      </w:pPr>
      <w:r w:rsidRPr="00F8094A">
        <w:rPr>
          <w:rStyle w:val="hps"/>
          <w:rFonts w:ascii="Times New Roman" w:hAnsi="Times New Roman" w:cs="Times New Roman"/>
          <w:b/>
          <w:sz w:val="24"/>
          <w:szCs w:val="24"/>
        </w:rPr>
        <w:lastRenderedPageBreak/>
        <w:t xml:space="preserve">Predviđeni </w:t>
      </w:r>
      <w:r w:rsidR="0004083B" w:rsidRPr="00F8094A">
        <w:rPr>
          <w:rStyle w:val="hps"/>
          <w:rFonts w:ascii="Times New Roman" w:hAnsi="Times New Roman" w:cs="Times New Roman"/>
          <w:b/>
          <w:sz w:val="24"/>
          <w:szCs w:val="24"/>
        </w:rPr>
        <w:t>intenzitet potpore</w:t>
      </w:r>
    </w:p>
    <w:p w:rsidR="00F8094A" w:rsidRPr="00F8094A" w:rsidRDefault="00F8094A" w:rsidP="00F8094A">
      <w:pPr>
        <w:tabs>
          <w:tab w:val="center" w:pos="4320"/>
          <w:tab w:val="right" w:pos="8640"/>
        </w:tabs>
        <w:spacing w:after="0" w:line="360" w:lineRule="auto"/>
        <w:jc w:val="both"/>
        <w:rPr>
          <w:rStyle w:val="hps"/>
          <w:rFonts w:ascii="Times New Roman" w:eastAsia="Times New Roman" w:hAnsi="Times New Roman" w:cs="Times New Roman"/>
          <w:b/>
          <w:bCs/>
          <w:sz w:val="24"/>
          <w:szCs w:val="24"/>
          <w:lang w:eastAsia="ar-SA"/>
        </w:rPr>
      </w:pPr>
    </w:p>
    <w:p w:rsidR="00F8094A" w:rsidRPr="00291917" w:rsidRDefault="00F8094A" w:rsidP="00F8094A">
      <w:pPr>
        <w:tabs>
          <w:tab w:val="center" w:pos="4320"/>
          <w:tab w:val="right" w:pos="8640"/>
        </w:tabs>
        <w:spacing w:after="0" w:line="360" w:lineRule="auto"/>
        <w:jc w:val="both"/>
        <w:rPr>
          <w:rStyle w:val="hps"/>
          <w:rFonts w:ascii="Times New Roman" w:eastAsia="Times New Roman" w:hAnsi="Times New Roman" w:cs="Times New Roman"/>
          <w:bCs/>
          <w:sz w:val="24"/>
          <w:szCs w:val="24"/>
          <w:lang w:eastAsia="ar-SA"/>
        </w:rPr>
      </w:pPr>
      <w:r w:rsidRPr="00291917">
        <w:rPr>
          <w:rStyle w:val="hps"/>
          <w:rFonts w:ascii="Times New Roman" w:eastAsia="Times New Roman" w:hAnsi="Times New Roman" w:cs="Times New Roman"/>
          <w:bCs/>
          <w:sz w:val="24"/>
          <w:szCs w:val="24"/>
          <w:lang w:eastAsia="ar-SA"/>
        </w:rPr>
        <w:t>Temeljem Programa dodjele državnih potpora za povećanje razvoja novih proizvoda i usluga koji proizlaze iz aktivnosti istraživanja i razvoja moguće je dodijeliti potporu samo ukoliko ima učinak poticaja, odnosno ukoliko je podnositelj podnio pisani zahtjev za potporu Ministarstvu gospodarstva prije početka rada na projektu. Sredstva državnih potpora iz Programa dodjeljuju se na temelju čl. 14. i čl. 25. Uredbe 651/2014.</w:t>
      </w:r>
    </w:p>
    <w:p w:rsidR="00F8094A" w:rsidRPr="00F8094A" w:rsidRDefault="00F8094A" w:rsidP="00F8094A">
      <w:pPr>
        <w:tabs>
          <w:tab w:val="center" w:pos="4320"/>
          <w:tab w:val="right" w:pos="8640"/>
        </w:tabs>
        <w:spacing w:after="0" w:line="360" w:lineRule="auto"/>
        <w:jc w:val="both"/>
        <w:rPr>
          <w:rStyle w:val="hps"/>
          <w:rFonts w:ascii="Times New Roman" w:eastAsia="Times New Roman" w:hAnsi="Times New Roman" w:cs="Times New Roman"/>
          <w:b/>
          <w:bCs/>
          <w:sz w:val="24"/>
          <w:szCs w:val="24"/>
          <w:lang w:val="de-DE" w:eastAsia="ar-SA"/>
        </w:rPr>
      </w:pPr>
    </w:p>
    <w:p w:rsidR="00F629F8" w:rsidRPr="00F8094A" w:rsidRDefault="00F629F8" w:rsidP="00F629F8">
      <w:pPr>
        <w:spacing w:after="0" w:line="360" w:lineRule="auto"/>
        <w:rPr>
          <w:rFonts w:ascii="Times New Roman" w:hAnsi="Times New Roman" w:cs="Times New Roman"/>
          <w:b/>
          <w:sz w:val="24"/>
          <w:szCs w:val="24"/>
        </w:rPr>
      </w:pPr>
      <w:r w:rsidRPr="00F8094A">
        <w:rPr>
          <w:rFonts w:ascii="Times New Roman" w:hAnsi="Times New Roman" w:cs="Times New Roman"/>
          <w:b/>
          <w:sz w:val="24"/>
          <w:szCs w:val="24"/>
        </w:rPr>
        <w:t>Maksimalni intenzitet potpore</w:t>
      </w:r>
    </w:p>
    <w:tbl>
      <w:tblPr>
        <w:tblStyle w:val="TableGrid"/>
        <w:tblW w:w="0" w:type="auto"/>
        <w:tblLayout w:type="fixed"/>
        <w:tblLook w:val="04A0" w:firstRow="1" w:lastRow="0" w:firstColumn="1" w:lastColumn="0" w:noHBand="0" w:noVBand="1"/>
      </w:tblPr>
      <w:tblGrid>
        <w:gridCol w:w="2376"/>
        <w:gridCol w:w="1134"/>
        <w:gridCol w:w="1134"/>
        <w:gridCol w:w="1276"/>
        <w:gridCol w:w="2977"/>
      </w:tblGrid>
      <w:tr w:rsidR="00F629F8" w:rsidRPr="00F8094A" w:rsidTr="0096665F">
        <w:tc>
          <w:tcPr>
            <w:tcW w:w="2376" w:type="dxa"/>
          </w:tcPr>
          <w:p w:rsidR="00F629F8" w:rsidRPr="00F8094A" w:rsidRDefault="00F629F8" w:rsidP="0025737C">
            <w:pPr>
              <w:rPr>
                <w:rFonts w:ascii="Times New Roman" w:hAnsi="Times New Roman" w:cs="Times New Roman"/>
                <w:sz w:val="24"/>
                <w:szCs w:val="24"/>
              </w:rPr>
            </w:pPr>
          </w:p>
        </w:tc>
        <w:tc>
          <w:tcPr>
            <w:tcW w:w="1134" w:type="dxa"/>
          </w:tcPr>
          <w:p w:rsidR="00F629F8" w:rsidRPr="009A75A2" w:rsidRDefault="00F629F8" w:rsidP="0025737C">
            <w:pPr>
              <w:rPr>
                <w:rFonts w:ascii="Times New Roman" w:hAnsi="Times New Roman" w:cs="Times New Roman"/>
                <w:sz w:val="24"/>
                <w:szCs w:val="24"/>
              </w:rPr>
            </w:pPr>
            <w:r w:rsidRPr="0065353D">
              <w:rPr>
                <w:rFonts w:ascii="Times New Roman" w:hAnsi="Times New Roman" w:cs="Times New Roman"/>
                <w:sz w:val="24"/>
                <w:szCs w:val="24"/>
              </w:rPr>
              <w:t>Malo poduzeće</w:t>
            </w:r>
          </w:p>
        </w:tc>
        <w:tc>
          <w:tcPr>
            <w:tcW w:w="1134" w:type="dxa"/>
          </w:tcPr>
          <w:p w:rsidR="00F629F8" w:rsidRPr="004C53F3" w:rsidRDefault="00F629F8" w:rsidP="0025737C">
            <w:pPr>
              <w:rPr>
                <w:rFonts w:ascii="Times New Roman" w:hAnsi="Times New Roman" w:cs="Times New Roman"/>
                <w:sz w:val="24"/>
                <w:szCs w:val="24"/>
              </w:rPr>
            </w:pPr>
            <w:r w:rsidRPr="009A75A2">
              <w:rPr>
                <w:rFonts w:ascii="Times New Roman" w:hAnsi="Times New Roman" w:cs="Times New Roman"/>
                <w:sz w:val="24"/>
                <w:szCs w:val="24"/>
              </w:rPr>
              <w:t>Srednje poduzeće</w:t>
            </w:r>
          </w:p>
        </w:tc>
        <w:tc>
          <w:tcPr>
            <w:tcW w:w="1276" w:type="dxa"/>
          </w:tcPr>
          <w:p w:rsidR="00F629F8" w:rsidRPr="00F8094A" w:rsidRDefault="00F629F8" w:rsidP="0025737C">
            <w:pPr>
              <w:rPr>
                <w:rFonts w:ascii="Times New Roman" w:hAnsi="Times New Roman" w:cs="Times New Roman"/>
                <w:sz w:val="24"/>
                <w:szCs w:val="24"/>
              </w:rPr>
            </w:pPr>
            <w:r w:rsidRPr="00F8094A">
              <w:rPr>
                <w:rFonts w:ascii="Times New Roman" w:hAnsi="Times New Roman" w:cs="Times New Roman"/>
                <w:sz w:val="24"/>
                <w:szCs w:val="24"/>
              </w:rPr>
              <w:t>Veliko poduzeće</w:t>
            </w:r>
          </w:p>
        </w:tc>
        <w:tc>
          <w:tcPr>
            <w:tcW w:w="2977" w:type="dxa"/>
          </w:tcPr>
          <w:p w:rsidR="00F629F8" w:rsidRPr="00F8094A" w:rsidRDefault="00F629F8" w:rsidP="0025737C">
            <w:pPr>
              <w:rPr>
                <w:rFonts w:ascii="Times New Roman" w:hAnsi="Times New Roman" w:cs="Times New Roman"/>
                <w:sz w:val="24"/>
                <w:szCs w:val="24"/>
              </w:rPr>
            </w:pPr>
            <w:r w:rsidRPr="00F8094A">
              <w:rPr>
                <w:rFonts w:ascii="Times New Roman" w:hAnsi="Times New Roman" w:cs="Times New Roman"/>
                <w:sz w:val="24"/>
                <w:szCs w:val="24"/>
              </w:rPr>
              <w:t xml:space="preserve">Organizacija za istraživanje i širenje znanja (kao </w:t>
            </w:r>
            <w:r w:rsidR="002C4FAD">
              <w:rPr>
                <w:rFonts w:ascii="Times New Roman" w:hAnsi="Times New Roman" w:cs="Times New Roman"/>
                <w:sz w:val="24"/>
                <w:szCs w:val="24"/>
              </w:rPr>
              <w:t>p</w:t>
            </w:r>
            <w:r w:rsidRPr="00F8094A">
              <w:rPr>
                <w:rFonts w:ascii="Times New Roman" w:hAnsi="Times New Roman" w:cs="Times New Roman"/>
                <w:sz w:val="24"/>
                <w:szCs w:val="24"/>
              </w:rPr>
              <w:t>artner na projektu i ne-Korisnik državne potpore)</w:t>
            </w:r>
          </w:p>
        </w:tc>
      </w:tr>
      <w:tr w:rsidR="00F629F8" w:rsidRPr="00F8094A" w:rsidTr="0096665F">
        <w:tc>
          <w:tcPr>
            <w:tcW w:w="2376" w:type="dxa"/>
          </w:tcPr>
          <w:p w:rsidR="00F629F8" w:rsidRPr="00F8094A" w:rsidRDefault="00F629F8" w:rsidP="0025737C">
            <w:pPr>
              <w:rPr>
                <w:rFonts w:ascii="Times New Roman" w:hAnsi="Times New Roman" w:cs="Times New Roman"/>
                <w:b/>
                <w:sz w:val="24"/>
                <w:szCs w:val="24"/>
              </w:rPr>
            </w:pPr>
            <w:r w:rsidRPr="00F8094A">
              <w:rPr>
                <w:rFonts w:ascii="Times New Roman" w:hAnsi="Times New Roman" w:cs="Times New Roman"/>
                <w:b/>
                <w:sz w:val="24"/>
                <w:szCs w:val="24"/>
              </w:rPr>
              <w:t>Potpore za projekte istraživanja i razvoja</w:t>
            </w:r>
          </w:p>
        </w:tc>
        <w:tc>
          <w:tcPr>
            <w:tcW w:w="1134" w:type="dxa"/>
          </w:tcPr>
          <w:p w:rsidR="00F629F8" w:rsidRPr="0065353D" w:rsidRDefault="00F629F8" w:rsidP="0025737C">
            <w:pPr>
              <w:rPr>
                <w:rFonts w:ascii="Times New Roman" w:hAnsi="Times New Roman" w:cs="Times New Roman"/>
                <w:b/>
                <w:sz w:val="24"/>
                <w:szCs w:val="24"/>
              </w:rPr>
            </w:pPr>
          </w:p>
        </w:tc>
        <w:tc>
          <w:tcPr>
            <w:tcW w:w="1134" w:type="dxa"/>
          </w:tcPr>
          <w:p w:rsidR="00F629F8" w:rsidRPr="009A75A2" w:rsidRDefault="00F629F8" w:rsidP="0025737C">
            <w:pPr>
              <w:rPr>
                <w:rFonts w:ascii="Times New Roman" w:hAnsi="Times New Roman" w:cs="Times New Roman"/>
                <w:b/>
                <w:sz w:val="24"/>
                <w:szCs w:val="24"/>
              </w:rPr>
            </w:pPr>
          </w:p>
        </w:tc>
        <w:tc>
          <w:tcPr>
            <w:tcW w:w="1276" w:type="dxa"/>
          </w:tcPr>
          <w:p w:rsidR="00F629F8" w:rsidRPr="009A75A2" w:rsidRDefault="00F629F8" w:rsidP="0025737C">
            <w:pPr>
              <w:rPr>
                <w:rFonts w:ascii="Times New Roman" w:hAnsi="Times New Roman" w:cs="Times New Roman"/>
                <w:b/>
                <w:sz w:val="24"/>
                <w:szCs w:val="24"/>
              </w:rPr>
            </w:pPr>
          </w:p>
        </w:tc>
        <w:tc>
          <w:tcPr>
            <w:tcW w:w="2977" w:type="dxa"/>
          </w:tcPr>
          <w:p w:rsidR="00F629F8" w:rsidRPr="004C53F3" w:rsidRDefault="00F629F8" w:rsidP="0025737C">
            <w:pPr>
              <w:rPr>
                <w:rFonts w:ascii="Times New Roman" w:hAnsi="Times New Roman" w:cs="Times New Roman"/>
                <w:b/>
                <w:sz w:val="24"/>
                <w:szCs w:val="24"/>
              </w:rPr>
            </w:pPr>
          </w:p>
        </w:tc>
      </w:tr>
      <w:tr w:rsidR="00F629F8" w:rsidRPr="00F8094A" w:rsidTr="0096665F">
        <w:tc>
          <w:tcPr>
            <w:tcW w:w="2376" w:type="dxa"/>
          </w:tcPr>
          <w:p w:rsidR="00F629F8" w:rsidRPr="00F8094A" w:rsidRDefault="00F629F8" w:rsidP="0025737C">
            <w:pPr>
              <w:rPr>
                <w:rFonts w:ascii="Times New Roman" w:hAnsi="Times New Roman" w:cs="Times New Roman"/>
                <w:sz w:val="24"/>
                <w:szCs w:val="24"/>
              </w:rPr>
            </w:pPr>
            <w:r w:rsidRPr="00F8094A">
              <w:rPr>
                <w:rFonts w:ascii="Times New Roman" w:hAnsi="Times New Roman" w:cs="Times New Roman"/>
                <w:sz w:val="24"/>
                <w:szCs w:val="24"/>
              </w:rPr>
              <w:t>Temeljno istraživanje</w:t>
            </w:r>
          </w:p>
        </w:tc>
        <w:tc>
          <w:tcPr>
            <w:tcW w:w="1134"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100%</w:t>
            </w:r>
          </w:p>
        </w:tc>
        <w:tc>
          <w:tcPr>
            <w:tcW w:w="1134" w:type="dxa"/>
          </w:tcPr>
          <w:p w:rsidR="00F629F8" w:rsidRPr="0065353D" w:rsidRDefault="00F629F8" w:rsidP="0025737C">
            <w:pPr>
              <w:jc w:val="center"/>
              <w:rPr>
                <w:rFonts w:ascii="Times New Roman" w:hAnsi="Times New Roman" w:cs="Times New Roman"/>
                <w:sz w:val="24"/>
                <w:szCs w:val="24"/>
              </w:rPr>
            </w:pPr>
            <w:r w:rsidRPr="0065353D">
              <w:rPr>
                <w:rFonts w:ascii="Times New Roman" w:hAnsi="Times New Roman" w:cs="Times New Roman"/>
                <w:sz w:val="24"/>
                <w:szCs w:val="24"/>
              </w:rPr>
              <w:t>100%</w:t>
            </w:r>
          </w:p>
        </w:tc>
        <w:tc>
          <w:tcPr>
            <w:tcW w:w="1276" w:type="dxa"/>
          </w:tcPr>
          <w:p w:rsidR="00F629F8" w:rsidRPr="009A75A2" w:rsidRDefault="00F629F8" w:rsidP="0025737C">
            <w:pPr>
              <w:jc w:val="center"/>
              <w:rPr>
                <w:rFonts w:ascii="Times New Roman" w:hAnsi="Times New Roman" w:cs="Times New Roman"/>
                <w:sz w:val="24"/>
                <w:szCs w:val="24"/>
              </w:rPr>
            </w:pPr>
            <w:r w:rsidRPr="009A75A2">
              <w:rPr>
                <w:rFonts w:ascii="Times New Roman" w:hAnsi="Times New Roman" w:cs="Times New Roman"/>
                <w:sz w:val="24"/>
                <w:szCs w:val="24"/>
              </w:rPr>
              <w:t>100%</w:t>
            </w:r>
          </w:p>
        </w:tc>
        <w:tc>
          <w:tcPr>
            <w:tcW w:w="2977" w:type="dxa"/>
          </w:tcPr>
          <w:p w:rsidR="00F629F8" w:rsidRPr="004C53F3" w:rsidRDefault="00F629F8" w:rsidP="0025737C">
            <w:pPr>
              <w:jc w:val="center"/>
              <w:rPr>
                <w:rFonts w:ascii="Times New Roman" w:hAnsi="Times New Roman" w:cs="Times New Roman"/>
                <w:sz w:val="24"/>
                <w:szCs w:val="24"/>
              </w:rPr>
            </w:pPr>
            <w:r w:rsidRPr="004C53F3">
              <w:rPr>
                <w:rFonts w:ascii="Times New Roman" w:hAnsi="Times New Roman" w:cs="Times New Roman"/>
                <w:sz w:val="24"/>
                <w:szCs w:val="24"/>
              </w:rPr>
              <w:t>100%</w:t>
            </w:r>
          </w:p>
        </w:tc>
      </w:tr>
      <w:tr w:rsidR="00F629F8" w:rsidRPr="00F8094A" w:rsidTr="0096665F">
        <w:tc>
          <w:tcPr>
            <w:tcW w:w="2376" w:type="dxa"/>
          </w:tcPr>
          <w:p w:rsidR="00F629F8" w:rsidRPr="00F8094A" w:rsidRDefault="00F629F8" w:rsidP="0025737C">
            <w:pPr>
              <w:rPr>
                <w:rFonts w:ascii="Times New Roman" w:hAnsi="Times New Roman" w:cs="Times New Roman"/>
                <w:sz w:val="24"/>
                <w:szCs w:val="24"/>
              </w:rPr>
            </w:pPr>
            <w:r w:rsidRPr="00F8094A">
              <w:rPr>
                <w:rFonts w:ascii="Times New Roman" w:hAnsi="Times New Roman" w:cs="Times New Roman"/>
                <w:sz w:val="24"/>
                <w:szCs w:val="24"/>
              </w:rPr>
              <w:t>Industrijsko istraživanje</w:t>
            </w:r>
          </w:p>
        </w:tc>
        <w:tc>
          <w:tcPr>
            <w:tcW w:w="1134" w:type="dxa"/>
          </w:tcPr>
          <w:p w:rsidR="00F629F8" w:rsidRPr="0065353D" w:rsidRDefault="00F629F8" w:rsidP="0025737C">
            <w:pPr>
              <w:jc w:val="center"/>
              <w:rPr>
                <w:rFonts w:ascii="Times New Roman" w:hAnsi="Times New Roman" w:cs="Times New Roman"/>
                <w:sz w:val="24"/>
                <w:szCs w:val="24"/>
              </w:rPr>
            </w:pPr>
            <w:r w:rsidRPr="0065353D">
              <w:rPr>
                <w:rFonts w:ascii="Times New Roman" w:hAnsi="Times New Roman" w:cs="Times New Roman"/>
                <w:sz w:val="24"/>
                <w:szCs w:val="24"/>
              </w:rPr>
              <w:t>70%</w:t>
            </w:r>
          </w:p>
        </w:tc>
        <w:tc>
          <w:tcPr>
            <w:tcW w:w="1134" w:type="dxa"/>
          </w:tcPr>
          <w:p w:rsidR="00F629F8" w:rsidRPr="009A75A2" w:rsidRDefault="00F629F8" w:rsidP="0025737C">
            <w:pPr>
              <w:jc w:val="center"/>
              <w:rPr>
                <w:rFonts w:ascii="Times New Roman" w:hAnsi="Times New Roman" w:cs="Times New Roman"/>
                <w:sz w:val="24"/>
                <w:szCs w:val="24"/>
              </w:rPr>
            </w:pPr>
            <w:r w:rsidRPr="009A75A2">
              <w:rPr>
                <w:rFonts w:ascii="Times New Roman" w:hAnsi="Times New Roman" w:cs="Times New Roman"/>
                <w:sz w:val="24"/>
                <w:szCs w:val="24"/>
              </w:rPr>
              <w:t>60%</w:t>
            </w:r>
          </w:p>
        </w:tc>
        <w:tc>
          <w:tcPr>
            <w:tcW w:w="1276" w:type="dxa"/>
          </w:tcPr>
          <w:p w:rsidR="00F629F8" w:rsidRPr="004C53F3" w:rsidRDefault="00F629F8" w:rsidP="0025737C">
            <w:pPr>
              <w:jc w:val="center"/>
              <w:rPr>
                <w:rFonts w:ascii="Times New Roman" w:hAnsi="Times New Roman" w:cs="Times New Roman"/>
                <w:sz w:val="24"/>
                <w:szCs w:val="24"/>
              </w:rPr>
            </w:pPr>
            <w:r w:rsidRPr="004C53F3">
              <w:rPr>
                <w:rFonts w:ascii="Times New Roman" w:hAnsi="Times New Roman" w:cs="Times New Roman"/>
                <w:sz w:val="24"/>
                <w:szCs w:val="24"/>
              </w:rPr>
              <w:t>50%</w:t>
            </w:r>
          </w:p>
        </w:tc>
        <w:tc>
          <w:tcPr>
            <w:tcW w:w="2977"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85%</w:t>
            </w:r>
          </w:p>
        </w:tc>
      </w:tr>
      <w:tr w:rsidR="00F629F8" w:rsidRPr="00F8094A" w:rsidTr="0096665F">
        <w:tc>
          <w:tcPr>
            <w:tcW w:w="2376" w:type="dxa"/>
          </w:tcPr>
          <w:p w:rsidR="00F629F8" w:rsidRPr="00F8094A" w:rsidRDefault="00035D57" w:rsidP="0025737C">
            <w:pPr>
              <w:rPr>
                <w:rFonts w:ascii="Times New Roman" w:hAnsi="Times New Roman" w:cs="Times New Roman"/>
                <w:sz w:val="24"/>
                <w:szCs w:val="24"/>
              </w:rPr>
            </w:pPr>
            <w:r w:rsidRPr="00F8094A">
              <w:rPr>
                <w:rFonts w:ascii="Times New Roman" w:hAnsi="Times New Roman" w:cs="Times New Roman"/>
                <w:sz w:val="24"/>
                <w:szCs w:val="24"/>
              </w:rPr>
              <w:t xml:space="preserve"> P</w:t>
            </w:r>
            <w:r w:rsidR="00F629F8" w:rsidRPr="00F8094A">
              <w:rPr>
                <w:rFonts w:ascii="Times New Roman" w:hAnsi="Times New Roman" w:cs="Times New Roman"/>
                <w:sz w:val="24"/>
                <w:szCs w:val="24"/>
              </w:rPr>
              <w:t xml:space="preserve">odložno učinkovitoj suradnji </w:t>
            </w:r>
          </w:p>
          <w:p w:rsidR="00F629F8" w:rsidRPr="009A75A2" w:rsidRDefault="00035D57" w:rsidP="0025737C">
            <w:pPr>
              <w:rPr>
                <w:rFonts w:ascii="Times New Roman" w:hAnsi="Times New Roman" w:cs="Times New Roman"/>
                <w:sz w:val="24"/>
                <w:szCs w:val="24"/>
              </w:rPr>
            </w:pPr>
            <w:r w:rsidRPr="0065353D">
              <w:rPr>
                <w:rFonts w:ascii="Times New Roman" w:hAnsi="Times New Roman" w:cs="Times New Roman"/>
                <w:sz w:val="24"/>
                <w:szCs w:val="24"/>
              </w:rPr>
              <w:t>P</w:t>
            </w:r>
            <w:r w:rsidR="00F629F8" w:rsidRPr="0065353D">
              <w:rPr>
                <w:rFonts w:ascii="Times New Roman" w:hAnsi="Times New Roman" w:cs="Times New Roman"/>
                <w:sz w:val="24"/>
                <w:szCs w:val="24"/>
              </w:rPr>
              <w:t>odložno opsežnom širenju znanja</w:t>
            </w:r>
          </w:p>
        </w:tc>
        <w:tc>
          <w:tcPr>
            <w:tcW w:w="1134" w:type="dxa"/>
          </w:tcPr>
          <w:p w:rsidR="00F629F8" w:rsidRPr="004C53F3" w:rsidRDefault="00F629F8" w:rsidP="0025737C">
            <w:pPr>
              <w:jc w:val="center"/>
              <w:rPr>
                <w:rFonts w:ascii="Times New Roman" w:hAnsi="Times New Roman" w:cs="Times New Roman"/>
                <w:sz w:val="24"/>
                <w:szCs w:val="24"/>
              </w:rPr>
            </w:pPr>
            <w:r w:rsidRPr="009A75A2">
              <w:rPr>
                <w:rFonts w:ascii="Times New Roman" w:hAnsi="Times New Roman" w:cs="Times New Roman"/>
                <w:sz w:val="24"/>
                <w:szCs w:val="24"/>
              </w:rPr>
              <w:t>80%</w:t>
            </w:r>
          </w:p>
        </w:tc>
        <w:tc>
          <w:tcPr>
            <w:tcW w:w="1134"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75%</w:t>
            </w:r>
          </w:p>
        </w:tc>
        <w:tc>
          <w:tcPr>
            <w:tcW w:w="1276"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65%</w:t>
            </w:r>
          </w:p>
        </w:tc>
        <w:tc>
          <w:tcPr>
            <w:tcW w:w="2977"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85%</w:t>
            </w:r>
          </w:p>
        </w:tc>
      </w:tr>
      <w:tr w:rsidR="00F629F8" w:rsidRPr="00F8094A" w:rsidTr="0096665F">
        <w:tc>
          <w:tcPr>
            <w:tcW w:w="2376" w:type="dxa"/>
          </w:tcPr>
          <w:p w:rsidR="00F629F8" w:rsidRPr="00F8094A" w:rsidRDefault="00F629F8" w:rsidP="0025737C">
            <w:pPr>
              <w:rPr>
                <w:rFonts w:ascii="Times New Roman" w:hAnsi="Times New Roman" w:cs="Times New Roman"/>
                <w:sz w:val="24"/>
                <w:szCs w:val="24"/>
              </w:rPr>
            </w:pPr>
            <w:r w:rsidRPr="00F8094A">
              <w:rPr>
                <w:rFonts w:ascii="Times New Roman" w:hAnsi="Times New Roman" w:cs="Times New Roman"/>
                <w:sz w:val="24"/>
                <w:szCs w:val="24"/>
              </w:rPr>
              <w:t>Eksperimentalni razvoj</w:t>
            </w:r>
          </w:p>
        </w:tc>
        <w:tc>
          <w:tcPr>
            <w:tcW w:w="1134" w:type="dxa"/>
          </w:tcPr>
          <w:p w:rsidR="00F629F8" w:rsidRPr="0065353D" w:rsidRDefault="00F629F8" w:rsidP="0025737C">
            <w:pPr>
              <w:jc w:val="center"/>
              <w:rPr>
                <w:rFonts w:ascii="Times New Roman" w:hAnsi="Times New Roman" w:cs="Times New Roman"/>
                <w:sz w:val="24"/>
                <w:szCs w:val="24"/>
              </w:rPr>
            </w:pPr>
            <w:r w:rsidRPr="0065353D">
              <w:rPr>
                <w:rFonts w:ascii="Times New Roman" w:hAnsi="Times New Roman" w:cs="Times New Roman"/>
                <w:sz w:val="24"/>
                <w:szCs w:val="24"/>
              </w:rPr>
              <w:t>45%</w:t>
            </w:r>
          </w:p>
        </w:tc>
        <w:tc>
          <w:tcPr>
            <w:tcW w:w="1134" w:type="dxa"/>
          </w:tcPr>
          <w:p w:rsidR="00F629F8" w:rsidRPr="009A75A2" w:rsidRDefault="00F629F8" w:rsidP="0025737C">
            <w:pPr>
              <w:jc w:val="center"/>
              <w:rPr>
                <w:rFonts w:ascii="Times New Roman" w:hAnsi="Times New Roman" w:cs="Times New Roman"/>
                <w:sz w:val="24"/>
                <w:szCs w:val="24"/>
              </w:rPr>
            </w:pPr>
            <w:r w:rsidRPr="009A75A2">
              <w:rPr>
                <w:rFonts w:ascii="Times New Roman" w:hAnsi="Times New Roman" w:cs="Times New Roman"/>
                <w:sz w:val="24"/>
                <w:szCs w:val="24"/>
              </w:rPr>
              <w:t>35%</w:t>
            </w:r>
          </w:p>
        </w:tc>
        <w:tc>
          <w:tcPr>
            <w:tcW w:w="1276" w:type="dxa"/>
          </w:tcPr>
          <w:p w:rsidR="00F629F8" w:rsidRPr="004C53F3" w:rsidRDefault="00F629F8" w:rsidP="0025737C">
            <w:pPr>
              <w:jc w:val="center"/>
              <w:rPr>
                <w:rFonts w:ascii="Times New Roman" w:hAnsi="Times New Roman" w:cs="Times New Roman"/>
                <w:sz w:val="24"/>
                <w:szCs w:val="24"/>
              </w:rPr>
            </w:pPr>
            <w:r w:rsidRPr="004C53F3">
              <w:rPr>
                <w:rFonts w:ascii="Times New Roman" w:hAnsi="Times New Roman" w:cs="Times New Roman"/>
                <w:sz w:val="24"/>
                <w:szCs w:val="24"/>
              </w:rPr>
              <w:t>25%</w:t>
            </w:r>
          </w:p>
        </w:tc>
        <w:tc>
          <w:tcPr>
            <w:tcW w:w="2977"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85%</w:t>
            </w:r>
          </w:p>
        </w:tc>
      </w:tr>
      <w:tr w:rsidR="00F629F8" w:rsidRPr="00F8094A" w:rsidTr="0096665F">
        <w:tc>
          <w:tcPr>
            <w:tcW w:w="2376" w:type="dxa"/>
          </w:tcPr>
          <w:p w:rsidR="00F629F8" w:rsidRPr="00F8094A" w:rsidRDefault="00035D57" w:rsidP="0025737C">
            <w:pPr>
              <w:rPr>
                <w:rFonts w:ascii="Times New Roman" w:hAnsi="Times New Roman" w:cs="Times New Roman"/>
                <w:sz w:val="24"/>
                <w:szCs w:val="24"/>
              </w:rPr>
            </w:pPr>
            <w:r w:rsidRPr="00F8094A">
              <w:rPr>
                <w:rFonts w:ascii="Times New Roman" w:hAnsi="Times New Roman" w:cs="Times New Roman"/>
                <w:sz w:val="24"/>
                <w:szCs w:val="24"/>
              </w:rPr>
              <w:t>P</w:t>
            </w:r>
            <w:r w:rsidR="00F629F8" w:rsidRPr="00F8094A">
              <w:rPr>
                <w:rFonts w:ascii="Times New Roman" w:hAnsi="Times New Roman" w:cs="Times New Roman"/>
                <w:sz w:val="24"/>
                <w:szCs w:val="24"/>
              </w:rPr>
              <w:t xml:space="preserve">odložno učinkovitoj suradnji </w:t>
            </w:r>
          </w:p>
          <w:p w:rsidR="00F629F8" w:rsidRPr="009A75A2" w:rsidRDefault="00035D57" w:rsidP="0025737C">
            <w:pPr>
              <w:rPr>
                <w:rFonts w:ascii="Times New Roman" w:hAnsi="Times New Roman" w:cs="Times New Roman"/>
                <w:sz w:val="24"/>
                <w:szCs w:val="24"/>
              </w:rPr>
            </w:pPr>
            <w:r w:rsidRPr="0065353D">
              <w:rPr>
                <w:rFonts w:ascii="Times New Roman" w:hAnsi="Times New Roman" w:cs="Times New Roman"/>
                <w:sz w:val="24"/>
                <w:szCs w:val="24"/>
              </w:rPr>
              <w:t>P</w:t>
            </w:r>
            <w:r w:rsidR="00F629F8" w:rsidRPr="0065353D">
              <w:rPr>
                <w:rFonts w:ascii="Times New Roman" w:hAnsi="Times New Roman" w:cs="Times New Roman"/>
                <w:sz w:val="24"/>
                <w:szCs w:val="24"/>
              </w:rPr>
              <w:t>odložno opsežnom širenju znanja</w:t>
            </w:r>
          </w:p>
        </w:tc>
        <w:tc>
          <w:tcPr>
            <w:tcW w:w="1134" w:type="dxa"/>
          </w:tcPr>
          <w:p w:rsidR="00F629F8" w:rsidRPr="004C53F3" w:rsidRDefault="00F629F8" w:rsidP="0025737C">
            <w:pPr>
              <w:jc w:val="center"/>
              <w:rPr>
                <w:rFonts w:ascii="Times New Roman" w:hAnsi="Times New Roman" w:cs="Times New Roman"/>
                <w:sz w:val="24"/>
                <w:szCs w:val="24"/>
              </w:rPr>
            </w:pPr>
            <w:r w:rsidRPr="009A75A2">
              <w:rPr>
                <w:rFonts w:ascii="Times New Roman" w:hAnsi="Times New Roman" w:cs="Times New Roman"/>
                <w:sz w:val="24"/>
                <w:szCs w:val="24"/>
              </w:rPr>
              <w:t>60%</w:t>
            </w:r>
          </w:p>
        </w:tc>
        <w:tc>
          <w:tcPr>
            <w:tcW w:w="1134"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50%</w:t>
            </w:r>
          </w:p>
        </w:tc>
        <w:tc>
          <w:tcPr>
            <w:tcW w:w="1276"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40%</w:t>
            </w:r>
          </w:p>
        </w:tc>
        <w:tc>
          <w:tcPr>
            <w:tcW w:w="2977"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85%</w:t>
            </w:r>
          </w:p>
        </w:tc>
      </w:tr>
      <w:tr w:rsidR="00F629F8" w:rsidRPr="00F8094A" w:rsidTr="0096665F">
        <w:tc>
          <w:tcPr>
            <w:tcW w:w="2376" w:type="dxa"/>
          </w:tcPr>
          <w:p w:rsidR="00F629F8" w:rsidRPr="00F8094A" w:rsidRDefault="00F629F8" w:rsidP="0025737C">
            <w:pPr>
              <w:rPr>
                <w:rFonts w:ascii="Times New Roman" w:hAnsi="Times New Roman" w:cs="Times New Roman"/>
                <w:sz w:val="24"/>
                <w:szCs w:val="24"/>
              </w:rPr>
            </w:pPr>
            <w:r w:rsidRPr="00F8094A">
              <w:rPr>
                <w:rFonts w:ascii="Times New Roman" w:hAnsi="Times New Roman" w:cs="Times New Roman"/>
                <w:sz w:val="24"/>
                <w:szCs w:val="24"/>
              </w:rPr>
              <w:t>Potpore za studije izvedivosti</w:t>
            </w:r>
          </w:p>
        </w:tc>
        <w:tc>
          <w:tcPr>
            <w:tcW w:w="1134" w:type="dxa"/>
          </w:tcPr>
          <w:p w:rsidR="00F629F8" w:rsidRPr="0065353D" w:rsidRDefault="00F629F8" w:rsidP="0025737C">
            <w:pPr>
              <w:jc w:val="center"/>
              <w:rPr>
                <w:rFonts w:ascii="Times New Roman" w:hAnsi="Times New Roman" w:cs="Times New Roman"/>
                <w:sz w:val="24"/>
                <w:szCs w:val="24"/>
              </w:rPr>
            </w:pPr>
            <w:r w:rsidRPr="0065353D">
              <w:rPr>
                <w:rFonts w:ascii="Times New Roman" w:hAnsi="Times New Roman" w:cs="Times New Roman"/>
                <w:sz w:val="24"/>
                <w:szCs w:val="24"/>
              </w:rPr>
              <w:t>70%</w:t>
            </w:r>
          </w:p>
        </w:tc>
        <w:tc>
          <w:tcPr>
            <w:tcW w:w="1134" w:type="dxa"/>
          </w:tcPr>
          <w:p w:rsidR="00F629F8" w:rsidRPr="009A75A2" w:rsidRDefault="00F629F8" w:rsidP="0025737C">
            <w:pPr>
              <w:jc w:val="center"/>
              <w:rPr>
                <w:rFonts w:ascii="Times New Roman" w:hAnsi="Times New Roman" w:cs="Times New Roman"/>
                <w:sz w:val="24"/>
                <w:szCs w:val="24"/>
              </w:rPr>
            </w:pPr>
            <w:r w:rsidRPr="009A75A2">
              <w:rPr>
                <w:rFonts w:ascii="Times New Roman" w:hAnsi="Times New Roman" w:cs="Times New Roman"/>
                <w:sz w:val="24"/>
                <w:szCs w:val="24"/>
              </w:rPr>
              <w:t>60%</w:t>
            </w:r>
          </w:p>
        </w:tc>
        <w:tc>
          <w:tcPr>
            <w:tcW w:w="1276" w:type="dxa"/>
          </w:tcPr>
          <w:p w:rsidR="00F629F8" w:rsidRPr="004C53F3" w:rsidRDefault="00F629F8" w:rsidP="0025737C">
            <w:pPr>
              <w:jc w:val="center"/>
              <w:rPr>
                <w:rFonts w:ascii="Times New Roman" w:hAnsi="Times New Roman" w:cs="Times New Roman"/>
                <w:sz w:val="24"/>
                <w:szCs w:val="24"/>
              </w:rPr>
            </w:pPr>
            <w:r w:rsidRPr="004C53F3">
              <w:rPr>
                <w:rFonts w:ascii="Times New Roman" w:hAnsi="Times New Roman" w:cs="Times New Roman"/>
                <w:sz w:val="24"/>
                <w:szCs w:val="24"/>
              </w:rPr>
              <w:t>50%</w:t>
            </w:r>
          </w:p>
        </w:tc>
        <w:tc>
          <w:tcPr>
            <w:tcW w:w="2977"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w:t>
            </w:r>
          </w:p>
        </w:tc>
      </w:tr>
      <w:tr w:rsidR="00F629F8" w:rsidRPr="00F8094A" w:rsidTr="0096665F">
        <w:tc>
          <w:tcPr>
            <w:tcW w:w="2376" w:type="dxa"/>
          </w:tcPr>
          <w:p w:rsidR="00F629F8" w:rsidRPr="00F8094A" w:rsidRDefault="00F629F8" w:rsidP="0025737C">
            <w:pPr>
              <w:rPr>
                <w:rFonts w:ascii="Times New Roman" w:hAnsi="Times New Roman" w:cs="Times New Roman"/>
                <w:b/>
                <w:sz w:val="24"/>
                <w:szCs w:val="24"/>
              </w:rPr>
            </w:pPr>
            <w:r w:rsidRPr="00F8094A">
              <w:rPr>
                <w:rFonts w:ascii="Times New Roman" w:hAnsi="Times New Roman" w:cs="Times New Roman"/>
                <w:b/>
                <w:sz w:val="24"/>
                <w:szCs w:val="24"/>
              </w:rPr>
              <w:t>Regionalne potpore za ulaganje</w:t>
            </w:r>
            <w:r w:rsidRPr="00F8094A">
              <w:rPr>
                <w:rStyle w:val="FootnoteReference"/>
                <w:rFonts w:ascii="Times New Roman" w:hAnsi="Times New Roman"/>
                <w:b/>
                <w:sz w:val="24"/>
                <w:szCs w:val="24"/>
              </w:rPr>
              <w:footnoteReference w:id="1"/>
            </w:r>
          </w:p>
        </w:tc>
        <w:tc>
          <w:tcPr>
            <w:tcW w:w="1134" w:type="dxa"/>
          </w:tcPr>
          <w:p w:rsidR="00F629F8" w:rsidRPr="00F8094A" w:rsidRDefault="00F629F8" w:rsidP="0025737C">
            <w:pPr>
              <w:jc w:val="center"/>
              <w:rPr>
                <w:rFonts w:ascii="Times New Roman" w:hAnsi="Times New Roman" w:cs="Times New Roman"/>
                <w:sz w:val="24"/>
                <w:szCs w:val="24"/>
              </w:rPr>
            </w:pPr>
            <w:r w:rsidRPr="00F8094A">
              <w:rPr>
                <w:rFonts w:ascii="Times New Roman" w:hAnsi="Times New Roman" w:cs="Times New Roman"/>
                <w:sz w:val="24"/>
                <w:szCs w:val="24"/>
              </w:rPr>
              <w:t>45%</w:t>
            </w:r>
          </w:p>
        </w:tc>
        <w:tc>
          <w:tcPr>
            <w:tcW w:w="1134" w:type="dxa"/>
          </w:tcPr>
          <w:p w:rsidR="00F629F8" w:rsidRPr="0065353D" w:rsidRDefault="00F629F8" w:rsidP="0025737C">
            <w:pPr>
              <w:jc w:val="center"/>
              <w:rPr>
                <w:rFonts w:ascii="Times New Roman" w:hAnsi="Times New Roman" w:cs="Times New Roman"/>
                <w:sz w:val="24"/>
                <w:szCs w:val="24"/>
              </w:rPr>
            </w:pPr>
            <w:r w:rsidRPr="0065353D">
              <w:rPr>
                <w:rFonts w:ascii="Times New Roman" w:hAnsi="Times New Roman" w:cs="Times New Roman"/>
                <w:sz w:val="24"/>
                <w:szCs w:val="24"/>
              </w:rPr>
              <w:t>35%</w:t>
            </w:r>
          </w:p>
        </w:tc>
        <w:tc>
          <w:tcPr>
            <w:tcW w:w="1276" w:type="dxa"/>
          </w:tcPr>
          <w:p w:rsidR="00F629F8" w:rsidRPr="009A75A2" w:rsidRDefault="00F629F8" w:rsidP="0025737C">
            <w:pPr>
              <w:jc w:val="center"/>
              <w:rPr>
                <w:rFonts w:ascii="Times New Roman" w:hAnsi="Times New Roman" w:cs="Times New Roman"/>
                <w:sz w:val="24"/>
                <w:szCs w:val="24"/>
              </w:rPr>
            </w:pPr>
            <w:r w:rsidRPr="009A75A2">
              <w:rPr>
                <w:rFonts w:ascii="Times New Roman" w:hAnsi="Times New Roman" w:cs="Times New Roman"/>
                <w:sz w:val="24"/>
                <w:szCs w:val="24"/>
              </w:rPr>
              <w:t>25%</w:t>
            </w:r>
          </w:p>
        </w:tc>
        <w:tc>
          <w:tcPr>
            <w:tcW w:w="2977" w:type="dxa"/>
          </w:tcPr>
          <w:p w:rsidR="00F629F8" w:rsidRPr="004C53F3" w:rsidRDefault="00F629F8" w:rsidP="0025737C">
            <w:pPr>
              <w:jc w:val="center"/>
              <w:rPr>
                <w:rFonts w:ascii="Times New Roman" w:hAnsi="Times New Roman" w:cs="Times New Roman"/>
                <w:sz w:val="24"/>
                <w:szCs w:val="24"/>
              </w:rPr>
            </w:pPr>
            <w:r w:rsidRPr="004C53F3">
              <w:rPr>
                <w:rFonts w:ascii="Times New Roman" w:hAnsi="Times New Roman" w:cs="Times New Roman"/>
                <w:sz w:val="24"/>
                <w:szCs w:val="24"/>
              </w:rPr>
              <w:t>/</w:t>
            </w:r>
          </w:p>
        </w:tc>
      </w:tr>
    </w:tbl>
    <w:p w:rsidR="0004083B" w:rsidRPr="0065353D" w:rsidRDefault="0004083B" w:rsidP="0004083B">
      <w:pPr>
        <w:tabs>
          <w:tab w:val="left" w:pos="0"/>
          <w:tab w:val="left" w:pos="284"/>
        </w:tabs>
        <w:spacing w:after="0" w:line="360" w:lineRule="auto"/>
        <w:jc w:val="both"/>
        <w:rPr>
          <w:rFonts w:ascii="Times New Roman" w:eastAsiaTheme="minorHAnsi" w:hAnsi="Times New Roman" w:cs="Times New Roman"/>
          <w:b/>
          <w:sz w:val="24"/>
          <w:szCs w:val="24"/>
          <w:lang w:eastAsia="en-US"/>
        </w:rPr>
      </w:pPr>
    </w:p>
    <w:p w:rsidR="00731923" w:rsidRPr="0065353D" w:rsidRDefault="00731923" w:rsidP="00731923">
      <w:pPr>
        <w:pStyle w:val="ListParagraph"/>
        <w:numPr>
          <w:ilvl w:val="0"/>
          <w:numId w:val="26"/>
        </w:numPr>
        <w:tabs>
          <w:tab w:val="left" w:pos="0"/>
          <w:tab w:val="left" w:pos="284"/>
        </w:tabs>
        <w:spacing w:after="0" w:line="360" w:lineRule="auto"/>
        <w:jc w:val="both"/>
        <w:rPr>
          <w:rFonts w:ascii="Times New Roman" w:eastAsiaTheme="minorHAnsi" w:hAnsi="Times New Roman" w:cs="Times New Roman"/>
          <w:b/>
          <w:i/>
          <w:sz w:val="24"/>
          <w:szCs w:val="24"/>
          <w:lang w:eastAsia="en-US"/>
        </w:rPr>
      </w:pPr>
      <w:r w:rsidRPr="0065353D">
        <w:rPr>
          <w:rFonts w:ascii="Times New Roman" w:eastAsiaTheme="minorHAnsi" w:hAnsi="Times New Roman" w:cs="Times New Roman"/>
          <w:b/>
          <w:i/>
          <w:sz w:val="24"/>
          <w:szCs w:val="24"/>
          <w:lang w:eastAsia="en-US"/>
        </w:rPr>
        <w:t>Potpore za projekte istraživanja i razvoja</w:t>
      </w:r>
    </w:p>
    <w:p w:rsidR="005357E2" w:rsidRPr="00F8094A" w:rsidRDefault="005357E2" w:rsidP="005357E2">
      <w:pPr>
        <w:spacing w:after="0" w:line="360" w:lineRule="auto"/>
        <w:jc w:val="both"/>
        <w:rPr>
          <w:rFonts w:ascii="Times New Roman" w:eastAsiaTheme="minorHAnsi" w:hAnsi="Times New Roman" w:cs="Times New Roman"/>
          <w:sz w:val="24"/>
          <w:szCs w:val="24"/>
          <w:lang w:eastAsia="en-US"/>
        </w:rPr>
      </w:pPr>
    </w:p>
    <w:p w:rsidR="005357E2" w:rsidRPr="00F8094A" w:rsidRDefault="005357E2" w:rsidP="005357E2">
      <w:pPr>
        <w:spacing w:after="0" w:line="360" w:lineRule="auto"/>
        <w:jc w:val="both"/>
        <w:rPr>
          <w:rFonts w:ascii="Times New Roman" w:eastAsiaTheme="minorHAnsi" w:hAnsi="Times New Roman" w:cs="Times New Roman"/>
          <w:sz w:val="24"/>
          <w:szCs w:val="24"/>
          <w:lang w:eastAsia="en-US"/>
        </w:rPr>
      </w:pPr>
      <w:r w:rsidRPr="00F8094A">
        <w:rPr>
          <w:rFonts w:ascii="Times New Roman" w:eastAsiaTheme="minorHAnsi" w:hAnsi="Times New Roman" w:cs="Times New Roman"/>
          <w:sz w:val="24"/>
          <w:szCs w:val="24"/>
          <w:lang w:eastAsia="en-US"/>
        </w:rPr>
        <w:t>Potpore za projekte istraživanja i razvoja u okviru ovog Poziva bit će dodijeljene poduzetnicima u svrhu provođenja vlastitih (</w:t>
      </w:r>
      <w:proofErr w:type="spellStart"/>
      <w:r w:rsidRPr="00F8094A">
        <w:rPr>
          <w:rFonts w:ascii="Times New Roman" w:eastAsiaTheme="minorHAnsi" w:hAnsi="Times New Roman" w:cs="Times New Roman"/>
          <w:sz w:val="24"/>
          <w:szCs w:val="24"/>
          <w:lang w:eastAsia="en-US"/>
        </w:rPr>
        <w:t>in</w:t>
      </w:r>
      <w:proofErr w:type="spellEnd"/>
      <w:r w:rsidRPr="00F8094A">
        <w:rPr>
          <w:rFonts w:ascii="Times New Roman" w:eastAsiaTheme="minorHAnsi" w:hAnsi="Times New Roman" w:cs="Times New Roman"/>
          <w:sz w:val="24"/>
          <w:szCs w:val="24"/>
          <w:lang w:eastAsia="en-US"/>
        </w:rPr>
        <w:t>-</w:t>
      </w:r>
      <w:proofErr w:type="spellStart"/>
      <w:r w:rsidRPr="00F8094A">
        <w:rPr>
          <w:rFonts w:ascii="Times New Roman" w:eastAsiaTheme="minorHAnsi" w:hAnsi="Times New Roman" w:cs="Times New Roman"/>
          <w:sz w:val="24"/>
          <w:szCs w:val="24"/>
          <w:lang w:eastAsia="en-US"/>
        </w:rPr>
        <w:t>house</w:t>
      </w:r>
      <w:proofErr w:type="spellEnd"/>
      <w:r w:rsidRPr="00F8094A">
        <w:rPr>
          <w:rFonts w:ascii="Times New Roman" w:eastAsiaTheme="minorHAnsi" w:hAnsi="Times New Roman" w:cs="Times New Roman"/>
          <w:sz w:val="24"/>
          <w:szCs w:val="24"/>
          <w:lang w:eastAsia="en-US"/>
        </w:rPr>
        <w:t>), ugovornih ili kolaborativnih istraživačko-razvojnih projekata usmjerenih na razvoj novih ili značajno poboljšanih proizvoda i usluga.</w:t>
      </w:r>
    </w:p>
    <w:p w:rsidR="0065353D" w:rsidRPr="0065353D" w:rsidRDefault="0065353D" w:rsidP="0065353D">
      <w:pPr>
        <w:spacing w:after="0" w:line="360" w:lineRule="auto"/>
        <w:jc w:val="both"/>
        <w:rPr>
          <w:rFonts w:ascii="Times New Roman" w:eastAsiaTheme="minorHAnsi" w:hAnsi="Times New Roman" w:cs="Times New Roman"/>
          <w:sz w:val="24"/>
          <w:szCs w:val="24"/>
          <w:lang w:eastAsia="en-US"/>
        </w:rPr>
      </w:pPr>
      <w:r w:rsidRPr="0065353D">
        <w:rPr>
          <w:rFonts w:ascii="Times New Roman" w:eastAsiaTheme="minorHAnsi" w:hAnsi="Times New Roman" w:cs="Times New Roman"/>
          <w:sz w:val="24"/>
          <w:szCs w:val="24"/>
          <w:lang w:eastAsia="en-US"/>
        </w:rPr>
        <w:lastRenderedPageBreak/>
        <w:t>Potpora će biti dodijeljena ako je projekt istraživanja i razvoja u potpunosti obuhvaćen jednom</w:t>
      </w:r>
      <w:r w:rsidRPr="0065353D">
        <w:rPr>
          <w:rFonts w:ascii="Times New Roman" w:eastAsiaTheme="minorHAnsi" w:hAnsi="Times New Roman" w:cs="Times New Roman"/>
          <w:sz w:val="24"/>
          <w:szCs w:val="24"/>
          <w:vertAlign w:val="superscript"/>
          <w:lang w:eastAsia="en-US"/>
        </w:rPr>
        <w:footnoteReference w:id="2"/>
      </w:r>
      <w:r w:rsidRPr="0065353D">
        <w:rPr>
          <w:rFonts w:ascii="Times New Roman" w:eastAsiaTheme="minorHAnsi" w:hAnsi="Times New Roman" w:cs="Times New Roman"/>
          <w:sz w:val="24"/>
          <w:szCs w:val="24"/>
          <w:lang w:eastAsia="en-US"/>
        </w:rPr>
        <w:t xml:space="preserve"> ili više sljedećih kategorija:</w:t>
      </w:r>
    </w:p>
    <w:p w:rsidR="0065353D" w:rsidRPr="0065353D" w:rsidRDefault="0065353D" w:rsidP="0065353D">
      <w:pPr>
        <w:numPr>
          <w:ilvl w:val="0"/>
          <w:numId w:val="18"/>
        </w:numPr>
        <w:spacing w:after="0" w:line="360" w:lineRule="auto"/>
        <w:contextualSpacing/>
        <w:jc w:val="both"/>
        <w:rPr>
          <w:rFonts w:ascii="Times New Roman" w:eastAsiaTheme="minorHAnsi" w:hAnsi="Times New Roman" w:cs="Times New Roman"/>
          <w:sz w:val="24"/>
          <w:szCs w:val="24"/>
          <w:lang w:eastAsia="en-US"/>
        </w:rPr>
      </w:pPr>
      <w:r w:rsidRPr="0065353D">
        <w:rPr>
          <w:rFonts w:ascii="Times New Roman" w:eastAsiaTheme="minorHAnsi" w:hAnsi="Times New Roman" w:cs="Times New Roman"/>
          <w:sz w:val="24"/>
          <w:szCs w:val="24"/>
          <w:lang w:eastAsia="en-US"/>
        </w:rPr>
        <w:t>temeljno istraživanje;</w:t>
      </w:r>
    </w:p>
    <w:p w:rsidR="0065353D" w:rsidRPr="0065353D" w:rsidRDefault="0065353D" w:rsidP="0065353D">
      <w:pPr>
        <w:numPr>
          <w:ilvl w:val="0"/>
          <w:numId w:val="18"/>
        </w:numPr>
        <w:spacing w:after="0" w:line="360" w:lineRule="auto"/>
        <w:contextualSpacing/>
        <w:jc w:val="both"/>
        <w:rPr>
          <w:rFonts w:ascii="Times New Roman" w:eastAsiaTheme="minorHAnsi" w:hAnsi="Times New Roman" w:cs="Times New Roman"/>
          <w:sz w:val="24"/>
          <w:szCs w:val="24"/>
          <w:lang w:eastAsia="en-US"/>
        </w:rPr>
      </w:pPr>
      <w:r w:rsidRPr="0065353D">
        <w:rPr>
          <w:rFonts w:ascii="Times New Roman" w:eastAsiaTheme="minorHAnsi" w:hAnsi="Times New Roman" w:cs="Times New Roman"/>
          <w:sz w:val="24"/>
          <w:szCs w:val="24"/>
          <w:lang w:eastAsia="en-US"/>
        </w:rPr>
        <w:t>industrijsko istraživanje;</w:t>
      </w:r>
    </w:p>
    <w:p w:rsidR="0065353D" w:rsidRPr="0065353D" w:rsidRDefault="0065353D" w:rsidP="0065353D">
      <w:pPr>
        <w:numPr>
          <w:ilvl w:val="0"/>
          <w:numId w:val="18"/>
        </w:numPr>
        <w:spacing w:after="0" w:line="360" w:lineRule="auto"/>
        <w:contextualSpacing/>
        <w:jc w:val="both"/>
        <w:rPr>
          <w:rFonts w:ascii="Times New Roman" w:eastAsiaTheme="minorHAnsi" w:hAnsi="Times New Roman" w:cs="Times New Roman"/>
          <w:sz w:val="24"/>
          <w:szCs w:val="24"/>
          <w:lang w:eastAsia="en-US"/>
        </w:rPr>
      </w:pPr>
      <w:r w:rsidRPr="0065353D">
        <w:rPr>
          <w:rFonts w:ascii="Times New Roman" w:eastAsiaTheme="minorHAnsi" w:hAnsi="Times New Roman" w:cs="Times New Roman"/>
          <w:sz w:val="24"/>
          <w:szCs w:val="24"/>
          <w:lang w:eastAsia="en-US"/>
        </w:rPr>
        <w:t>eksperimentalni razvoj;</w:t>
      </w:r>
    </w:p>
    <w:p w:rsidR="0065353D" w:rsidRPr="0065353D" w:rsidRDefault="0065353D" w:rsidP="0065353D">
      <w:pPr>
        <w:numPr>
          <w:ilvl w:val="0"/>
          <w:numId w:val="18"/>
        </w:numPr>
        <w:spacing w:after="0" w:line="360" w:lineRule="auto"/>
        <w:contextualSpacing/>
        <w:jc w:val="both"/>
        <w:rPr>
          <w:rFonts w:ascii="Times New Roman" w:eastAsiaTheme="minorHAnsi" w:hAnsi="Times New Roman" w:cs="Times New Roman"/>
          <w:sz w:val="24"/>
          <w:szCs w:val="24"/>
          <w:lang w:eastAsia="en-US"/>
        </w:rPr>
      </w:pPr>
      <w:r w:rsidRPr="0065353D">
        <w:rPr>
          <w:rFonts w:ascii="Times New Roman" w:eastAsiaTheme="minorHAnsi" w:hAnsi="Times New Roman" w:cs="Times New Roman"/>
          <w:sz w:val="24"/>
          <w:szCs w:val="24"/>
          <w:lang w:eastAsia="en-US"/>
        </w:rPr>
        <w:t>studija izvedivosti.</w:t>
      </w:r>
    </w:p>
    <w:p w:rsidR="0065353D" w:rsidRDefault="0065353D" w:rsidP="00035D57">
      <w:pPr>
        <w:tabs>
          <w:tab w:val="left" w:pos="0"/>
          <w:tab w:val="left" w:pos="284"/>
        </w:tabs>
        <w:spacing w:after="0" w:line="360" w:lineRule="auto"/>
        <w:jc w:val="both"/>
        <w:rPr>
          <w:rFonts w:ascii="Times New Roman" w:eastAsiaTheme="minorHAnsi" w:hAnsi="Times New Roman" w:cs="Times New Roman"/>
          <w:sz w:val="24"/>
          <w:szCs w:val="24"/>
          <w:lang w:eastAsia="en-US"/>
        </w:rPr>
      </w:pPr>
    </w:p>
    <w:p w:rsidR="00035D57" w:rsidRPr="00F8094A" w:rsidRDefault="00731923" w:rsidP="00035D57">
      <w:pPr>
        <w:tabs>
          <w:tab w:val="left" w:pos="0"/>
          <w:tab w:val="left" w:pos="284"/>
        </w:tabs>
        <w:spacing w:after="0" w:line="360" w:lineRule="auto"/>
        <w:jc w:val="both"/>
        <w:rPr>
          <w:rFonts w:ascii="Times New Roman" w:eastAsiaTheme="minorHAnsi" w:hAnsi="Times New Roman" w:cs="Times New Roman"/>
          <w:b/>
          <w:sz w:val="24"/>
          <w:szCs w:val="24"/>
          <w:lang w:eastAsia="en-US"/>
        </w:rPr>
      </w:pPr>
      <w:r w:rsidRPr="00F8094A">
        <w:rPr>
          <w:rFonts w:ascii="Times New Roman" w:eastAsiaTheme="minorHAnsi" w:hAnsi="Times New Roman" w:cs="Times New Roman"/>
          <w:sz w:val="24"/>
          <w:szCs w:val="24"/>
          <w:lang w:eastAsia="en-US"/>
        </w:rPr>
        <w:t>I</w:t>
      </w:r>
      <w:r w:rsidR="005357E2" w:rsidRPr="00F8094A">
        <w:rPr>
          <w:rFonts w:ascii="Times New Roman" w:eastAsiaTheme="minorHAnsi" w:hAnsi="Times New Roman" w:cs="Times New Roman"/>
          <w:sz w:val="24"/>
          <w:szCs w:val="24"/>
          <w:lang w:eastAsia="en-US"/>
        </w:rPr>
        <w:t>ntenzitet potpore za svakog</w:t>
      </w:r>
      <w:r w:rsidR="00035D57" w:rsidRPr="00F8094A">
        <w:rPr>
          <w:rFonts w:ascii="Times New Roman" w:eastAsiaTheme="minorHAnsi" w:hAnsi="Times New Roman" w:cs="Times New Roman"/>
          <w:sz w:val="24"/>
          <w:szCs w:val="24"/>
          <w:lang w:eastAsia="en-US"/>
        </w:rPr>
        <w:t xml:space="preserve"> Korisnika ne premašuje</w:t>
      </w:r>
      <w:r w:rsidR="00035D57" w:rsidRPr="00F8094A">
        <w:rPr>
          <w:rFonts w:ascii="Times New Roman" w:eastAsiaTheme="minorHAnsi" w:hAnsi="Times New Roman" w:cs="Times New Roman"/>
          <w:b/>
          <w:sz w:val="24"/>
          <w:szCs w:val="24"/>
          <w:lang w:eastAsia="en-US"/>
        </w:rPr>
        <w:t>:</w:t>
      </w:r>
    </w:p>
    <w:p w:rsidR="00F629F8" w:rsidRPr="00F8094A" w:rsidRDefault="00F629F8" w:rsidP="00F629F8">
      <w:pPr>
        <w:numPr>
          <w:ilvl w:val="0"/>
          <w:numId w:val="19"/>
        </w:numPr>
        <w:spacing w:after="0" w:line="360" w:lineRule="auto"/>
        <w:contextualSpacing/>
        <w:rPr>
          <w:rFonts w:ascii="Times New Roman" w:hAnsi="Times New Roman" w:cs="Times New Roman"/>
          <w:sz w:val="24"/>
          <w:szCs w:val="24"/>
        </w:rPr>
      </w:pPr>
      <w:r w:rsidRPr="00F8094A">
        <w:rPr>
          <w:rFonts w:ascii="Times New Roman" w:hAnsi="Times New Roman" w:cs="Times New Roman"/>
          <w:sz w:val="24"/>
          <w:szCs w:val="24"/>
        </w:rPr>
        <w:t>100 % prihvatljivih troškova za temeljno istraživanje;</w:t>
      </w:r>
    </w:p>
    <w:p w:rsidR="00F629F8" w:rsidRPr="00F8094A" w:rsidRDefault="00F629F8" w:rsidP="00F629F8">
      <w:pPr>
        <w:numPr>
          <w:ilvl w:val="0"/>
          <w:numId w:val="19"/>
        </w:numPr>
        <w:spacing w:after="0" w:line="360" w:lineRule="auto"/>
        <w:contextualSpacing/>
        <w:rPr>
          <w:rFonts w:ascii="Times New Roman" w:hAnsi="Times New Roman" w:cs="Times New Roman"/>
          <w:sz w:val="24"/>
          <w:szCs w:val="24"/>
        </w:rPr>
      </w:pPr>
      <w:r w:rsidRPr="00F8094A">
        <w:rPr>
          <w:rFonts w:ascii="Times New Roman" w:hAnsi="Times New Roman" w:cs="Times New Roman"/>
          <w:sz w:val="24"/>
          <w:szCs w:val="24"/>
        </w:rPr>
        <w:t>50 % prihvatljivih troškova za industrijsko istraživanje;</w:t>
      </w:r>
    </w:p>
    <w:p w:rsidR="00F629F8" w:rsidRPr="009A75A2" w:rsidRDefault="00F629F8" w:rsidP="00F629F8">
      <w:pPr>
        <w:numPr>
          <w:ilvl w:val="0"/>
          <w:numId w:val="19"/>
        </w:numPr>
        <w:spacing w:after="0" w:line="360" w:lineRule="auto"/>
        <w:contextualSpacing/>
        <w:rPr>
          <w:rFonts w:ascii="Times New Roman" w:hAnsi="Times New Roman" w:cs="Times New Roman"/>
          <w:sz w:val="24"/>
          <w:szCs w:val="24"/>
        </w:rPr>
      </w:pPr>
      <w:r w:rsidRPr="0065353D">
        <w:rPr>
          <w:rFonts w:ascii="Times New Roman" w:hAnsi="Times New Roman" w:cs="Times New Roman"/>
          <w:sz w:val="24"/>
          <w:szCs w:val="24"/>
        </w:rPr>
        <w:t>25 % prihvatljivih troškova za eksperimentalni razvoj;</w:t>
      </w:r>
    </w:p>
    <w:p w:rsidR="00035D57" w:rsidRPr="004C53F3" w:rsidRDefault="00F629F8" w:rsidP="008A4751">
      <w:pPr>
        <w:numPr>
          <w:ilvl w:val="0"/>
          <w:numId w:val="19"/>
        </w:numPr>
        <w:spacing w:after="0" w:line="360" w:lineRule="auto"/>
        <w:ind w:left="714" w:hanging="357"/>
        <w:rPr>
          <w:rFonts w:ascii="Times New Roman" w:hAnsi="Times New Roman" w:cs="Times New Roman"/>
          <w:sz w:val="24"/>
          <w:szCs w:val="24"/>
        </w:rPr>
      </w:pPr>
      <w:r w:rsidRPr="009A75A2">
        <w:rPr>
          <w:rFonts w:ascii="Times New Roman" w:hAnsi="Times New Roman" w:cs="Times New Roman"/>
          <w:sz w:val="24"/>
          <w:szCs w:val="24"/>
        </w:rPr>
        <w:t xml:space="preserve">50 % </w:t>
      </w:r>
      <w:r w:rsidRPr="004C53F3">
        <w:rPr>
          <w:rFonts w:ascii="Times New Roman" w:hAnsi="Times New Roman" w:cs="Times New Roman"/>
          <w:sz w:val="24"/>
          <w:szCs w:val="24"/>
        </w:rPr>
        <w:t>prihvatljivih troškova za studije izvedivosti.</w:t>
      </w:r>
    </w:p>
    <w:p w:rsidR="0091294A" w:rsidRPr="00F8094A" w:rsidRDefault="0091294A" w:rsidP="00F629F8">
      <w:pPr>
        <w:spacing w:after="0" w:line="360" w:lineRule="auto"/>
        <w:jc w:val="both"/>
        <w:rPr>
          <w:rFonts w:ascii="Times New Roman" w:hAnsi="Times New Roman" w:cs="Times New Roman"/>
          <w:sz w:val="24"/>
          <w:szCs w:val="24"/>
        </w:rPr>
      </w:pPr>
    </w:p>
    <w:p w:rsidR="0091294A" w:rsidRPr="0065353D" w:rsidRDefault="0091294A" w:rsidP="0091294A">
      <w:pPr>
        <w:pStyle w:val="ListParagraph"/>
        <w:numPr>
          <w:ilvl w:val="0"/>
          <w:numId w:val="26"/>
        </w:numPr>
        <w:spacing w:after="0" w:line="360" w:lineRule="auto"/>
        <w:jc w:val="both"/>
        <w:rPr>
          <w:rFonts w:ascii="Times New Roman" w:hAnsi="Times New Roman" w:cs="Times New Roman"/>
          <w:b/>
          <w:i/>
          <w:sz w:val="24"/>
          <w:szCs w:val="24"/>
        </w:rPr>
      </w:pPr>
      <w:r w:rsidRPr="0065353D">
        <w:rPr>
          <w:rFonts w:ascii="Times New Roman" w:hAnsi="Times New Roman" w:cs="Times New Roman"/>
          <w:b/>
          <w:i/>
          <w:sz w:val="24"/>
          <w:szCs w:val="24"/>
        </w:rPr>
        <w:t>Regionalne potpore za ulaganje</w:t>
      </w:r>
    </w:p>
    <w:p w:rsidR="005357E2" w:rsidRPr="0065353D" w:rsidRDefault="005357E2" w:rsidP="005357E2">
      <w:pPr>
        <w:pStyle w:val="ListParagraph"/>
        <w:spacing w:after="0" w:line="360" w:lineRule="auto"/>
        <w:jc w:val="both"/>
        <w:rPr>
          <w:rFonts w:ascii="Times New Roman" w:hAnsi="Times New Roman" w:cs="Times New Roman"/>
          <w:sz w:val="24"/>
          <w:szCs w:val="24"/>
        </w:rPr>
      </w:pPr>
    </w:p>
    <w:p w:rsidR="005357E2" w:rsidRPr="00F8094A" w:rsidRDefault="005357E2" w:rsidP="00F629F8">
      <w:pPr>
        <w:spacing w:after="0" w:line="360" w:lineRule="auto"/>
        <w:jc w:val="both"/>
        <w:rPr>
          <w:rFonts w:ascii="Times New Roman" w:hAnsi="Times New Roman" w:cs="Times New Roman"/>
          <w:sz w:val="24"/>
          <w:szCs w:val="24"/>
        </w:rPr>
      </w:pPr>
      <w:r w:rsidRPr="009A75A2">
        <w:rPr>
          <w:rFonts w:ascii="Times New Roman" w:hAnsi="Times New Roman" w:cs="Times New Roman"/>
          <w:sz w:val="24"/>
          <w:szCs w:val="24"/>
        </w:rPr>
        <w:t>Potpore se mogu dodijeliti poduzetnicima za početna ulaganja u materijalnu</w:t>
      </w:r>
      <w:r w:rsidRPr="009A75A2">
        <w:rPr>
          <w:rFonts w:ascii="Times New Roman" w:hAnsi="Times New Roman" w:cs="Times New Roman"/>
          <w:color w:val="FF0000"/>
          <w:sz w:val="24"/>
          <w:szCs w:val="24"/>
        </w:rPr>
        <w:t xml:space="preserve"> </w:t>
      </w:r>
      <w:r w:rsidRPr="004C53F3">
        <w:rPr>
          <w:rFonts w:ascii="Times New Roman" w:hAnsi="Times New Roman" w:cs="Times New Roman"/>
          <w:sz w:val="24"/>
          <w:szCs w:val="24"/>
        </w:rPr>
        <w:t xml:space="preserve">i nematerijalnu </w:t>
      </w:r>
      <w:r w:rsidRPr="00F8094A">
        <w:rPr>
          <w:rFonts w:ascii="Times New Roman" w:hAnsi="Times New Roman" w:cs="Times New Roman"/>
          <w:sz w:val="24"/>
          <w:szCs w:val="24"/>
        </w:rPr>
        <w:t xml:space="preserve">imovinu koja se koristi u cilju razvoja istraživačkih kapaciteta.  </w:t>
      </w:r>
    </w:p>
    <w:p w:rsidR="008B0D01" w:rsidRPr="00F8094A" w:rsidRDefault="008B0D01" w:rsidP="005357E2">
      <w:pPr>
        <w:spacing w:after="0" w:line="360" w:lineRule="auto"/>
        <w:jc w:val="both"/>
        <w:rPr>
          <w:rFonts w:ascii="Times New Roman" w:hAnsi="Times New Roman" w:cs="Times New Roman"/>
          <w:sz w:val="24"/>
          <w:szCs w:val="24"/>
        </w:rPr>
      </w:pPr>
    </w:p>
    <w:p w:rsidR="008A4751" w:rsidRPr="00F8094A" w:rsidRDefault="00F629F8" w:rsidP="005357E2">
      <w:pPr>
        <w:spacing w:after="0" w:line="360" w:lineRule="auto"/>
        <w:jc w:val="both"/>
        <w:rPr>
          <w:rFonts w:ascii="Times New Roman" w:hAnsi="Times New Roman" w:cs="Times New Roman"/>
          <w:sz w:val="24"/>
          <w:szCs w:val="24"/>
        </w:rPr>
      </w:pPr>
      <w:r w:rsidRPr="00F8094A">
        <w:rPr>
          <w:rFonts w:ascii="Times New Roman" w:hAnsi="Times New Roman" w:cs="Times New Roman"/>
          <w:sz w:val="24"/>
          <w:szCs w:val="24"/>
        </w:rPr>
        <w:t>Intenzitet regionalne potpore za ulaganje izračunava se u skladu s Kartom regionalnih potpora za Republiku Hrvatsku i Zaključkom Vlade od 24. travnja 2014. godine.</w:t>
      </w:r>
      <w:r w:rsidR="005357E2" w:rsidRPr="00F8094A">
        <w:rPr>
          <w:rFonts w:ascii="Times New Roman" w:hAnsi="Times New Roman" w:cs="Times New Roman"/>
          <w:sz w:val="24"/>
          <w:szCs w:val="24"/>
        </w:rPr>
        <w:t xml:space="preserve"> </w:t>
      </w:r>
      <w:r w:rsidRPr="00F8094A">
        <w:rPr>
          <w:rFonts w:ascii="Times New Roman" w:hAnsi="Times New Roman" w:cs="Times New Roman"/>
          <w:sz w:val="24"/>
          <w:szCs w:val="24"/>
        </w:rPr>
        <w:t>Intenzitet regionalne potpore za svakog Korisnika ne premašuje:</w:t>
      </w:r>
    </w:p>
    <w:p w:rsidR="00F629F8" w:rsidRPr="00F8094A" w:rsidRDefault="00F629F8" w:rsidP="00F629F8">
      <w:pPr>
        <w:numPr>
          <w:ilvl w:val="0"/>
          <w:numId w:val="20"/>
        </w:numPr>
        <w:spacing w:after="0" w:line="360" w:lineRule="auto"/>
        <w:rPr>
          <w:rFonts w:ascii="Times New Roman" w:hAnsi="Times New Roman" w:cs="Times New Roman"/>
          <w:sz w:val="24"/>
          <w:szCs w:val="24"/>
        </w:rPr>
      </w:pPr>
      <w:r w:rsidRPr="00F8094A">
        <w:rPr>
          <w:rFonts w:ascii="Times New Roman" w:hAnsi="Times New Roman" w:cs="Times New Roman"/>
          <w:sz w:val="24"/>
          <w:szCs w:val="24"/>
        </w:rPr>
        <w:t>45% prihvatljivih troškova za mikro i mala poduzeća;</w:t>
      </w:r>
    </w:p>
    <w:p w:rsidR="00F629F8" w:rsidRPr="00F8094A" w:rsidRDefault="00F629F8" w:rsidP="00F629F8">
      <w:pPr>
        <w:numPr>
          <w:ilvl w:val="0"/>
          <w:numId w:val="20"/>
        </w:numPr>
        <w:spacing w:after="0" w:line="360" w:lineRule="auto"/>
        <w:rPr>
          <w:rFonts w:ascii="Times New Roman" w:hAnsi="Times New Roman" w:cs="Times New Roman"/>
          <w:sz w:val="24"/>
          <w:szCs w:val="24"/>
        </w:rPr>
      </w:pPr>
      <w:r w:rsidRPr="00F8094A">
        <w:rPr>
          <w:rFonts w:ascii="Times New Roman" w:hAnsi="Times New Roman" w:cs="Times New Roman"/>
          <w:sz w:val="24"/>
          <w:szCs w:val="24"/>
        </w:rPr>
        <w:t>35% prihvatljivih troškova za srednja poduzeća;</w:t>
      </w:r>
    </w:p>
    <w:p w:rsidR="00F629F8" w:rsidRPr="00F8094A" w:rsidRDefault="00F629F8" w:rsidP="00F629F8">
      <w:pPr>
        <w:numPr>
          <w:ilvl w:val="0"/>
          <w:numId w:val="20"/>
        </w:numPr>
        <w:spacing w:after="0" w:line="360" w:lineRule="auto"/>
        <w:rPr>
          <w:rFonts w:ascii="Times New Roman" w:hAnsi="Times New Roman" w:cs="Times New Roman"/>
          <w:sz w:val="24"/>
          <w:szCs w:val="24"/>
        </w:rPr>
      </w:pPr>
      <w:r w:rsidRPr="00F8094A">
        <w:rPr>
          <w:rFonts w:ascii="Times New Roman" w:hAnsi="Times New Roman" w:cs="Times New Roman"/>
          <w:sz w:val="24"/>
          <w:szCs w:val="24"/>
        </w:rPr>
        <w:t>25% prihvatljivih troškova za velika poduzeća.</w:t>
      </w:r>
    </w:p>
    <w:p w:rsidR="00656969" w:rsidRPr="00F8094A" w:rsidRDefault="00656969" w:rsidP="00F629F8">
      <w:pPr>
        <w:spacing w:after="0" w:line="360" w:lineRule="auto"/>
        <w:jc w:val="both"/>
        <w:rPr>
          <w:rFonts w:ascii="Times New Roman" w:hAnsi="Times New Roman" w:cs="Times New Roman"/>
          <w:sz w:val="24"/>
          <w:szCs w:val="24"/>
        </w:rPr>
      </w:pPr>
    </w:p>
    <w:p w:rsidR="00F629F8" w:rsidRPr="00F8094A" w:rsidRDefault="00F629F8" w:rsidP="00F629F8">
      <w:pPr>
        <w:spacing w:after="0" w:line="360" w:lineRule="auto"/>
        <w:jc w:val="both"/>
        <w:rPr>
          <w:rFonts w:ascii="Times New Roman" w:hAnsi="Times New Roman" w:cs="Times New Roman"/>
          <w:sz w:val="24"/>
          <w:szCs w:val="24"/>
        </w:rPr>
      </w:pPr>
      <w:r w:rsidRPr="00F8094A">
        <w:rPr>
          <w:rFonts w:ascii="Times New Roman" w:hAnsi="Times New Roman" w:cs="Times New Roman"/>
          <w:sz w:val="24"/>
          <w:szCs w:val="24"/>
        </w:rPr>
        <w:t>Korisnik regionalne potpore mora osigurati financijski doprinos od najmanje 25% prihvatljivih troškova, iz vlastitih izvora ili vanjskim financiranjem, u obliku oslobođenom od bilo kakve državne potpore (čl.14., Uredbe 651/2014).</w:t>
      </w:r>
    </w:p>
    <w:p w:rsidR="00656969" w:rsidRPr="00F8094A" w:rsidRDefault="00656969" w:rsidP="00F629F8">
      <w:pPr>
        <w:spacing w:after="0" w:line="360" w:lineRule="auto"/>
        <w:jc w:val="both"/>
        <w:rPr>
          <w:rFonts w:ascii="Times New Roman" w:hAnsi="Times New Roman" w:cs="Times New Roman"/>
          <w:sz w:val="24"/>
          <w:szCs w:val="24"/>
        </w:rPr>
      </w:pPr>
    </w:p>
    <w:p w:rsidR="00035D57" w:rsidRPr="00F8094A" w:rsidRDefault="00F629F8" w:rsidP="00F629F8">
      <w:pPr>
        <w:spacing w:after="0" w:line="360" w:lineRule="auto"/>
        <w:jc w:val="both"/>
        <w:rPr>
          <w:rFonts w:ascii="Times New Roman" w:hAnsi="Times New Roman" w:cs="Times New Roman"/>
          <w:sz w:val="24"/>
          <w:szCs w:val="24"/>
        </w:rPr>
      </w:pPr>
      <w:r w:rsidRPr="00F8094A">
        <w:rPr>
          <w:rFonts w:ascii="Times New Roman" w:hAnsi="Times New Roman" w:cs="Times New Roman"/>
          <w:sz w:val="24"/>
          <w:szCs w:val="24"/>
        </w:rPr>
        <w:t xml:space="preserve">Prilikom dodjele regionalnih potpora za ulaganja treba uzeti u obzir sljedeće: </w:t>
      </w:r>
    </w:p>
    <w:p w:rsidR="00F629F8" w:rsidRPr="00F8094A" w:rsidRDefault="005357E2" w:rsidP="00F629F8">
      <w:pPr>
        <w:spacing w:after="0" w:line="360" w:lineRule="auto"/>
        <w:jc w:val="both"/>
        <w:rPr>
          <w:rFonts w:ascii="Times New Roman" w:hAnsi="Times New Roman" w:cs="Times New Roman"/>
          <w:sz w:val="24"/>
          <w:szCs w:val="24"/>
        </w:rPr>
      </w:pPr>
      <w:r w:rsidRPr="00F8094A">
        <w:rPr>
          <w:rFonts w:ascii="Times New Roman" w:hAnsi="Times New Roman" w:cs="Times New Roman"/>
          <w:sz w:val="24"/>
          <w:szCs w:val="24"/>
        </w:rPr>
        <w:t>u</w:t>
      </w:r>
      <w:r w:rsidR="00F629F8" w:rsidRPr="00F8094A">
        <w:rPr>
          <w:rFonts w:ascii="Times New Roman" w:hAnsi="Times New Roman" w:cs="Times New Roman"/>
          <w:sz w:val="24"/>
          <w:szCs w:val="24"/>
        </w:rPr>
        <w:t xml:space="preserve">laganje ostaje u području </w:t>
      </w:r>
      <w:r w:rsidR="00ED2FD3">
        <w:rPr>
          <w:rFonts w:ascii="Times New Roman" w:hAnsi="Times New Roman" w:cs="Times New Roman"/>
          <w:sz w:val="24"/>
          <w:szCs w:val="24"/>
        </w:rPr>
        <w:t xml:space="preserve"> </w:t>
      </w:r>
      <w:r w:rsidR="00F629F8" w:rsidRPr="00F8094A">
        <w:rPr>
          <w:rFonts w:ascii="Times New Roman" w:hAnsi="Times New Roman" w:cs="Times New Roman"/>
          <w:sz w:val="24"/>
          <w:szCs w:val="24"/>
        </w:rPr>
        <w:t>koje prima potporu tijekom</w:t>
      </w:r>
      <w:r w:rsidR="00ED2FD3">
        <w:rPr>
          <w:rFonts w:ascii="Times New Roman" w:hAnsi="Times New Roman" w:cs="Times New Roman"/>
          <w:sz w:val="24"/>
          <w:szCs w:val="24"/>
        </w:rPr>
        <w:t xml:space="preserve"> </w:t>
      </w:r>
      <w:r w:rsidR="00F629F8" w:rsidRPr="00F8094A">
        <w:rPr>
          <w:rFonts w:ascii="Times New Roman" w:hAnsi="Times New Roman" w:cs="Times New Roman"/>
          <w:sz w:val="24"/>
          <w:szCs w:val="24"/>
        </w:rPr>
        <w:t xml:space="preserve"> najmanje pet godina nakon dovršetka ulaganja za velike poduzetnike, odnosno najmanje tri godine nakon dovršetka ulaganja u slučaju MSP-ova. To ne sprečava zamjenu opreme koji je u tom razdoblju zastarjela ili se </w:t>
      </w:r>
      <w:r w:rsidR="00F629F8" w:rsidRPr="00F8094A">
        <w:rPr>
          <w:rFonts w:ascii="Times New Roman" w:hAnsi="Times New Roman" w:cs="Times New Roman"/>
          <w:sz w:val="24"/>
          <w:szCs w:val="24"/>
        </w:rPr>
        <w:lastRenderedPageBreak/>
        <w:t xml:space="preserve">pokvarila, pod uvjetom da je ekonomska djelatnost ostala u dotičnom području tijekom odgovarajućeg najkraćeg razdoblja. </w:t>
      </w:r>
    </w:p>
    <w:p w:rsidR="00F629F8" w:rsidRPr="00F8094A" w:rsidRDefault="00F629F8" w:rsidP="0004083B">
      <w:pPr>
        <w:tabs>
          <w:tab w:val="left" w:pos="0"/>
          <w:tab w:val="left" w:pos="284"/>
        </w:tabs>
        <w:spacing w:after="0" w:line="360" w:lineRule="auto"/>
        <w:jc w:val="both"/>
        <w:rPr>
          <w:rFonts w:ascii="Times New Roman" w:eastAsiaTheme="minorHAnsi" w:hAnsi="Times New Roman" w:cs="Times New Roman"/>
          <w:b/>
          <w:sz w:val="24"/>
          <w:szCs w:val="24"/>
          <w:lang w:eastAsia="en-US"/>
        </w:rPr>
      </w:pPr>
    </w:p>
    <w:p w:rsidR="0080682B" w:rsidRPr="00F8094A" w:rsidRDefault="0080682B" w:rsidP="0080682B">
      <w:pPr>
        <w:tabs>
          <w:tab w:val="left" w:pos="0"/>
          <w:tab w:val="left" w:pos="284"/>
          <w:tab w:val="left" w:pos="2310"/>
        </w:tabs>
        <w:spacing w:after="0" w:line="360" w:lineRule="auto"/>
        <w:jc w:val="both"/>
        <w:rPr>
          <w:rFonts w:ascii="Times New Roman" w:eastAsia="Calibri" w:hAnsi="Times New Roman" w:cs="Times New Roman"/>
          <w:sz w:val="24"/>
          <w:szCs w:val="24"/>
        </w:rPr>
      </w:pPr>
      <w:r w:rsidRPr="00F8094A">
        <w:rPr>
          <w:rFonts w:ascii="Times New Roman" w:eastAsia="Calibri" w:hAnsi="Times New Roman" w:cs="Times New Roman"/>
          <w:sz w:val="24"/>
          <w:szCs w:val="24"/>
        </w:rPr>
        <w:t>Državna potpora dodijeljena temeljem Programa može se zbrajati:</w:t>
      </w:r>
    </w:p>
    <w:p w:rsidR="0080682B" w:rsidRPr="0065353D" w:rsidRDefault="0080682B" w:rsidP="0080682B">
      <w:pPr>
        <w:tabs>
          <w:tab w:val="left" w:pos="284"/>
          <w:tab w:val="left" w:pos="567"/>
          <w:tab w:val="left" w:pos="2310"/>
        </w:tabs>
        <w:spacing w:after="0" w:line="360" w:lineRule="auto"/>
        <w:ind w:left="567"/>
        <w:jc w:val="both"/>
        <w:rPr>
          <w:rFonts w:ascii="Times New Roman" w:eastAsia="Calibri" w:hAnsi="Times New Roman" w:cs="Times New Roman"/>
          <w:sz w:val="24"/>
          <w:szCs w:val="24"/>
        </w:rPr>
      </w:pPr>
      <w:r w:rsidRPr="00F8094A">
        <w:rPr>
          <w:rFonts w:ascii="Times New Roman" w:eastAsia="Calibri" w:hAnsi="Times New Roman" w:cs="Times New Roman"/>
          <w:sz w:val="24"/>
          <w:szCs w:val="24"/>
        </w:rPr>
        <w:t>(a) s bilo kojom drugom državnom potporom, pod uvjetom da se dotične mjere odnose n</w:t>
      </w:r>
      <w:r w:rsidRPr="0065353D">
        <w:rPr>
          <w:rFonts w:ascii="Times New Roman" w:eastAsia="Calibri" w:hAnsi="Times New Roman" w:cs="Times New Roman"/>
          <w:sz w:val="24"/>
          <w:szCs w:val="24"/>
        </w:rPr>
        <w:t>a različite prihvatljive troškove koje je moguće utvrditi;</w:t>
      </w:r>
    </w:p>
    <w:p w:rsidR="0080682B" w:rsidRPr="00F8094A" w:rsidRDefault="0080682B" w:rsidP="0080682B">
      <w:pPr>
        <w:tabs>
          <w:tab w:val="left" w:pos="284"/>
          <w:tab w:val="left" w:pos="567"/>
          <w:tab w:val="left" w:pos="2310"/>
        </w:tabs>
        <w:spacing w:after="0" w:line="360" w:lineRule="auto"/>
        <w:ind w:left="567"/>
        <w:jc w:val="both"/>
        <w:rPr>
          <w:rFonts w:ascii="Times New Roman" w:eastAsia="Calibri" w:hAnsi="Times New Roman" w:cs="Times New Roman"/>
          <w:sz w:val="24"/>
          <w:szCs w:val="24"/>
        </w:rPr>
      </w:pPr>
      <w:r w:rsidRPr="009A75A2">
        <w:rPr>
          <w:rFonts w:ascii="Times New Roman" w:eastAsia="Calibri" w:hAnsi="Times New Roman" w:cs="Times New Roman"/>
          <w:sz w:val="24"/>
          <w:szCs w:val="24"/>
        </w:rPr>
        <w:t>(b) s bilo kojom drugom državnom potporom koja se odnosi na iste prihvatljive troškove, bilo da se oni djelomično ili potpuno preklapaju, isključivo ako to zbrajanje ne dovodi do premašivanja najvi</w:t>
      </w:r>
      <w:r w:rsidRPr="004C53F3">
        <w:rPr>
          <w:rFonts w:ascii="Times New Roman" w:eastAsia="Calibri" w:hAnsi="Times New Roman" w:cs="Times New Roman"/>
          <w:sz w:val="24"/>
          <w:szCs w:val="24"/>
        </w:rPr>
        <w:t>šeg intenziteta potpore ili iznosa potpore koji je primjenjiv na tu potporu na temelju ovog P</w:t>
      </w:r>
      <w:r w:rsidRPr="00F8094A">
        <w:rPr>
          <w:rFonts w:ascii="Times New Roman" w:eastAsia="Calibri" w:hAnsi="Times New Roman" w:cs="Times New Roman"/>
          <w:sz w:val="24"/>
          <w:szCs w:val="24"/>
        </w:rPr>
        <w:t>oziva i Uredbe 651/2014;</w:t>
      </w:r>
    </w:p>
    <w:p w:rsidR="0080682B" w:rsidRPr="00F8094A" w:rsidRDefault="0080682B" w:rsidP="0080682B">
      <w:pPr>
        <w:tabs>
          <w:tab w:val="left" w:pos="284"/>
          <w:tab w:val="left" w:pos="567"/>
          <w:tab w:val="left" w:pos="2310"/>
        </w:tabs>
        <w:spacing w:after="0" w:line="360" w:lineRule="auto"/>
        <w:ind w:left="567"/>
        <w:jc w:val="both"/>
        <w:rPr>
          <w:rFonts w:ascii="Times New Roman" w:eastAsia="Calibri" w:hAnsi="Times New Roman" w:cs="Times New Roman"/>
          <w:sz w:val="24"/>
          <w:szCs w:val="24"/>
        </w:rPr>
      </w:pPr>
      <w:r w:rsidRPr="00F8094A">
        <w:rPr>
          <w:rFonts w:ascii="Times New Roman" w:eastAsia="Calibri" w:hAnsi="Times New Roman" w:cs="Times New Roman"/>
          <w:sz w:val="24"/>
          <w:szCs w:val="24"/>
        </w:rPr>
        <w:t>(c) s potporom čiji troškovi nisu prihvatljivi troškovi koje je moguće utvrditi, a koji se izuzimaju na temelju članaka 21., 22. i 23. Uredbe 651/2014 do maksimalnog iznosa utvrđenog ovim Pozivom i Uredbom 651/2014;</w:t>
      </w:r>
    </w:p>
    <w:p w:rsidR="0080682B" w:rsidRPr="00F8094A" w:rsidRDefault="0080682B" w:rsidP="0080682B">
      <w:pPr>
        <w:tabs>
          <w:tab w:val="left" w:pos="284"/>
          <w:tab w:val="left" w:pos="567"/>
          <w:tab w:val="left" w:pos="2310"/>
        </w:tabs>
        <w:spacing w:after="0" w:line="360" w:lineRule="auto"/>
        <w:ind w:left="567"/>
        <w:jc w:val="both"/>
        <w:rPr>
          <w:rFonts w:ascii="Times New Roman" w:eastAsia="Calibri" w:hAnsi="Times New Roman" w:cs="Times New Roman"/>
          <w:sz w:val="24"/>
          <w:szCs w:val="24"/>
        </w:rPr>
      </w:pPr>
      <w:r w:rsidRPr="00F8094A">
        <w:rPr>
          <w:rFonts w:ascii="Times New Roman" w:eastAsia="Calibri" w:hAnsi="Times New Roman" w:cs="Times New Roman"/>
          <w:sz w:val="24"/>
          <w:szCs w:val="24"/>
        </w:rPr>
        <w:t>(d) Regionalne potpore zbrajat će se za sva početna ulaganja koja je pokrenuo isti Korisnik (na razini grupe) u razdoblju od tri godine u istoj županiji. Ako je taj pojedinačni projekt ulaganja veliki projekt ulaganja (veći od 50 mil. EUR), ukupan iznos potpore za pojedinačni projekt ulaganja ne premašuje prilagođeni iznos potpore za velike projekte ulaganja.</w:t>
      </w:r>
    </w:p>
    <w:p w:rsidR="0080682B" w:rsidRPr="00F8094A" w:rsidRDefault="0080682B" w:rsidP="0080682B">
      <w:pPr>
        <w:tabs>
          <w:tab w:val="left" w:pos="284"/>
          <w:tab w:val="left" w:pos="567"/>
          <w:tab w:val="left" w:pos="2310"/>
        </w:tabs>
        <w:spacing w:after="0" w:line="360" w:lineRule="auto"/>
        <w:ind w:left="567"/>
        <w:jc w:val="both"/>
        <w:rPr>
          <w:rFonts w:ascii="Times New Roman" w:eastAsia="Calibri" w:hAnsi="Times New Roman" w:cs="Times New Roman"/>
          <w:sz w:val="24"/>
          <w:szCs w:val="24"/>
        </w:rPr>
      </w:pPr>
    </w:p>
    <w:p w:rsidR="00035D57" w:rsidRDefault="00035D57" w:rsidP="00035D57">
      <w:pPr>
        <w:pStyle w:val="ListParagraph"/>
        <w:numPr>
          <w:ilvl w:val="0"/>
          <w:numId w:val="17"/>
        </w:numPr>
        <w:tabs>
          <w:tab w:val="left" w:pos="284"/>
          <w:tab w:val="left" w:pos="567"/>
          <w:tab w:val="left" w:pos="2310"/>
        </w:tabs>
        <w:spacing w:after="0" w:line="360" w:lineRule="auto"/>
        <w:jc w:val="both"/>
        <w:rPr>
          <w:rFonts w:ascii="Times New Roman" w:eastAsia="Calibri" w:hAnsi="Times New Roman" w:cs="Times New Roman"/>
          <w:b/>
          <w:sz w:val="24"/>
          <w:szCs w:val="24"/>
        </w:rPr>
      </w:pPr>
      <w:r w:rsidRPr="00F8094A">
        <w:rPr>
          <w:rFonts w:ascii="Times New Roman" w:eastAsia="Calibri" w:hAnsi="Times New Roman" w:cs="Times New Roman"/>
          <w:b/>
          <w:sz w:val="24"/>
          <w:szCs w:val="24"/>
        </w:rPr>
        <w:t xml:space="preserve"> Prihvatljivi prijavitelji</w:t>
      </w:r>
    </w:p>
    <w:p w:rsidR="00284D7A" w:rsidRPr="00F8094A" w:rsidRDefault="00284D7A" w:rsidP="00284D7A">
      <w:pPr>
        <w:pStyle w:val="ListParagraph"/>
        <w:tabs>
          <w:tab w:val="left" w:pos="284"/>
          <w:tab w:val="left" w:pos="567"/>
          <w:tab w:val="left" w:pos="2310"/>
        </w:tabs>
        <w:spacing w:after="0" w:line="360" w:lineRule="auto"/>
        <w:jc w:val="both"/>
        <w:rPr>
          <w:rFonts w:ascii="Times New Roman" w:eastAsia="Calibri" w:hAnsi="Times New Roman" w:cs="Times New Roman"/>
          <w:b/>
          <w:sz w:val="24"/>
          <w:szCs w:val="24"/>
        </w:rPr>
      </w:pPr>
    </w:p>
    <w:p w:rsidR="00035D57" w:rsidRPr="00F8094A" w:rsidRDefault="00035D57" w:rsidP="00035D57">
      <w:pPr>
        <w:keepNext/>
        <w:keepLines/>
        <w:spacing w:after="0" w:line="360" w:lineRule="auto"/>
        <w:jc w:val="both"/>
        <w:outlineLvl w:val="1"/>
        <w:rPr>
          <w:rFonts w:ascii="Times New Roman" w:eastAsia="Calibri" w:hAnsi="Times New Roman" w:cs="Times New Roman"/>
          <w:sz w:val="24"/>
          <w:szCs w:val="24"/>
          <w:u w:val="single"/>
          <w:lang w:eastAsia="en-US"/>
        </w:rPr>
      </w:pPr>
      <w:r w:rsidRPr="00F8094A">
        <w:rPr>
          <w:rFonts w:ascii="Times New Roman" w:eastAsia="Calibri" w:hAnsi="Times New Roman" w:cs="Times New Roman"/>
          <w:sz w:val="24"/>
          <w:szCs w:val="24"/>
          <w:lang w:eastAsia="en-US"/>
        </w:rPr>
        <w:t xml:space="preserve">Prijavitelj (potencijalni Korisnik, ako je primjenjivo i </w:t>
      </w:r>
      <w:r w:rsidR="002C4FAD">
        <w:rPr>
          <w:rFonts w:ascii="Times New Roman" w:eastAsia="Calibri" w:hAnsi="Times New Roman" w:cs="Times New Roman"/>
          <w:sz w:val="24"/>
          <w:szCs w:val="24"/>
          <w:lang w:eastAsia="en-US"/>
        </w:rPr>
        <w:t>p</w:t>
      </w:r>
      <w:r w:rsidRPr="00F8094A">
        <w:rPr>
          <w:rFonts w:ascii="Times New Roman" w:eastAsia="Calibri" w:hAnsi="Times New Roman" w:cs="Times New Roman"/>
          <w:sz w:val="24"/>
          <w:szCs w:val="24"/>
          <w:lang w:eastAsia="en-US"/>
        </w:rPr>
        <w:t>artner) je prihvatljiv (po obliku pravne ili fizičke osobnosti i po drugim zahtjevima predmetnog postupka dodjele</w:t>
      </w:r>
      <w:r w:rsidRPr="00F8094A">
        <w:rPr>
          <w:rFonts w:ascii="Times New Roman" w:eastAsia="Calibri" w:hAnsi="Times New Roman" w:cs="Times New Roman"/>
          <w:sz w:val="24"/>
          <w:szCs w:val="24"/>
          <w:u w:val="single"/>
          <w:lang w:eastAsia="en-US"/>
        </w:rPr>
        <w:t xml:space="preserve">) </w:t>
      </w:r>
    </w:p>
    <w:p w:rsidR="00035D57" w:rsidRPr="00F8094A" w:rsidRDefault="00035D57" w:rsidP="00035D57">
      <w:pPr>
        <w:keepNext/>
        <w:keepLines/>
        <w:spacing w:after="0" w:line="360" w:lineRule="auto"/>
        <w:jc w:val="both"/>
        <w:outlineLvl w:val="1"/>
        <w:rPr>
          <w:rFonts w:ascii="Times New Roman" w:eastAsia="Calibri" w:hAnsi="Times New Roman" w:cs="Times New Roman"/>
          <w:i/>
          <w:sz w:val="24"/>
          <w:szCs w:val="24"/>
          <w:lang w:eastAsia="en-US"/>
        </w:rPr>
      </w:pPr>
      <w:r w:rsidRPr="00F8094A">
        <w:rPr>
          <w:rFonts w:ascii="Times New Roman" w:eastAsia="Calibri" w:hAnsi="Times New Roman" w:cs="Times New Roman"/>
          <w:i/>
          <w:sz w:val="24"/>
          <w:szCs w:val="24"/>
          <w:lang w:eastAsia="en-US"/>
        </w:rPr>
        <w:t xml:space="preserve">Prihvatljiv </w:t>
      </w:r>
      <w:r w:rsidR="002C4FAD">
        <w:rPr>
          <w:rFonts w:ascii="Times New Roman" w:eastAsia="Calibri" w:hAnsi="Times New Roman" w:cs="Times New Roman"/>
          <w:i/>
          <w:sz w:val="24"/>
          <w:szCs w:val="24"/>
          <w:lang w:eastAsia="en-US"/>
        </w:rPr>
        <w:t>p</w:t>
      </w:r>
      <w:r w:rsidRPr="00F8094A">
        <w:rPr>
          <w:rFonts w:ascii="Times New Roman" w:eastAsia="Calibri" w:hAnsi="Times New Roman" w:cs="Times New Roman"/>
          <w:i/>
          <w:sz w:val="24"/>
          <w:szCs w:val="24"/>
          <w:lang w:eastAsia="en-US"/>
        </w:rPr>
        <w:t>rijavitelj:</w:t>
      </w:r>
    </w:p>
    <w:p w:rsidR="00035D57" w:rsidRPr="00F8094A" w:rsidRDefault="00035D57" w:rsidP="00035D57">
      <w:pPr>
        <w:numPr>
          <w:ilvl w:val="0"/>
          <w:numId w:val="21"/>
        </w:numPr>
        <w:spacing w:after="0" w:line="360" w:lineRule="auto"/>
        <w:contextualSpacing/>
        <w:jc w:val="both"/>
        <w:rPr>
          <w:rFonts w:ascii="Times New Roman" w:eastAsia="Calibri" w:hAnsi="Times New Roman" w:cs="Times New Roman"/>
          <w:sz w:val="24"/>
          <w:szCs w:val="24"/>
          <w:lang w:eastAsia="en-US"/>
        </w:rPr>
      </w:pPr>
      <w:r w:rsidRPr="00F8094A">
        <w:rPr>
          <w:rFonts w:ascii="Times New Roman" w:eastAsia="Calibri" w:hAnsi="Times New Roman" w:cs="Times New Roman"/>
          <w:sz w:val="24"/>
          <w:szCs w:val="24"/>
          <w:lang w:eastAsia="en-US"/>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035D57" w:rsidRPr="00F8094A" w:rsidRDefault="00035D57" w:rsidP="00035D57">
      <w:pPr>
        <w:keepNext/>
        <w:keepLines/>
        <w:spacing w:after="0" w:line="360" w:lineRule="auto"/>
        <w:outlineLvl w:val="1"/>
        <w:rPr>
          <w:rFonts w:ascii="Times New Roman" w:eastAsia="Calibri" w:hAnsi="Times New Roman" w:cs="Times New Roman"/>
          <w:i/>
          <w:sz w:val="24"/>
          <w:szCs w:val="24"/>
          <w:lang w:eastAsia="en-US"/>
        </w:rPr>
      </w:pPr>
      <w:r w:rsidRPr="00F8094A">
        <w:rPr>
          <w:rFonts w:ascii="Times New Roman" w:eastAsia="Calibri" w:hAnsi="Times New Roman" w:cs="Times New Roman"/>
          <w:i/>
          <w:sz w:val="24"/>
          <w:szCs w:val="24"/>
          <w:lang w:eastAsia="en-US"/>
        </w:rPr>
        <w:t xml:space="preserve">Prihvatljivi </w:t>
      </w:r>
      <w:r w:rsidR="002C4FAD">
        <w:rPr>
          <w:rFonts w:ascii="Times New Roman" w:eastAsia="Calibri" w:hAnsi="Times New Roman" w:cs="Times New Roman"/>
          <w:i/>
          <w:sz w:val="24"/>
          <w:szCs w:val="24"/>
          <w:lang w:eastAsia="en-US"/>
        </w:rPr>
        <w:t>p</w:t>
      </w:r>
      <w:r w:rsidRPr="00F8094A">
        <w:rPr>
          <w:rFonts w:ascii="Times New Roman" w:eastAsia="Calibri" w:hAnsi="Times New Roman" w:cs="Times New Roman"/>
          <w:i/>
          <w:sz w:val="24"/>
          <w:szCs w:val="24"/>
          <w:lang w:eastAsia="en-US"/>
        </w:rPr>
        <w:t xml:space="preserve">artneri: </w:t>
      </w:r>
    </w:p>
    <w:p w:rsidR="00035D57" w:rsidRPr="00F8094A" w:rsidRDefault="00035D57" w:rsidP="00035D57">
      <w:pPr>
        <w:numPr>
          <w:ilvl w:val="0"/>
          <w:numId w:val="22"/>
        </w:numPr>
        <w:spacing w:after="0" w:line="360" w:lineRule="auto"/>
        <w:ind w:left="714" w:hanging="357"/>
        <w:contextualSpacing/>
        <w:jc w:val="both"/>
        <w:rPr>
          <w:rFonts w:ascii="Times New Roman" w:eastAsia="Calibri" w:hAnsi="Times New Roman" w:cs="Times New Roman"/>
          <w:sz w:val="24"/>
          <w:szCs w:val="24"/>
          <w:lang w:eastAsia="en-US"/>
        </w:rPr>
      </w:pPr>
      <w:r w:rsidRPr="00F8094A">
        <w:rPr>
          <w:rFonts w:ascii="Times New Roman" w:eastAsia="Calibri" w:hAnsi="Times New Roman" w:cs="Times New Roman"/>
          <w:sz w:val="24"/>
          <w:szCs w:val="24"/>
          <w:lang w:eastAsia="en-US"/>
        </w:rPr>
        <w:t>su poduzetnici i/ili organizacije za istraživanje i širenje znanja koji doprinose svojim znanjem, resursima i istraživačkim kapacitetima u provedbi projekata istraživanja i razvoja. Partnerstvo se dokazuje Sporazumom o partnerstvu (</w:t>
      </w:r>
      <w:r w:rsidRPr="00F8094A">
        <w:rPr>
          <w:rFonts w:ascii="Times New Roman" w:eastAsia="Calibri" w:hAnsi="Times New Roman" w:cs="Times New Roman"/>
          <w:i/>
          <w:sz w:val="24"/>
          <w:szCs w:val="24"/>
          <w:lang w:eastAsia="en-US"/>
        </w:rPr>
        <w:t>prema Obrascu 3.)</w:t>
      </w:r>
      <w:r w:rsidRPr="00F8094A">
        <w:rPr>
          <w:rFonts w:ascii="Times New Roman" w:eastAsia="Calibri" w:hAnsi="Times New Roman" w:cs="Times New Roman"/>
          <w:sz w:val="24"/>
          <w:szCs w:val="24"/>
          <w:lang w:eastAsia="en-US"/>
        </w:rPr>
        <w:t xml:space="preserve"> </w:t>
      </w:r>
      <w:r w:rsidR="002C4FAD">
        <w:rPr>
          <w:rFonts w:ascii="Times New Roman" w:eastAsia="Calibri" w:hAnsi="Times New Roman" w:cs="Times New Roman"/>
          <w:sz w:val="24"/>
          <w:szCs w:val="24"/>
          <w:lang w:eastAsia="en-US"/>
        </w:rPr>
        <w:t>p</w:t>
      </w:r>
      <w:r w:rsidRPr="00F8094A">
        <w:rPr>
          <w:rFonts w:ascii="Times New Roman" w:eastAsia="Calibri" w:hAnsi="Times New Roman" w:cs="Times New Roman"/>
          <w:sz w:val="24"/>
          <w:szCs w:val="24"/>
          <w:lang w:eastAsia="en-US"/>
        </w:rPr>
        <w:t xml:space="preserve">rijavitelja (potencijalnog Korisnika) i </w:t>
      </w:r>
      <w:r w:rsidR="002C4FAD">
        <w:rPr>
          <w:rFonts w:ascii="Times New Roman" w:eastAsia="Calibri" w:hAnsi="Times New Roman" w:cs="Times New Roman"/>
          <w:sz w:val="24"/>
          <w:szCs w:val="24"/>
          <w:lang w:eastAsia="en-US"/>
        </w:rPr>
        <w:t>p</w:t>
      </w:r>
      <w:r w:rsidRPr="00F8094A">
        <w:rPr>
          <w:rFonts w:ascii="Times New Roman" w:eastAsia="Calibri" w:hAnsi="Times New Roman" w:cs="Times New Roman"/>
          <w:sz w:val="24"/>
          <w:szCs w:val="24"/>
          <w:lang w:eastAsia="en-US"/>
        </w:rPr>
        <w:t xml:space="preserve">artnera. </w:t>
      </w:r>
    </w:p>
    <w:p w:rsidR="00035D57" w:rsidRPr="00F8094A" w:rsidRDefault="00035D57" w:rsidP="00035D57">
      <w:pPr>
        <w:numPr>
          <w:ilvl w:val="0"/>
          <w:numId w:val="22"/>
        </w:numPr>
        <w:spacing w:after="0" w:line="360" w:lineRule="auto"/>
        <w:contextualSpacing/>
        <w:jc w:val="both"/>
        <w:rPr>
          <w:rFonts w:ascii="Times New Roman" w:eastAsia="Calibri" w:hAnsi="Times New Roman" w:cs="Times New Roman"/>
          <w:sz w:val="24"/>
          <w:szCs w:val="24"/>
          <w:lang w:eastAsia="en-US"/>
        </w:rPr>
      </w:pPr>
      <w:r w:rsidRPr="00F8094A">
        <w:rPr>
          <w:rFonts w:ascii="Times New Roman" w:eastAsia="Calibri" w:hAnsi="Times New Roman" w:cs="Times New Roman"/>
          <w:color w:val="000000"/>
          <w:sz w:val="24"/>
          <w:szCs w:val="24"/>
          <w:lang w:eastAsia="en-US"/>
        </w:rPr>
        <w:lastRenderedPageBreak/>
        <w:t xml:space="preserve">su oni koji uz </w:t>
      </w:r>
      <w:r w:rsidR="008839CE">
        <w:rPr>
          <w:rFonts w:ascii="Times New Roman" w:eastAsia="Calibri" w:hAnsi="Times New Roman" w:cs="Times New Roman"/>
          <w:color w:val="000000"/>
          <w:sz w:val="24"/>
          <w:szCs w:val="24"/>
          <w:lang w:eastAsia="en-US"/>
        </w:rPr>
        <w:t>p</w:t>
      </w:r>
      <w:r w:rsidRPr="00F8094A">
        <w:rPr>
          <w:rFonts w:ascii="Times New Roman" w:eastAsia="Calibri" w:hAnsi="Times New Roman" w:cs="Times New Roman"/>
          <w:color w:val="000000"/>
          <w:sz w:val="24"/>
          <w:szCs w:val="24"/>
          <w:lang w:eastAsia="en-US"/>
        </w:rPr>
        <w:t xml:space="preserve">rijavitelja doprinose svojim stručnim, financijskim, iskustvenim i administrativnim kapacitetima za provedbu, što dokazuju dokumentacijom priloženom uz prijavni obrazac i koji nisu isključeni jednim od kriterija za </w:t>
      </w:r>
      <w:r w:rsidRPr="00F8094A">
        <w:rPr>
          <w:rFonts w:ascii="Times New Roman" w:eastAsia="Calibri" w:hAnsi="Times New Roman" w:cs="Times New Roman"/>
          <w:sz w:val="24"/>
          <w:szCs w:val="24"/>
          <w:lang w:eastAsia="en-US"/>
        </w:rPr>
        <w:t xml:space="preserve">isključenje </w:t>
      </w:r>
      <w:r w:rsidR="008839CE">
        <w:rPr>
          <w:rFonts w:ascii="Times New Roman" w:eastAsia="Calibri" w:hAnsi="Times New Roman" w:cs="Times New Roman"/>
          <w:sz w:val="24"/>
          <w:szCs w:val="24"/>
          <w:lang w:eastAsia="en-US"/>
        </w:rPr>
        <w:t>p</w:t>
      </w:r>
      <w:r w:rsidRPr="00F8094A">
        <w:rPr>
          <w:rFonts w:ascii="Times New Roman" w:eastAsia="Calibri" w:hAnsi="Times New Roman" w:cs="Times New Roman"/>
          <w:sz w:val="24"/>
          <w:szCs w:val="24"/>
          <w:lang w:eastAsia="en-US"/>
        </w:rPr>
        <w:t xml:space="preserve">rijavitelja, što dokazuju dokumentacijom navedenom pod točkom 8. Uputa. </w:t>
      </w:r>
    </w:p>
    <w:p w:rsidR="00035D57" w:rsidRDefault="00035D57" w:rsidP="00291917">
      <w:pPr>
        <w:keepNext/>
        <w:keepLines/>
        <w:numPr>
          <w:ilvl w:val="0"/>
          <w:numId w:val="30"/>
        </w:numPr>
        <w:spacing w:after="0" w:line="360" w:lineRule="auto"/>
        <w:contextualSpacing/>
        <w:jc w:val="both"/>
        <w:outlineLvl w:val="1"/>
        <w:rPr>
          <w:rFonts w:ascii="Times New Roman" w:eastAsia="Calibri" w:hAnsi="Times New Roman" w:cs="Times New Roman"/>
          <w:sz w:val="24"/>
          <w:szCs w:val="24"/>
        </w:rPr>
      </w:pPr>
      <w:r w:rsidRPr="00F8094A">
        <w:rPr>
          <w:rFonts w:ascii="Times New Roman" w:eastAsia="Calibri" w:hAnsi="Times New Roman" w:cs="Times New Roman"/>
          <w:sz w:val="24"/>
          <w:szCs w:val="24"/>
        </w:rPr>
        <w:t xml:space="preserve">je i onaj koji nema sjedište, odnosno poslovnu jedinicu ili podružnicu u RH, a sudjeluje u projektu sa najviše do 15% prihvatljivih troškova projekta. U okviru projekta može sudjelovati samo jedan takav </w:t>
      </w:r>
      <w:r w:rsidR="008839CE">
        <w:rPr>
          <w:rFonts w:ascii="Times New Roman" w:eastAsia="Calibri" w:hAnsi="Times New Roman" w:cs="Times New Roman"/>
          <w:sz w:val="24"/>
          <w:szCs w:val="24"/>
        </w:rPr>
        <w:t>p</w:t>
      </w:r>
      <w:r w:rsidRPr="00F8094A">
        <w:rPr>
          <w:rFonts w:ascii="Times New Roman" w:eastAsia="Calibri" w:hAnsi="Times New Roman" w:cs="Times New Roman"/>
          <w:sz w:val="24"/>
          <w:szCs w:val="24"/>
        </w:rPr>
        <w:t xml:space="preserve">artner (u navedenom slučaju </w:t>
      </w:r>
      <w:r w:rsidR="008839CE">
        <w:rPr>
          <w:rFonts w:ascii="Times New Roman" w:eastAsia="Calibri" w:hAnsi="Times New Roman" w:cs="Times New Roman"/>
          <w:sz w:val="24"/>
          <w:szCs w:val="24"/>
        </w:rPr>
        <w:t>p</w:t>
      </w:r>
      <w:r w:rsidRPr="00F8094A">
        <w:rPr>
          <w:rFonts w:ascii="Times New Roman" w:eastAsia="Calibri" w:hAnsi="Times New Roman" w:cs="Times New Roman"/>
          <w:sz w:val="24"/>
          <w:szCs w:val="24"/>
        </w:rPr>
        <w:t>rijavitelj je dužan opisati razloge zašto je nužan strani partner, navedeno se opisuje u Obrascu 2- Prijavni obrazac B).</w:t>
      </w:r>
    </w:p>
    <w:p w:rsidR="009A75A2" w:rsidRPr="009A75A2" w:rsidRDefault="009A75A2" w:rsidP="009A75A2">
      <w:pPr>
        <w:keepNext/>
        <w:keepLines/>
        <w:spacing w:after="0" w:line="360" w:lineRule="auto"/>
        <w:contextualSpacing/>
        <w:jc w:val="both"/>
        <w:outlineLvl w:val="1"/>
        <w:rPr>
          <w:rFonts w:ascii="Times New Roman" w:eastAsia="Calibri" w:hAnsi="Times New Roman" w:cs="Times New Roman"/>
          <w:sz w:val="24"/>
          <w:szCs w:val="24"/>
        </w:rPr>
      </w:pPr>
    </w:p>
    <w:p w:rsidR="008B0D01" w:rsidRDefault="009A75A2" w:rsidP="008B0D01">
      <w:pPr>
        <w:spacing w:after="0" w:line="360" w:lineRule="auto"/>
        <w:jc w:val="both"/>
        <w:rPr>
          <w:rFonts w:ascii="Times New Roman" w:eastAsia="Calibri" w:hAnsi="Times New Roman" w:cs="Times New Roman"/>
          <w:sz w:val="24"/>
          <w:szCs w:val="24"/>
          <w:lang w:eastAsia="en-US"/>
        </w:rPr>
      </w:pPr>
      <w:r w:rsidRPr="00284D7A">
        <w:rPr>
          <w:rFonts w:ascii="Times New Roman" w:eastAsia="Calibri" w:hAnsi="Times New Roman" w:cs="Times New Roman"/>
          <w:b/>
          <w:sz w:val="24"/>
          <w:szCs w:val="24"/>
          <w:lang w:eastAsia="en-US"/>
        </w:rPr>
        <w:t xml:space="preserve">Kriteriji za isključenje </w:t>
      </w:r>
      <w:r w:rsidR="008839CE">
        <w:rPr>
          <w:rFonts w:ascii="Times New Roman" w:eastAsia="Calibri" w:hAnsi="Times New Roman" w:cs="Times New Roman"/>
          <w:b/>
          <w:sz w:val="24"/>
          <w:szCs w:val="24"/>
          <w:lang w:eastAsia="en-US"/>
        </w:rPr>
        <w:t>p</w:t>
      </w:r>
      <w:r w:rsidRPr="00284D7A">
        <w:rPr>
          <w:rFonts w:ascii="Times New Roman" w:eastAsia="Calibri" w:hAnsi="Times New Roman" w:cs="Times New Roman"/>
          <w:b/>
          <w:sz w:val="24"/>
          <w:szCs w:val="24"/>
          <w:lang w:eastAsia="en-US"/>
        </w:rPr>
        <w:t xml:space="preserve">rijavitelja (potencijalnog Korisnika) i ako je primjenjivo </w:t>
      </w:r>
      <w:r w:rsidR="008839CE">
        <w:rPr>
          <w:rFonts w:ascii="Times New Roman" w:eastAsia="Calibri" w:hAnsi="Times New Roman" w:cs="Times New Roman"/>
          <w:b/>
          <w:sz w:val="24"/>
          <w:szCs w:val="24"/>
          <w:lang w:eastAsia="en-US"/>
        </w:rPr>
        <w:t>p</w:t>
      </w:r>
      <w:r w:rsidRPr="00284D7A">
        <w:rPr>
          <w:rFonts w:ascii="Times New Roman" w:eastAsia="Calibri" w:hAnsi="Times New Roman" w:cs="Times New Roman"/>
          <w:b/>
          <w:sz w:val="24"/>
          <w:szCs w:val="24"/>
          <w:lang w:eastAsia="en-US"/>
        </w:rPr>
        <w:t>artnera, u okviru ovog Poziva potpora se ne može dodijeliti</w:t>
      </w:r>
      <w:r>
        <w:rPr>
          <w:rFonts w:ascii="Times New Roman" w:eastAsia="Calibri" w:hAnsi="Times New Roman" w:cs="Times New Roman"/>
          <w:sz w:val="24"/>
          <w:szCs w:val="24"/>
          <w:lang w:eastAsia="en-US"/>
        </w:rPr>
        <w:t xml:space="preserve">: </w:t>
      </w:r>
    </w:p>
    <w:p w:rsidR="009A75A2" w:rsidRPr="009A75A2" w:rsidRDefault="009A75A2" w:rsidP="009A75A2">
      <w:pPr>
        <w:numPr>
          <w:ilvl w:val="0"/>
          <w:numId w:val="27"/>
        </w:num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Poduzetnicima od kojih je, kako je navedeno u članku 1., točka 4.a) Uredbe 651/2014, temeljem prethodne odluke Komisije kojom se potpora proglašava protuzakonitom i nespojivom s unutarnjim tržištem, zatražen povrat sredstava; </w:t>
      </w:r>
    </w:p>
    <w:p w:rsidR="009A75A2" w:rsidRPr="009A75A2" w:rsidRDefault="009A75A2" w:rsidP="009A75A2">
      <w:pPr>
        <w:numPr>
          <w:ilvl w:val="0"/>
          <w:numId w:val="27"/>
        </w:num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Poduzetnicima u teškoćama kako je definirano u članku 2., točki 18. Uredbe 651/2014 i članku 6. točke 3., Programa; </w:t>
      </w:r>
    </w:p>
    <w:p w:rsidR="009A75A2" w:rsidRPr="009A75A2" w:rsidRDefault="009A75A2" w:rsidP="009A75A2">
      <w:pPr>
        <w:numPr>
          <w:ilvl w:val="0"/>
          <w:numId w:val="27"/>
        </w:num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Poduzetnicima koji su u postupku predstečajne nagodbe, sukladno Zakonu o financijskom poslovanju i predstečajnoj nagodbi (NN 108/12, 144/12, 81/13, 112/13, 71/15, 78/15); </w:t>
      </w:r>
    </w:p>
    <w:p w:rsidR="009A75A2" w:rsidRPr="009A75A2" w:rsidRDefault="009A75A2" w:rsidP="009A75A2">
      <w:pPr>
        <w:numPr>
          <w:ilvl w:val="0"/>
          <w:numId w:val="27"/>
        </w:num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Poduzetnicima koji su u postupku stečaja ili likvidacije Sukladno odredbama Stečajnog zakona (NN 44/96, 29/99, 129/00, 123/03, 82/06, 116/10, 25/12, 133/12, 45/13, 71/15); </w:t>
      </w:r>
    </w:p>
    <w:p w:rsidR="009A75A2" w:rsidRPr="009A75A2" w:rsidRDefault="009A75A2" w:rsidP="009A75A2">
      <w:pPr>
        <w:numPr>
          <w:ilvl w:val="0"/>
          <w:numId w:val="27"/>
        </w:num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Ako se radi o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rijavitelju, poduzetniku koji nema poslovni nastan u RH, odnosno poslovnu jedinicu ili podružnicu u RH;</w:t>
      </w:r>
    </w:p>
    <w:p w:rsidR="009A75A2" w:rsidRPr="009A75A2" w:rsidRDefault="009A75A2" w:rsidP="009A75A2">
      <w:pPr>
        <w:numPr>
          <w:ilvl w:val="0"/>
          <w:numId w:val="27"/>
        </w:num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Poduzetnicima koji nisu ispunili obveze vezane uz plaćanje dospjelih poreznih obveza i obveza za mirovinsko i zdravstveno osiguranje u skladu sa zakonskim odredbama u RH, odnosno u slučaju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artnera koji nema poslovni nastan u RH, odnosno poslovnu jedinicu ili podružnicu u RH, u skladu sa zakonskim odredbama zemlje u kojoj su osnovani; </w:t>
      </w:r>
    </w:p>
    <w:p w:rsidR="009A75A2" w:rsidRPr="009A75A2" w:rsidRDefault="009A75A2" w:rsidP="009A75A2">
      <w:pPr>
        <w:numPr>
          <w:ilvl w:val="0"/>
          <w:numId w:val="27"/>
        </w:num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Poduzetnicima koji nemaju podmirene sve obveze prema svojim zaposlenicima po bilo kojoj osnovi; </w:t>
      </w:r>
    </w:p>
    <w:p w:rsidR="009A75A2" w:rsidRPr="009A75A2" w:rsidRDefault="009A75A2" w:rsidP="009A75A2">
      <w:pPr>
        <w:numPr>
          <w:ilvl w:val="0"/>
          <w:numId w:val="27"/>
        </w:num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U slučajevima u kojima je protiv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rijavitelja/</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artnera ili 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w:t>
      </w:r>
      <w:r w:rsidRPr="009A75A2">
        <w:rPr>
          <w:rFonts w:ascii="Times New Roman" w:eastAsia="Calibri" w:hAnsi="Times New Roman" w:cs="Times New Roman"/>
          <w:sz w:val="24"/>
          <w:szCs w:val="24"/>
          <w:lang w:eastAsia="en-US"/>
        </w:rPr>
        <w:lastRenderedPageBreak/>
        <w:t>nabave, utaja poreza ili carine, subvencijska prijevara, pranje novca, zlouporaba položaja i ovlasti, nezakonito pogodovanje, primanje mita, davanje mita, trgovanje utjecajem, davanje mita za trgovanje utjecajem, protuzakonito posredovanje, udruživanje za počinjenje kaznenih djela, zločinačko udruženje i počinjenje kaznenog djela u sastavu zločinačkog udruženja i zlouporaba obavljanja dužnosti državne vlasti sukladno odredbama Kaznenog zakona (NN 125/11, 144/12, 56/15, 61/15);</w:t>
      </w:r>
    </w:p>
    <w:p w:rsidR="009A75A2" w:rsidRPr="009A75A2" w:rsidRDefault="009A75A2" w:rsidP="009A75A2">
      <w:pPr>
        <w:numPr>
          <w:ilvl w:val="0"/>
          <w:numId w:val="27"/>
        </w:num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Poduzetnicima koji su dobili državnu potporu ili potporu male vrijednosti za isti opravdani trošak projekta, ukoliko ista nije u skladu s točkom 1.4.1. Zbrajanje potpora; </w:t>
      </w:r>
    </w:p>
    <w:p w:rsidR="009A75A2" w:rsidRPr="009A75A2" w:rsidRDefault="009A75A2" w:rsidP="009A75A2">
      <w:pPr>
        <w:numPr>
          <w:ilvl w:val="0"/>
          <w:numId w:val="27"/>
        </w:num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Poduzetnicima koji se nalaze u postupku povrata državne potpore ili potpore male vrijednosti; </w:t>
      </w:r>
    </w:p>
    <w:p w:rsidR="009A75A2" w:rsidRPr="009A75A2" w:rsidRDefault="009A75A2" w:rsidP="009A75A2">
      <w:pPr>
        <w:numPr>
          <w:ilvl w:val="0"/>
          <w:numId w:val="27"/>
        </w:num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Poduzetnicima koji nisu registrirani za obavljanje ekonomske djelatnosti najmanje godinu dana prije dana predaje projektnog prijedloga;</w:t>
      </w:r>
    </w:p>
    <w:p w:rsidR="009A75A2" w:rsidRPr="009A75A2" w:rsidRDefault="009A75A2" w:rsidP="009A75A2">
      <w:pPr>
        <w:numPr>
          <w:ilvl w:val="0"/>
          <w:numId w:val="27"/>
        </w:num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Poduzetnicima koji su krivi za teške povrede poslovanja dokazane bilo kojim sredstvima koje Ugovorno tijelo (PT2) može opravdati;</w:t>
      </w:r>
    </w:p>
    <w:p w:rsidR="009A75A2" w:rsidRPr="009A75A2" w:rsidRDefault="009A75A2" w:rsidP="009A75A2">
      <w:pPr>
        <w:numPr>
          <w:ilvl w:val="0"/>
          <w:numId w:val="27"/>
        </w:num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Poduzetnicima koji nisu izravno odgovorni za pripremu, upravljanje, provedbu i rezultate projekta u smislu da se upravljanje projektom ne može prenijeti bilo kojoj trećoj strani.</w:t>
      </w:r>
    </w:p>
    <w:p w:rsidR="009A75A2" w:rsidRDefault="009A75A2" w:rsidP="008B0D01">
      <w:pPr>
        <w:spacing w:after="0" w:line="360" w:lineRule="auto"/>
        <w:jc w:val="both"/>
        <w:rPr>
          <w:rFonts w:ascii="Times New Roman" w:eastAsia="Calibri" w:hAnsi="Times New Roman" w:cs="Times New Roman"/>
          <w:sz w:val="24"/>
          <w:szCs w:val="24"/>
          <w:lang w:eastAsia="en-US"/>
        </w:rPr>
      </w:pPr>
    </w:p>
    <w:p w:rsidR="009A75A2" w:rsidRPr="00284D7A" w:rsidRDefault="009A75A2" w:rsidP="00284D7A">
      <w:pPr>
        <w:tabs>
          <w:tab w:val="left" w:pos="284"/>
          <w:tab w:val="left" w:pos="567"/>
          <w:tab w:val="left" w:pos="2310"/>
        </w:tabs>
        <w:spacing w:after="0" w:line="360" w:lineRule="auto"/>
        <w:jc w:val="both"/>
        <w:rPr>
          <w:rFonts w:ascii="Times New Roman" w:eastAsia="Calibri" w:hAnsi="Times New Roman" w:cs="Times New Roman"/>
          <w:b/>
          <w:sz w:val="24"/>
          <w:szCs w:val="24"/>
        </w:rPr>
      </w:pPr>
      <w:r w:rsidRPr="00284D7A">
        <w:rPr>
          <w:rFonts w:ascii="Times New Roman" w:eastAsia="Calibri" w:hAnsi="Times New Roman" w:cs="Times New Roman"/>
          <w:b/>
          <w:sz w:val="24"/>
          <w:szCs w:val="24"/>
        </w:rPr>
        <w:t xml:space="preserve">Zahtjevi koji se odnose na sposobnost </w:t>
      </w:r>
      <w:r w:rsidR="008839CE">
        <w:rPr>
          <w:rFonts w:ascii="Times New Roman" w:eastAsia="Calibri" w:hAnsi="Times New Roman" w:cs="Times New Roman"/>
          <w:b/>
          <w:sz w:val="24"/>
          <w:szCs w:val="24"/>
        </w:rPr>
        <w:t>p</w:t>
      </w:r>
      <w:r w:rsidRPr="00284D7A">
        <w:rPr>
          <w:rFonts w:ascii="Times New Roman" w:eastAsia="Calibri" w:hAnsi="Times New Roman" w:cs="Times New Roman"/>
          <w:b/>
          <w:sz w:val="24"/>
          <w:szCs w:val="24"/>
        </w:rPr>
        <w:t>rijavitelja, učinkovito korištenje sredstava i trajanje:</w:t>
      </w:r>
    </w:p>
    <w:p w:rsidR="009A75A2" w:rsidRPr="009A75A2" w:rsidRDefault="009A75A2" w:rsidP="009A75A2">
      <w:pPr>
        <w:numPr>
          <w:ilvl w:val="0"/>
          <w:numId w:val="29"/>
        </w:num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Prihvatljiv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rijavitelj je onaj koji provodi i/ili planira provoditi projekte istraživanja i razvoja unutar jednog ili više prioritetnih tematskih i pod tematskih područja Strategije pametne  specijalizacije nije isključen jednim od kriterija za isključenje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rijavitelja. </w:t>
      </w:r>
    </w:p>
    <w:p w:rsidR="009A75A2" w:rsidRPr="009A75A2" w:rsidRDefault="009A75A2" w:rsidP="009A75A2">
      <w:pPr>
        <w:numPr>
          <w:ilvl w:val="0"/>
          <w:numId w:val="29"/>
        </w:num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Prihvatljiv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rijavitelj je onaj koji ima dostatne financijske</w:t>
      </w:r>
      <w:r w:rsidRPr="009A75A2">
        <w:rPr>
          <w:rFonts w:ascii="Times New Roman" w:eastAsia="Calibri" w:hAnsi="Times New Roman" w:cs="Times New Roman"/>
          <w:sz w:val="24"/>
          <w:szCs w:val="24"/>
          <w:vertAlign w:val="superscript"/>
          <w:lang w:eastAsia="en-US"/>
        </w:rPr>
        <w:footnoteReference w:id="3"/>
      </w:r>
      <w:r w:rsidRPr="009A75A2">
        <w:rPr>
          <w:rFonts w:ascii="Times New Roman" w:eastAsia="Calibri" w:hAnsi="Times New Roman" w:cs="Times New Roman"/>
          <w:sz w:val="24"/>
          <w:szCs w:val="24"/>
          <w:lang w:eastAsia="en-US"/>
        </w:rPr>
        <w:t xml:space="preserve">, stručne, iskustvene i administrativne kapacitete za provedbu projekta, samostalno ili u suradnji sa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artnerima što dokazuje dokumentacijom priloženom uz prijavni obrazac (popis dokumentacije opisan pod točkom 8. Obrasci i Prilozi). </w:t>
      </w:r>
    </w:p>
    <w:p w:rsidR="009A75A2" w:rsidRPr="009A75A2" w:rsidRDefault="009A75A2" w:rsidP="009A75A2">
      <w:pPr>
        <w:numPr>
          <w:ilvl w:val="0"/>
          <w:numId w:val="29"/>
        </w:num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lastRenderedPageBreak/>
        <w:t xml:space="preserve">Prihvatljiv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rijavitelj je onaj koji nije isključen jednim od kriterija za isključenje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rijavitelja, koji su definirani u točki 2.4 Uputa.</w:t>
      </w:r>
    </w:p>
    <w:p w:rsidR="009A75A2" w:rsidRPr="009A75A2" w:rsidRDefault="009A75A2" w:rsidP="009A75A2">
      <w:pPr>
        <w:keepNext/>
        <w:keepLines/>
        <w:numPr>
          <w:ilvl w:val="0"/>
          <w:numId w:val="29"/>
        </w:numPr>
        <w:spacing w:after="0" w:line="360" w:lineRule="auto"/>
        <w:contextualSpacing/>
        <w:jc w:val="both"/>
        <w:outlineLvl w:val="1"/>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Prihvatljiv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rijavitelj je onaj koji je zajedno sa svojim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artnerima u mogućnosti provesti projekt pravovremeno i u skladu sa uvjetima utvrđenima u ovim Uputama. Prijavitelj zajedno sa svojim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artnerima treba osigurati učinkovitu uporabu sredstava u skladu s načelima ekonomičnosti, učinkovitosti i djelotvornosti. </w:t>
      </w:r>
    </w:p>
    <w:p w:rsidR="009A75A2" w:rsidRPr="009A75A2" w:rsidRDefault="009A75A2" w:rsidP="009A75A2">
      <w:pPr>
        <w:keepNext/>
        <w:keepLines/>
        <w:numPr>
          <w:ilvl w:val="0"/>
          <w:numId w:val="29"/>
        </w:numPr>
        <w:spacing w:after="0" w:line="360" w:lineRule="auto"/>
        <w:contextualSpacing/>
        <w:jc w:val="both"/>
        <w:outlineLvl w:val="1"/>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Prihvatljiv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 xml:space="preserve">rijavitelj je onaj koji zajedno sa svojim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artnerima može osigurati održivost projekta i održivost projektnih rezultata. Prijavitelj kojem je odobrena regionalna potpora mora osigurati održivost projekta, odnosno da ulaganje ostaje u području koje prima potporu, što znači da tijekom razdoblja od pet godina za velike poduzetnike, odnosno tri godine za MSP od završetka projekta mora osigurati sljedeće:</w:t>
      </w:r>
    </w:p>
    <w:p w:rsidR="009A75A2" w:rsidRPr="009A75A2" w:rsidRDefault="009A75A2" w:rsidP="009A75A2">
      <w:pPr>
        <w:numPr>
          <w:ilvl w:val="1"/>
          <w:numId w:val="28"/>
        </w:num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održavanje opreme i druge imovine nabavljene tijekom projekta sukladno uputama/preporukama proizvođača; </w:t>
      </w:r>
    </w:p>
    <w:p w:rsidR="009A75A2" w:rsidRPr="009A75A2" w:rsidRDefault="009A75A2" w:rsidP="009A75A2">
      <w:pPr>
        <w:numPr>
          <w:ilvl w:val="1"/>
          <w:numId w:val="28"/>
        </w:num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održivost aktivnosti i rezultata kako bi se osigurala realizacija ciljanih pokazatelja utvrđenih u točki 3.3. Pokazatelji te onih navedenih u projektnim prijedlozima i rezultatima u točki 3.4. Rezultati projekta;</w:t>
      </w:r>
    </w:p>
    <w:p w:rsidR="00284D7A" w:rsidRDefault="009A75A2" w:rsidP="009A75A2">
      <w:pPr>
        <w:numPr>
          <w:ilvl w:val="1"/>
          <w:numId w:val="28"/>
        </w:numPr>
        <w:spacing w:after="0" w:line="360" w:lineRule="auto"/>
        <w:ind w:left="1434" w:hanging="357"/>
        <w:contextualSpacing/>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da ne dođe do bitne izmjene projektnih rezultata uslijed promjene prirode vlasništva dijela infrastrukture ili prestanka proizvodne aktivnosti.</w:t>
      </w:r>
    </w:p>
    <w:p w:rsidR="008839CE" w:rsidRPr="00284D7A" w:rsidRDefault="008839CE" w:rsidP="0096665F">
      <w:pPr>
        <w:spacing w:after="0" w:line="360" w:lineRule="auto"/>
        <w:ind w:left="1434"/>
        <w:contextualSpacing/>
        <w:jc w:val="both"/>
        <w:rPr>
          <w:rFonts w:ascii="Times New Roman" w:eastAsia="Calibri" w:hAnsi="Times New Roman" w:cs="Times New Roman"/>
          <w:sz w:val="24"/>
          <w:szCs w:val="24"/>
          <w:lang w:eastAsia="en-US"/>
        </w:rPr>
      </w:pPr>
    </w:p>
    <w:p w:rsidR="009A75A2" w:rsidRPr="009A75A2" w:rsidRDefault="009A75A2" w:rsidP="00284D7A">
      <w:pPr>
        <w:spacing w:after="0" w:line="360" w:lineRule="auto"/>
        <w:contextualSpacing/>
        <w:jc w:val="both"/>
        <w:rPr>
          <w:rFonts w:ascii="Times New Roman" w:eastAsia="Calibri" w:hAnsi="Times New Roman" w:cs="Times New Roman"/>
          <w:sz w:val="24"/>
          <w:szCs w:val="24"/>
          <w:lang w:eastAsia="en-US"/>
        </w:rPr>
      </w:pPr>
      <w:r w:rsidRPr="009A75A2">
        <w:rPr>
          <w:rFonts w:ascii="Times New Roman" w:eastAsiaTheme="minorHAnsi" w:hAnsi="Times New Roman" w:cs="Times New Roman"/>
          <w:sz w:val="24"/>
          <w:szCs w:val="24"/>
          <w:lang w:eastAsia="en-US"/>
        </w:rPr>
        <w:t>Nepridržavanje zahtjeva vezanih uz trajnost smatrat će se kršenjem Ugovora i može dovesti do povrata sredstava od strane Korisnika. Nepropisno isplaćeni iznosi na ime projekta vraćaju se u Državni proračun razmjerno razdoblju u kojemu zahtjevi nisu bili ispunjeni. Rezultati ulaganja temeljem regionalne potpore se moraju zadržati na mjestu ulaganja, najmanje tri godine u slučaju malih i srednjih poduzetnika te pet godina u slučaju velikih poduzetnike nakon završetka projekta. Ovo ne sprječava zamjenu opreme koji je zastarjela zbog brzih tehnoloških promjena ili se pokvarila, uz uvjet da je gospodarska djelatnost zadržana u predmetnoj jedinici lokalne samouprave tijekom navedenog minimalnog razdoblja.</w:t>
      </w:r>
    </w:p>
    <w:p w:rsidR="009A75A2" w:rsidRDefault="009A75A2" w:rsidP="008B0D01">
      <w:pPr>
        <w:spacing w:after="0" w:line="360" w:lineRule="auto"/>
        <w:jc w:val="both"/>
        <w:rPr>
          <w:rFonts w:ascii="Times New Roman" w:eastAsia="Calibri" w:hAnsi="Times New Roman" w:cs="Times New Roman"/>
          <w:sz w:val="24"/>
          <w:szCs w:val="24"/>
          <w:lang w:eastAsia="en-US"/>
        </w:rPr>
      </w:pPr>
    </w:p>
    <w:p w:rsidR="009A75A2" w:rsidRDefault="009A75A2" w:rsidP="008B0D01">
      <w:pPr>
        <w:spacing w:after="0" w:line="360" w:lineRule="auto"/>
        <w:jc w:val="both"/>
        <w:rPr>
          <w:rFonts w:ascii="Times New Roman" w:eastAsia="Calibri" w:hAnsi="Times New Roman" w:cs="Times New Roman"/>
          <w:sz w:val="24"/>
          <w:szCs w:val="24"/>
          <w:lang w:eastAsia="en-US"/>
        </w:rPr>
      </w:pPr>
    </w:p>
    <w:p w:rsidR="009A75A2" w:rsidRDefault="009A75A2" w:rsidP="008B0D01">
      <w:pPr>
        <w:spacing w:after="0" w:line="360" w:lineRule="auto"/>
        <w:jc w:val="both"/>
        <w:rPr>
          <w:rFonts w:ascii="Times New Roman" w:eastAsia="Calibri" w:hAnsi="Times New Roman" w:cs="Times New Roman"/>
          <w:sz w:val="24"/>
          <w:szCs w:val="24"/>
          <w:lang w:eastAsia="en-US"/>
        </w:rPr>
      </w:pPr>
    </w:p>
    <w:p w:rsidR="00284D7A" w:rsidRDefault="00284D7A" w:rsidP="008B0D01">
      <w:pPr>
        <w:spacing w:after="0" w:line="360" w:lineRule="auto"/>
        <w:jc w:val="both"/>
        <w:rPr>
          <w:rFonts w:ascii="Times New Roman" w:eastAsia="Calibri" w:hAnsi="Times New Roman" w:cs="Times New Roman"/>
          <w:sz w:val="24"/>
          <w:szCs w:val="24"/>
          <w:lang w:eastAsia="en-US"/>
        </w:rPr>
      </w:pPr>
    </w:p>
    <w:p w:rsidR="0096665F" w:rsidRDefault="0096665F" w:rsidP="008B0D01">
      <w:pPr>
        <w:spacing w:after="0" w:line="360" w:lineRule="auto"/>
        <w:jc w:val="both"/>
        <w:rPr>
          <w:rFonts w:ascii="Times New Roman" w:eastAsia="Calibri" w:hAnsi="Times New Roman" w:cs="Times New Roman"/>
          <w:sz w:val="24"/>
          <w:szCs w:val="24"/>
          <w:lang w:eastAsia="en-US"/>
        </w:rPr>
      </w:pPr>
    </w:p>
    <w:p w:rsidR="0096665F" w:rsidRPr="009A75A2" w:rsidRDefault="0096665F" w:rsidP="008B0D01">
      <w:pPr>
        <w:spacing w:after="0" w:line="360" w:lineRule="auto"/>
        <w:jc w:val="both"/>
        <w:rPr>
          <w:rFonts w:ascii="Times New Roman" w:eastAsia="Calibri" w:hAnsi="Times New Roman" w:cs="Times New Roman"/>
          <w:sz w:val="24"/>
          <w:szCs w:val="24"/>
          <w:lang w:eastAsia="en-US"/>
        </w:rPr>
      </w:pPr>
    </w:p>
    <w:p w:rsidR="00035D57" w:rsidRPr="009A75A2" w:rsidRDefault="00035D57" w:rsidP="008B0D01">
      <w:pPr>
        <w:pStyle w:val="ListParagraph"/>
        <w:numPr>
          <w:ilvl w:val="0"/>
          <w:numId w:val="17"/>
        </w:numPr>
        <w:spacing w:after="0" w:line="360" w:lineRule="auto"/>
        <w:jc w:val="both"/>
        <w:rPr>
          <w:rFonts w:ascii="Times New Roman" w:eastAsia="Calibri" w:hAnsi="Times New Roman" w:cs="Times New Roman"/>
          <w:b/>
          <w:sz w:val="24"/>
          <w:szCs w:val="24"/>
          <w:lang w:eastAsia="en-US"/>
        </w:rPr>
      </w:pPr>
      <w:r w:rsidRPr="009A75A2">
        <w:rPr>
          <w:rFonts w:ascii="Times New Roman" w:eastAsia="Calibri" w:hAnsi="Times New Roman" w:cs="Times New Roman"/>
          <w:b/>
          <w:sz w:val="24"/>
          <w:szCs w:val="24"/>
          <w:lang w:eastAsia="en-US"/>
        </w:rPr>
        <w:lastRenderedPageBreak/>
        <w:t>Prihvatljive aktivnosti</w:t>
      </w:r>
    </w:p>
    <w:p w:rsidR="00035D57" w:rsidRPr="009A75A2" w:rsidRDefault="00035D57" w:rsidP="00035D57">
      <w:pPr>
        <w:pStyle w:val="ListParagraph"/>
        <w:spacing w:after="0" w:line="360" w:lineRule="auto"/>
        <w:jc w:val="both"/>
        <w:rPr>
          <w:rFonts w:ascii="Times New Roman" w:eastAsia="Calibri" w:hAnsi="Times New Roman" w:cs="Times New Roman"/>
          <w:b/>
          <w:sz w:val="24"/>
          <w:szCs w:val="24"/>
          <w:lang w:eastAsia="en-US"/>
        </w:rPr>
      </w:pPr>
    </w:p>
    <w:p w:rsidR="00035D57" w:rsidRPr="00F8094A" w:rsidRDefault="00035D57" w:rsidP="00035D57">
      <w:pPr>
        <w:spacing w:after="0" w:line="360" w:lineRule="auto"/>
        <w:jc w:val="both"/>
        <w:rPr>
          <w:rFonts w:ascii="Times New Roman" w:eastAsia="Calibri" w:hAnsi="Times New Roman" w:cs="Times New Roman"/>
          <w:sz w:val="24"/>
          <w:szCs w:val="24"/>
          <w:lang w:eastAsia="en-US"/>
        </w:rPr>
      </w:pPr>
      <w:r w:rsidRPr="009A75A2">
        <w:rPr>
          <w:rFonts w:ascii="Times New Roman" w:eastAsiaTheme="minorHAnsi" w:hAnsi="Times New Roman" w:cs="Times New Roman"/>
          <w:sz w:val="24"/>
          <w:szCs w:val="24"/>
          <w:lang w:eastAsia="en-US"/>
        </w:rPr>
        <w:t xml:space="preserve">Prihvatljive aktivnosti su aktivnosti istraživanja i razvoja (vlastite aktivnosti istraživanja i razvoja, ugovorno istraživanje i kolaborativno istraživanje) i </w:t>
      </w:r>
      <w:r w:rsidRPr="004C53F3">
        <w:rPr>
          <w:rFonts w:ascii="Times New Roman" w:eastAsia="Calibri" w:hAnsi="Times New Roman" w:cs="Times New Roman"/>
          <w:sz w:val="24"/>
          <w:szCs w:val="24"/>
          <w:lang w:eastAsia="en-US"/>
        </w:rPr>
        <w:t>aktivnosti početnih ulaganja u materijalnu i nematerijalnu imovinu u cilju jačanja kapaciteta za</w:t>
      </w:r>
      <w:r w:rsidRPr="00F8094A">
        <w:rPr>
          <w:rFonts w:ascii="Times New Roman" w:eastAsia="Calibri" w:hAnsi="Times New Roman" w:cs="Times New Roman"/>
          <w:sz w:val="24"/>
          <w:szCs w:val="24"/>
          <w:lang w:eastAsia="en-US"/>
        </w:rPr>
        <w:t xml:space="preserve"> istraživanje i razvoj.</w:t>
      </w:r>
    </w:p>
    <w:p w:rsidR="00515922" w:rsidRPr="00F8094A" w:rsidRDefault="00035D57" w:rsidP="00035D57">
      <w:pPr>
        <w:tabs>
          <w:tab w:val="center" w:pos="459"/>
        </w:tabs>
        <w:autoSpaceDE w:val="0"/>
        <w:autoSpaceDN w:val="0"/>
        <w:adjustRightInd w:val="0"/>
        <w:spacing w:after="0" w:line="360" w:lineRule="auto"/>
        <w:contextualSpacing/>
        <w:jc w:val="both"/>
        <w:rPr>
          <w:rFonts w:ascii="Times New Roman" w:eastAsia="Times New Roman" w:hAnsi="Times New Roman" w:cs="Times New Roman"/>
          <w:color w:val="000000"/>
          <w:spacing w:val="-1"/>
          <w:sz w:val="24"/>
          <w:szCs w:val="24"/>
          <w:lang w:eastAsia="ar-SA"/>
        </w:rPr>
      </w:pPr>
      <w:r w:rsidRPr="00F8094A">
        <w:rPr>
          <w:rFonts w:ascii="Times New Roman" w:eastAsia="Times New Roman" w:hAnsi="Times New Roman" w:cs="Times New Roman"/>
          <w:color w:val="000000"/>
          <w:spacing w:val="-1"/>
          <w:sz w:val="24"/>
          <w:szCs w:val="24"/>
          <w:lang w:eastAsia="ar-SA"/>
        </w:rPr>
        <w:t>Aktivnosti istraživanja i razvoja moraju biti u jednoj ili više sljedećih kategorija istraživanja i razvoja:</w:t>
      </w:r>
    </w:p>
    <w:p w:rsidR="00035D57" w:rsidRPr="00F8094A" w:rsidRDefault="00035D57" w:rsidP="00035D57">
      <w:pPr>
        <w:numPr>
          <w:ilvl w:val="0"/>
          <w:numId w:val="23"/>
        </w:numPr>
        <w:spacing w:after="0" w:line="360" w:lineRule="auto"/>
        <w:contextualSpacing/>
        <w:jc w:val="both"/>
        <w:rPr>
          <w:rFonts w:ascii="Times New Roman" w:eastAsia="Times New Roman" w:hAnsi="Times New Roman" w:cs="Times New Roman"/>
          <w:color w:val="000000"/>
          <w:spacing w:val="-1"/>
          <w:sz w:val="24"/>
          <w:szCs w:val="24"/>
          <w:lang w:eastAsia="ar-SA"/>
        </w:rPr>
      </w:pPr>
      <w:r w:rsidRPr="00F8094A">
        <w:rPr>
          <w:rFonts w:ascii="Times New Roman" w:eastAsia="Times New Roman" w:hAnsi="Times New Roman" w:cs="Times New Roman"/>
          <w:color w:val="000000"/>
          <w:spacing w:val="-1"/>
          <w:sz w:val="24"/>
          <w:szCs w:val="24"/>
          <w:lang w:eastAsia="ar-SA"/>
        </w:rPr>
        <w:t>temeljno istraživanje,</w:t>
      </w:r>
    </w:p>
    <w:p w:rsidR="00035D57" w:rsidRPr="00F8094A" w:rsidRDefault="00035D57" w:rsidP="00035D57">
      <w:pPr>
        <w:numPr>
          <w:ilvl w:val="0"/>
          <w:numId w:val="23"/>
        </w:numPr>
        <w:spacing w:after="0" w:line="360" w:lineRule="auto"/>
        <w:contextualSpacing/>
        <w:jc w:val="both"/>
        <w:rPr>
          <w:rFonts w:ascii="Times New Roman" w:eastAsia="Times New Roman" w:hAnsi="Times New Roman" w:cs="Times New Roman"/>
          <w:color w:val="000000"/>
          <w:spacing w:val="-1"/>
          <w:sz w:val="24"/>
          <w:szCs w:val="24"/>
          <w:lang w:eastAsia="ar-SA"/>
        </w:rPr>
      </w:pPr>
      <w:r w:rsidRPr="00F8094A">
        <w:rPr>
          <w:rFonts w:ascii="Times New Roman" w:eastAsia="Times New Roman" w:hAnsi="Times New Roman" w:cs="Times New Roman"/>
          <w:color w:val="000000"/>
          <w:spacing w:val="-1"/>
          <w:sz w:val="24"/>
          <w:szCs w:val="24"/>
          <w:lang w:eastAsia="ar-SA"/>
        </w:rPr>
        <w:t>industrijsko istraživanje,</w:t>
      </w:r>
    </w:p>
    <w:p w:rsidR="00035D57" w:rsidRPr="00F8094A" w:rsidRDefault="00035D57" w:rsidP="00035D57">
      <w:pPr>
        <w:numPr>
          <w:ilvl w:val="0"/>
          <w:numId w:val="23"/>
        </w:numPr>
        <w:spacing w:after="0" w:line="360" w:lineRule="auto"/>
        <w:contextualSpacing/>
        <w:jc w:val="both"/>
        <w:rPr>
          <w:rFonts w:ascii="Times New Roman" w:eastAsia="Times New Roman" w:hAnsi="Times New Roman" w:cs="Times New Roman"/>
          <w:color w:val="000000"/>
          <w:spacing w:val="-1"/>
          <w:sz w:val="24"/>
          <w:szCs w:val="24"/>
          <w:lang w:eastAsia="ar-SA"/>
        </w:rPr>
      </w:pPr>
      <w:r w:rsidRPr="00F8094A">
        <w:rPr>
          <w:rFonts w:ascii="Times New Roman" w:eastAsia="Times New Roman" w:hAnsi="Times New Roman" w:cs="Times New Roman"/>
          <w:color w:val="000000"/>
          <w:spacing w:val="-1"/>
          <w:sz w:val="24"/>
          <w:szCs w:val="24"/>
          <w:lang w:eastAsia="ar-SA"/>
        </w:rPr>
        <w:t>eksperimentalni razvoj,</w:t>
      </w:r>
    </w:p>
    <w:p w:rsidR="00035D57" w:rsidRPr="00F8094A" w:rsidRDefault="00035D57" w:rsidP="00035D57">
      <w:pPr>
        <w:numPr>
          <w:ilvl w:val="0"/>
          <w:numId w:val="23"/>
        </w:numPr>
        <w:spacing w:after="0" w:line="360" w:lineRule="auto"/>
        <w:contextualSpacing/>
        <w:jc w:val="both"/>
        <w:rPr>
          <w:rFonts w:ascii="Times New Roman" w:eastAsia="Times New Roman" w:hAnsi="Times New Roman" w:cs="Times New Roman"/>
          <w:color w:val="000000"/>
          <w:spacing w:val="-1"/>
          <w:sz w:val="24"/>
          <w:szCs w:val="24"/>
          <w:lang w:eastAsia="ar-SA"/>
        </w:rPr>
      </w:pPr>
      <w:r w:rsidRPr="00F8094A">
        <w:rPr>
          <w:rFonts w:ascii="Times New Roman" w:eastAsia="Times New Roman" w:hAnsi="Times New Roman" w:cs="Times New Roman"/>
          <w:color w:val="000000"/>
          <w:spacing w:val="-1"/>
          <w:sz w:val="24"/>
          <w:szCs w:val="24"/>
          <w:lang w:eastAsia="ar-SA"/>
        </w:rPr>
        <w:t xml:space="preserve">studije izvedivosti. </w:t>
      </w:r>
    </w:p>
    <w:p w:rsidR="00035D57" w:rsidRPr="00F8094A" w:rsidRDefault="00035D57" w:rsidP="00035D57">
      <w:pPr>
        <w:spacing w:after="0" w:line="360" w:lineRule="auto"/>
        <w:contextualSpacing/>
        <w:jc w:val="both"/>
        <w:rPr>
          <w:rFonts w:ascii="Times New Roman" w:eastAsia="Calibri" w:hAnsi="Times New Roman" w:cs="Times New Roman"/>
          <w:sz w:val="24"/>
          <w:szCs w:val="24"/>
          <w:lang w:eastAsia="en-US"/>
        </w:rPr>
      </w:pPr>
    </w:p>
    <w:p w:rsidR="00035D57" w:rsidRPr="0065353D" w:rsidRDefault="00035D57" w:rsidP="00035D57">
      <w:pPr>
        <w:spacing w:after="0" w:line="360" w:lineRule="auto"/>
        <w:contextualSpacing/>
        <w:jc w:val="both"/>
        <w:rPr>
          <w:rFonts w:ascii="Times New Roman" w:eastAsiaTheme="minorHAnsi" w:hAnsi="Times New Roman" w:cs="Times New Roman"/>
          <w:sz w:val="24"/>
          <w:szCs w:val="24"/>
          <w:lang w:eastAsia="en-US"/>
        </w:rPr>
      </w:pPr>
      <w:r w:rsidRPr="00F8094A">
        <w:rPr>
          <w:rFonts w:ascii="Times New Roman" w:eastAsia="Calibri" w:hAnsi="Times New Roman" w:cs="Times New Roman"/>
          <w:sz w:val="24"/>
          <w:szCs w:val="24"/>
          <w:lang w:eastAsia="en-US"/>
        </w:rPr>
        <w:t>Projektni prijedlog može se sastojati od jedne ili kombinacije nekoliko prihvatljivih kategorija istraživanja i razvoja.</w:t>
      </w:r>
      <w:r w:rsidRPr="00F8094A">
        <w:rPr>
          <w:rFonts w:ascii="Times New Roman" w:eastAsia="Calibri" w:hAnsi="Times New Roman" w:cs="Times New Roman"/>
          <w:sz w:val="24"/>
          <w:szCs w:val="24"/>
          <w:vertAlign w:val="superscript"/>
          <w:lang w:eastAsia="en-US"/>
        </w:rPr>
        <w:footnoteReference w:id="4"/>
      </w:r>
      <w:r w:rsidRPr="00F8094A">
        <w:rPr>
          <w:rFonts w:ascii="Times New Roman" w:eastAsia="Calibri" w:hAnsi="Times New Roman" w:cs="Times New Roman"/>
          <w:sz w:val="24"/>
          <w:szCs w:val="24"/>
          <w:lang w:eastAsia="en-US"/>
        </w:rPr>
        <w:t xml:space="preserve"> </w:t>
      </w:r>
      <w:r w:rsidRPr="00F8094A">
        <w:rPr>
          <w:rFonts w:ascii="Times New Roman" w:eastAsiaTheme="minorHAnsi" w:hAnsi="Times New Roman" w:cs="Times New Roman"/>
          <w:sz w:val="24"/>
          <w:szCs w:val="24"/>
          <w:lang w:eastAsia="en-US"/>
        </w:rPr>
        <w:t xml:space="preserve">U slučaju da projektni prijedlog sadrži aktivnosti koje se odnose na različite kategorije istraživanja i razvoja, za svaku od aktivnosti primjenjivati će se posebni kriteriji vezano uz maksimalni intenzitet potpore. </w:t>
      </w:r>
    </w:p>
    <w:p w:rsidR="00035D57" w:rsidRPr="009A75A2" w:rsidRDefault="00035D57" w:rsidP="00035D57">
      <w:pPr>
        <w:spacing w:after="0" w:line="360" w:lineRule="auto"/>
        <w:contextualSpacing/>
        <w:jc w:val="both"/>
        <w:rPr>
          <w:rFonts w:ascii="Times New Roman" w:eastAsiaTheme="minorHAnsi" w:hAnsi="Times New Roman" w:cs="Times New Roman"/>
          <w:sz w:val="24"/>
          <w:szCs w:val="24"/>
          <w:lang w:eastAsia="en-US"/>
        </w:rPr>
      </w:pPr>
      <w:r w:rsidRPr="0065353D">
        <w:rPr>
          <w:rFonts w:ascii="Times New Roman" w:eastAsia="Calibri" w:hAnsi="Times New Roman" w:cs="Times New Roman"/>
          <w:sz w:val="24"/>
          <w:szCs w:val="24"/>
        </w:rPr>
        <w:t xml:space="preserve">Aktivnosti početnih ulaganja u materijalnu i nematerijalnu imovinu u cilju jačanja kapaciteta za istraživanje i razvoj prihvatljive su samo za poduzetnike koji provode ili planiraju provoditi </w:t>
      </w:r>
      <w:r w:rsidRPr="009A75A2">
        <w:rPr>
          <w:rFonts w:ascii="Times New Roman" w:eastAsia="Calibri" w:hAnsi="Times New Roman" w:cs="Times New Roman"/>
          <w:sz w:val="24"/>
          <w:szCs w:val="24"/>
        </w:rPr>
        <w:t>vlastite projekte istraživanja i razvoja</w:t>
      </w:r>
    </w:p>
    <w:p w:rsidR="00035D57" w:rsidRPr="00F8094A" w:rsidRDefault="00035D57" w:rsidP="00035D57">
      <w:pPr>
        <w:pStyle w:val="ListParagraph"/>
        <w:tabs>
          <w:tab w:val="left" w:pos="0"/>
          <w:tab w:val="left" w:pos="284"/>
        </w:tabs>
        <w:spacing w:after="0" w:line="360" w:lineRule="auto"/>
        <w:jc w:val="both"/>
        <w:rPr>
          <w:rFonts w:ascii="Times New Roman" w:eastAsiaTheme="minorHAnsi" w:hAnsi="Times New Roman" w:cs="Times New Roman"/>
          <w:b/>
          <w:sz w:val="24"/>
          <w:szCs w:val="24"/>
          <w:lang w:eastAsia="en-US"/>
        </w:rPr>
      </w:pPr>
    </w:p>
    <w:p w:rsidR="00035D57" w:rsidRDefault="009A75A2" w:rsidP="009A75A2">
      <w:pPr>
        <w:pStyle w:val="ListParagraph"/>
        <w:numPr>
          <w:ilvl w:val="0"/>
          <w:numId w:val="17"/>
        </w:numPr>
        <w:tabs>
          <w:tab w:val="left" w:pos="0"/>
          <w:tab w:val="left" w:pos="284"/>
        </w:tabs>
        <w:spacing w:after="0" w:line="36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Geografska ograničenja</w:t>
      </w:r>
    </w:p>
    <w:p w:rsidR="009A75A2" w:rsidRDefault="009A75A2" w:rsidP="009A75A2">
      <w:pPr>
        <w:tabs>
          <w:tab w:val="left" w:pos="0"/>
          <w:tab w:val="left" w:pos="284"/>
        </w:tabs>
        <w:spacing w:after="0" w:line="360" w:lineRule="auto"/>
        <w:jc w:val="both"/>
        <w:rPr>
          <w:rFonts w:ascii="Times New Roman" w:eastAsiaTheme="minorHAnsi" w:hAnsi="Times New Roman" w:cs="Times New Roman"/>
          <w:b/>
          <w:sz w:val="24"/>
          <w:szCs w:val="24"/>
          <w:lang w:eastAsia="en-US"/>
        </w:rPr>
      </w:pPr>
    </w:p>
    <w:p w:rsidR="009A75A2" w:rsidRPr="009A75A2" w:rsidRDefault="009A75A2" w:rsidP="009A75A2">
      <w:p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Projekt se provodi na prihvatljivom zemljopisnom području</w:t>
      </w:r>
      <w:r>
        <w:rPr>
          <w:rFonts w:ascii="Times New Roman" w:eastAsia="Calibri" w:hAnsi="Times New Roman" w:cs="Times New Roman"/>
          <w:sz w:val="24"/>
          <w:szCs w:val="24"/>
          <w:lang w:eastAsia="en-US"/>
        </w:rPr>
        <w:t>.</w:t>
      </w:r>
    </w:p>
    <w:p w:rsidR="009A75A2" w:rsidRPr="009A75A2" w:rsidRDefault="009A75A2" w:rsidP="009A75A2">
      <w:pPr>
        <w:spacing w:after="0" w:line="360" w:lineRule="auto"/>
        <w:jc w:val="both"/>
        <w:rPr>
          <w:rFonts w:ascii="Times New Roman" w:eastAsia="Calibri" w:hAnsi="Times New Roman" w:cs="Times New Roman"/>
          <w:sz w:val="24"/>
          <w:szCs w:val="24"/>
          <w:lang w:eastAsia="en-US"/>
        </w:rPr>
      </w:pPr>
      <w:r w:rsidRPr="009A75A2">
        <w:rPr>
          <w:rFonts w:ascii="Times New Roman" w:eastAsia="Calibri" w:hAnsi="Times New Roman" w:cs="Times New Roman"/>
          <w:sz w:val="24"/>
          <w:szCs w:val="24"/>
          <w:lang w:eastAsia="en-US"/>
        </w:rPr>
        <w:t xml:space="preserve">Projekt se provodi na području RH, s iznimkom u slučaju postojanja međunarodnog </w:t>
      </w:r>
      <w:r w:rsidR="008839CE">
        <w:rPr>
          <w:rFonts w:ascii="Times New Roman" w:eastAsia="Calibri" w:hAnsi="Times New Roman" w:cs="Times New Roman"/>
          <w:sz w:val="24"/>
          <w:szCs w:val="24"/>
          <w:lang w:eastAsia="en-US"/>
        </w:rPr>
        <w:t>p</w:t>
      </w:r>
      <w:r w:rsidRPr="009A75A2">
        <w:rPr>
          <w:rFonts w:ascii="Times New Roman" w:eastAsia="Calibri" w:hAnsi="Times New Roman" w:cs="Times New Roman"/>
          <w:sz w:val="24"/>
          <w:szCs w:val="24"/>
          <w:lang w:eastAsia="en-US"/>
        </w:rPr>
        <w:t>artnera, kada je prihvatljivo provesti dio projektnih aktivnosti (čija vrijednost troškova može činiti maksimalno 15% troškova projekta) izvan područja RH.</w:t>
      </w:r>
    </w:p>
    <w:p w:rsidR="009A75A2" w:rsidRDefault="009A75A2" w:rsidP="009A75A2">
      <w:pPr>
        <w:tabs>
          <w:tab w:val="left" w:pos="0"/>
          <w:tab w:val="left" w:pos="284"/>
        </w:tabs>
        <w:spacing w:after="0" w:line="360" w:lineRule="auto"/>
        <w:jc w:val="both"/>
        <w:rPr>
          <w:rFonts w:ascii="Times New Roman" w:eastAsiaTheme="minorHAnsi" w:hAnsi="Times New Roman" w:cs="Times New Roman"/>
          <w:b/>
          <w:sz w:val="24"/>
          <w:szCs w:val="24"/>
          <w:lang w:eastAsia="en-US"/>
        </w:rPr>
      </w:pPr>
    </w:p>
    <w:p w:rsidR="009A75A2" w:rsidRDefault="009A75A2" w:rsidP="009A75A2">
      <w:pPr>
        <w:tabs>
          <w:tab w:val="left" w:pos="0"/>
          <w:tab w:val="left" w:pos="284"/>
        </w:tabs>
        <w:spacing w:after="0" w:line="360" w:lineRule="auto"/>
        <w:jc w:val="both"/>
        <w:rPr>
          <w:rFonts w:ascii="Times New Roman" w:eastAsiaTheme="minorHAnsi" w:hAnsi="Times New Roman" w:cs="Times New Roman"/>
          <w:b/>
          <w:sz w:val="24"/>
          <w:szCs w:val="24"/>
          <w:lang w:eastAsia="en-US"/>
        </w:rPr>
      </w:pPr>
    </w:p>
    <w:p w:rsidR="0096665F" w:rsidRDefault="0096665F" w:rsidP="009A75A2">
      <w:pPr>
        <w:tabs>
          <w:tab w:val="left" w:pos="0"/>
          <w:tab w:val="left" w:pos="284"/>
        </w:tabs>
        <w:spacing w:after="0" w:line="360" w:lineRule="auto"/>
        <w:jc w:val="both"/>
        <w:rPr>
          <w:rFonts w:ascii="Times New Roman" w:eastAsiaTheme="minorHAnsi" w:hAnsi="Times New Roman" w:cs="Times New Roman"/>
          <w:b/>
          <w:sz w:val="24"/>
          <w:szCs w:val="24"/>
          <w:lang w:eastAsia="en-US"/>
        </w:rPr>
      </w:pPr>
    </w:p>
    <w:p w:rsidR="0096665F" w:rsidRPr="009A75A2" w:rsidRDefault="0096665F" w:rsidP="009A75A2">
      <w:pPr>
        <w:tabs>
          <w:tab w:val="left" w:pos="0"/>
          <w:tab w:val="left" w:pos="284"/>
        </w:tabs>
        <w:spacing w:after="0" w:line="360" w:lineRule="auto"/>
        <w:jc w:val="both"/>
        <w:rPr>
          <w:rFonts w:ascii="Times New Roman" w:eastAsiaTheme="minorHAnsi" w:hAnsi="Times New Roman" w:cs="Times New Roman"/>
          <w:b/>
          <w:sz w:val="24"/>
          <w:szCs w:val="24"/>
          <w:lang w:eastAsia="en-US"/>
        </w:rPr>
      </w:pPr>
    </w:p>
    <w:p w:rsidR="0080682B" w:rsidRPr="00F8094A" w:rsidRDefault="00517E1C" w:rsidP="0080682B">
      <w:pPr>
        <w:pStyle w:val="ListParagraph"/>
        <w:numPr>
          <w:ilvl w:val="0"/>
          <w:numId w:val="17"/>
        </w:numPr>
        <w:tabs>
          <w:tab w:val="left" w:pos="0"/>
          <w:tab w:val="left" w:pos="284"/>
        </w:tabs>
        <w:spacing w:after="0" w:line="360" w:lineRule="auto"/>
        <w:jc w:val="both"/>
        <w:rPr>
          <w:rFonts w:ascii="Times New Roman" w:eastAsiaTheme="minorHAnsi" w:hAnsi="Times New Roman" w:cs="Times New Roman"/>
          <w:b/>
          <w:sz w:val="24"/>
          <w:szCs w:val="24"/>
          <w:lang w:eastAsia="en-US"/>
        </w:rPr>
      </w:pPr>
      <w:r w:rsidRPr="00F8094A">
        <w:rPr>
          <w:rFonts w:ascii="Times New Roman" w:eastAsiaTheme="minorHAnsi" w:hAnsi="Times New Roman" w:cs="Times New Roman"/>
          <w:b/>
          <w:sz w:val="24"/>
          <w:szCs w:val="24"/>
          <w:lang w:eastAsia="en-US"/>
        </w:rPr>
        <w:lastRenderedPageBreak/>
        <w:t>Administrativni podaci</w:t>
      </w:r>
      <w:r w:rsidR="009A75A2">
        <w:rPr>
          <w:rFonts w:ascii="Times New Roman" w:eastAsiaTheme="minorHAnsi" w:hAnsi="Times New Roman" w:cs="Times New Roman"/>
          <w:b/>
          <w:sz w:val="24"/>
          <w:szCs w:val="24"/>
          <w:lang w:eastAsia="en-US"/>
        </w:rPr>
        <w:t xml:space="preserve"> </w:t>
      </w:r>
      <w:r w:rsidR="009A75A2" w:rsidRPr="00E60041">
        <w:rPr>
          <w:rStyle w:val="hps"/>
          <w:rFonts w:ascii="Times New Roman" w:hAnsi="Times New Roman" w:cs="Times New Roman"/>
          <w:b/>
        </w:rPr>
        <w:t>(rok</w:t>
      </w:r>
      <w:r w:rsidR="009A75A2" w:rsidRPr="00E60041">
        <w:rPr>
          <w:rFonts w:ascii="Times New Roman" w:hAnsi="Times New Roman" w:cs="Times New Roman"/>
          <w:b/>
        </w:rPr>
        <w:t xml:space="preserve">, </w:t>
      </w:r>
      <w:r w:rsidR="009A75A2" w:rsidRPr="00E60041">
        <w:rPr>
          <w:rStyle w:val="hps"/>
          <w:rFonts w:ascii="Times New Roman" w:hAnsi="Times New Roman" w:cs="Times New Roman"/>
          <w:b/>
        </w:rPr>
        <w:t>oblik</w:t>
      </w:r>
      <w:r w:rsidR="009A75A2" w:rsidRPr="00E60041">
        <w:rPr>
          <w:rFonts w:ascii="Times New Roman" w:hAnsi="Times New Roman" w:cs="Times New Roman"/>
          <w:b/>
        </w:rPr>
        <w:t xml:space="preserve"> </w:t>
      </w:r>
      <w:r w:rsidR="009A75A2" w:rsidRPr="00E60041">
        <w:rPr>
          <w:rStyle w:val="hps"/>
          <w:rFonts w:ascii="Times New Roman" w:hAnsi="Times New Roman" w:cs="Times New Roman"/>
          <w:b/>
        </w:rPr>
        <w:t>i mjesto</w:t>
      </w:r>
      <w:r w:rsidR="009A75A2" w:rsidRPr="00E60041">
        <w:rPr>
          <w:rFonts w:ascii="Times New Roman" w:hAnsi="Times New Roman" w:cs="Times New Roman"/>
          <w:b/>
        </w:rPr>
        <w:t xml:space="preserve"> </w:t>
      </w:r>
      <w:r w:rsidR="009A75A2" w:rsidRPr="00E60041">
        <w:rPr>
          <w:rStyle w:val="hps"/>
          <w:rFonts w:ascii="Times New Roman" w:hAnsi="Times New Roman" w:cs="Times New Roman"/>
          <w:b/>
        </w:rPr>
        <w:t>podnošenja</w:t>
      </w:r>
      <w:r w:rsidR="009A75A2" w:rsidRPr="00E60041">
        <w:rPr>
          <w:rFonts w:ascii="Times New Roman" w:hAnsi="Times New Roman" w:cs="Times New Roman"/>
          <w:b/>
        </w:rPr>
        <w:t>)</w:t>
      </w:r>
    </w:p>
    <w:p w:rsidR="0080682B" w:rsidRDefault="0080682B" w:rsidP="0080682B">
      <w:pPr>
        <w:spacing w:after="0" w:line="360" w:lineRule="auto"/>
        <w:jc w:val="both"/>
        <w:rPr>
          <w:rFonts w:ascii="Times New Roman" w:hAnsi="Times New Roman" w:cs="Times New Roman"/>
          <w:sz w:val="24"/>
          <w:szCs w:val="24"/>
        </w:rPr>
      </w:pPr>
    </w:p>
    <w:p w:rsidR="009A75A2" w:rsidRPr="0065353D" w:rsidRDefault="009A75A2" w:rsidP="009A75A2">
      <w:pPr>
        <w:spacing w:after="0" w:line="360" w:lineRule="auto"/>
        <w:jc w:val="both"/>
        <w:rPr>
          <w:rFonts w:ascii="Times New Roman" w:eastAsiaTheme="minorHAnsi" w:hAnsi="Times New Roman" w:cs="Times New Roman"/>
          <w:sz w:val="24"/>
          <w:szCs w:val="24"/>
          <w:lang w:eastAsia="en-US"/>
        </w:rPr>
      </w:pPr>
      <w:r w:rsidRPr="00F8094A">
        <w:rPr>
          <w:rFonts w:ascii="Times New Roman" w:eastAsiaTheme="minorHAnsi" w:hAnsi="Times New Roman" w:cs="Times New Roman"/>
          <w:sz w:val="24"/>
          <w:szCs w:val="24"/>
          <w:lang w:eastAsia="en-US"/>
        </w:rPr>
        <w:t>Poziv se vodi kao trajni otvoreni Poziv na dostavu projektnih prijedloga s krajnjim rokom dostave projektnih prijedloga do 31. prosinca 2019. godine.</w:t>
      </w:r>
    </w:p>
    <w:p w:rsidR="0067529B" w:rsidRPr="009A75A2" w:rsidRDefault="0067529B" w:rsidP="0067529B">
      <w:pPr>
        <w:spacing w:after="0" w:line="360" w:lineRule="auto"/>
        <w:jc w:val="both"/>
        <w:rPr>
          <w:rFonts w:ascii="Times New Roman" w:eastAsiaTheme="minorHAnsi" w:hAnsi="Times New Roman" w:cs="Times New Roman"/>
          <w:sz w:val="24"/>
          <w:szCs w:val="24"/>
          <w:lang w:eastAsia="en-US"/>
        </w:rPr>
      </w:pPr>
      <w:r w:rsidRPr="009A75A2">
        <w:rPr>
          <w:rFonts w:ascii="Times New Roman" w:eastAsiaTheme="minorHAnsi" w:hAnsi="Times New Roman" w:cs="Times New Roman"/>
          <w:sz w:val="24"/>
          <w:szCs w:val="24"/>
          <w:lang w:eastAsia="en-US"/>
        </w:rPr>
        <w:t xml:space="preserve">Budući da je Poziv otvoren do iskorištenja raspoloživih sredstava, </w:t>
      </w:r>
      <w:r w:rsidR="008839CE">
        <w:rPr>
          <w:rFonts w:ascii="Times New Roman" w:eastAsiaTheme="minorHAnsi" w:hAnsi="Times New Roman" w:cs="Times New Roman"/>
          <w:sz w:val="24"/>
          <w:szCs w:val="24"/>
          <w:lang w:eastAsia="en-US"/>
        </w:rPr>
        <w:t>p</w:t>
      </w:r>
      <w:r w:rsidRPr="009A75A2">
        <w:rPr>
          <w:rFonts w:ascii="Times New Roman" w:eastAsiaTheme="minorHAnsi" w:hAnsi="Times New Roman" w:cs="Times New Roman"/>
          <w:sz w:val="24"/>
          <w:szCs w:val="24"/>
          <w:lang w:eastAsia="en-US"/>
        </w:rPr>
        <w:t>rijavitelji čiji projektni prijedlozi budu isključeni iz postupka dodjele bespovratnih sredstava moći će ponovno podnijeti projektni prijedlog.</w:t>
      </w:r>
    </w:p>
    <w:p w:rsidR="0067529B" w:rsidRPr="0067529B" w:rsidRDefault="0067529B" w:rsidP="0067529B">
      <w:pPr>
        <w:spacing w:after="0" w:line="360" w:lineRule="auto"/>
        <w:jc w:val="both"/>
        <w:rPr>
          <w:rFonts w:ascii="Times New Roman" w:eastAsiaTheme="minorHAnsi" w:hAnsi="Times New Roman" w:cs="Times New Roman"/>
          <w:sz w:val="24"/>
          <w:szCs w:val="24"/>
          <w:lang w:eastAsia="en-US"/>
        </w:rPr>
      </w:pPr>
      <w:r w:rsidRPr="0067529B">
        <w:rPr>
          <w:rFonts w:ascii="Times New Roman" w:eastAsiaTheme="minorHAnsi" w:hAnsi="Times New Roman" w:cs="Times New Roman"/>
          <w:sz w:val="24"/>
          <w:szCs w:val="24"/>
          <w:lang w:eastAsia="en-US"/>
        </w:rPr>
        <w:t>Poziv se obustavlja na određeno vrijeme u trenutku kada iznos traženih bespovratnih sredstava zaprimljenih projektnih prijedloga, u odnosu na raspoloživu alokaciju bespovratnih sredstava, dosegne 150% ukupno raspoloživog iznosa Poziva.</w:t>
      </w:r>
    </w:p>
    <w:p w:rsidR="009A75A2" w:rsidRPr="00F8094A" w:rsidRDefault="009A75A2" w:rsidP="0080682B">
      <w:pPr>
        <w:spacing w:after="0" w:line="360" w:lineRule="auto"/>
        <w:jc w:val="both"/>
        <w:rPr>
          <w:rFonts w:ascii="Times New Roman" w:hAnsi="Times New Roman" w:cs="Times New Roman"/>
          <w:sz w:val="24"/>
          <w:szCs w:val="24"/>
        </w:rPr>
      </w:pPr>
    </w:p>
    <w:p w:rsidR="00524D47" w:rsidRPr="00524D47" w:rsidRDefault="00524D47" w:rsidP="00524D47">
      <w:pPr>
        <w:spacing w:after="0" w:line="360" w:lineRule="auto"/>
        <w:jc w:val="both"/>
        <w:rPr>
          <w:rFonts w:ascii="Times New Roman" w:eastAsiaTheme="minorHAnsi" w:hAnsi="Times New Roman" w:cs="Times New Roman"/>
          <w:sz w:val="24"/>
          <w:szCs w:val="24"/>
          <w:lang w:eastAsia="en-US"/>
        </w:rPr>
      </w:pPr>
      <w:r w:rsidRPr="00524D47">
        <w:rPr>
          <w:rFonts w:ascii="Times New Roman" w:eastAsiaTheme="minorHAnsi" w:hAnsi="Times New Roman" w:cs="Times New Roman"/>
          <w:sz w:val="24"/>
          <w:szCs w:val="24"/>
          <w:lang w:eastAsia="en-US"/>
        </w:rPr>
        <w:t>Razdoblje provedbe projekta je razdoblje od početka obavljanja aktivnosti Projekta, do završetka obavljanja predmetnih aktivnosti.</w:t>
      </w:r>
    </w:p>
    <w:p w:rsidR="00524D47" w:rsidRPr="00524D47" w:rsidRDefault="00524D47" w:rsidP="00524D47">
      <w:pPr>
        <w:spacing w:after="0" w:line="360" w:lineRule="auto"/>
        <w:jc w:val="both"/>
        <w:rPr>
          <w:rFonts w:ascii="Times New Roman" w:eastAsiaTheme="minorHAnsi" w:hAnsi="Times New Roman" w:cs="Times New Roman"/>
          <w:sz w:val="24"/>
          <w:szCs w:val="24"/>
          <w:lang w:eastAsia="en-US"/>
        </w:rPr>
      </w:pPr>
    </w:p>
    <w:p w:rsidR="00524D47" w:rsidRPr="00524D47" w:rsidRDefault="00524D47" w:rsidP="00524D47">
      <w:pPr>
        <w:spacing w:after="0" w:line="360" w:lineRule="auto"/>
        <w:jc w:val="both"/>
        <w:rPr>
          <w:rFonts w:ascii="Times New Roman" w:eastAsiaTheme="minorHAnsi" w:hAnsi="Times New Roman" w:cs="Times New Roman"/>
          <w:sz w:val="24"/>
          <w:szCs w:val="24"/>
          <w:lang w:eastAsia="en-US"/>
        </w:rPr>
      </w:pPr>
      <w:r w:rsidRPr="00524D47">
        <w:rPr>
          <w:rFonts w:ascii="Times New Roman" w:eastAsiaTheme="minorHAnsi" w:hAnsi="Times New Roman" w:cs="Times New Roman"/>
          <w:sz w:val="24"/>
          <w:szCs w:val="24"/>
          <w:lang w:eastAsia="en-US"/>
        </w:rPr>
        <w:t>Razdoblje trajanja provedbe projekta je najviše do 48 mjeseci od dana kada počinje provedba sukladno točci</w:t>
      </w:r>
      <w:r w:rsidR="00567D34">
        <w:rPr>
          <w:rFonts w:ascii="Times New Roman" w:eastAsiaTheme="minorHAnsi" w:hAnsi="Times New Roman" w:cs="Times New Roman"/>
          <w:sz w:val="24"/>
          <w:szCs w:val="24"/>
          <w:lang w:eastAsia="en-US"/>
        </w:rPr>
        <w:t xml:space="preserve"> 1.5.</w:t>
      </w:r>
      <w:r w:rsidRPr="00524D47">
        <w:rPr>
          <w:rFonts w:ascii="Times New Roman" w:eastAsiaTheme="minorHAnsi" w:hAnsi="Times New Roman" w:cs="Times New Roman"/>
          <w:sz w:val="24"/>
          <w:szCs w:val="24"/>
          <w:lang w:eastAsia="en-US"/>
        </w:rPr>
        <w:t>. ovih Uputa, odnosno najkasnije 30. lipnja 2023. godine (ovisno što nastupi prije). Provedba projekta mora započeti najkasnije danom stupanja Ugovora o dodjeli bespovratnih sredstava (u daljnjem tekstu: Ugovor) na snagu.</w:t>
      </w:r>
    </w:p>
    <w:p w:rsidR="0080682B" w:rsidRPr="00F8094A" w:rsidRDefault="0080682B" w:rsidP="0080682B">
      <w:pPr>
        <w:spacing w:after="0" w:line="360" w:lineRule="auto"/>
        <w:jc w:val="both"/>
        <w:rPr>
          <w:rFonts w:ascii="Times New Roman" w:hAnsi="Times New Roman" w:cs="Times New Roman"/>
          <w:sz w:val="24"/>
          <w:szCs w:val="24"/>
        </w:rPr>
      </w:pPr>
      <w:r w:rsidRPr="009A75A2">
        <w:rPr>
          <w:rFonts w:ascii="Times New Roman" w:hAnsi="Times New Roman" w:cs="Times New Roman"/>
          <w:sz w:val="24"/>
          <w:szCs w:val="24"/>
        </w:rPr>
        <w:t xml:space="preserve">Korisnik može izgubiti pravo na bespovratna sredstva, odnosno davatelj bespovratnih sredstava može s </w:t>
      </w:r>
      <w:r w:rsidRPr="004C53F3">
        <w:rPr>
          <w:rFonts w:ascii="Times New Roman" w:hAnsi="Times New Roman" w:cs="Times New Roman"/>
          <w:sz w:val="24"/>
          <w:szCs w:val="24"/>
        </w:rPr>
        <w:t>Korisnikom raskinuti Ugovor ako Korisnik ne započne s projektnim aktivnostima u roku o</w:t>
      </w:r>
      <w:r w:rsidRPr="00F8094A">
        <w:rPr>
          <w:rFonts w:ascii="Times New Roman" w:hAnsi="Times New Roman" w:cs="Times New Roman"/>
          <w:sz w:val="24"/>
          <w:szCs w:val="24"/>
        </w:rPr>
        <w:t xml:space="preserve">d 3 mjeseca nakon stupanja na snagu Ugovora. Razdoblje provedbe projekta bit će jasno definirano u posebnim uvjetima Ugovora. </w:t>
      </w:r>
    </w:p>
    <w:p w:rsidR="00517E1C" w:rsidRDefault="00517E1C" w:rsidP="00517E1C">
      <w:pPr>
        <w:spacing w:after="0" w:line="360" w:lineRule="auto"/>
        <w:jc w:val="both"/>
        <w:rPr>
          <w:rFonts w:ascii="Times New Roman" w:eastAsiaTheme="minorHAnsi" w:hAnsi="Times New Roman" w:cs="Times New Roman"/>
          <w:sz w:val="24"/>
          <w:szCs w:val="24"/>
          <w:lang w:eastAsia="en-US"/>
        </w:rPr>
      </w:pPr>
    </w:p>
    <w:p w:rsidR="004C53F3" w:rsidRPr="004C53F3" w:rsidRDefault="004C53F3" w:rsidP="004C53F3">
      <w:pPr>
        <w:spacing w:after="0" w:line="360" w:lineRule="auto"/>
        <w:jc w:val="both"/>
        <w:rPr>
          <w:rFonts w:ascii="Times New Roman" w:eastAsiaTheme="minorHAnsi" w:hAnsi="Times New Roman" w:cs="Times New Roman"/>
          <w:sz w:val="24"/>
          <w:szCs w:val="24"/>
          <w:lang w:eastAsia="en-US"/>
        </w:rPr>
      </w:pPr>
      <w:r w:rsidRPr="004C53F3">
        <w:rPr>
          <w:rFonts w:ascii="Times New Roman" w:eastAsiaTheme="minorHAnsi" w:hAnsi="Times New Roman" w:cs="Times New Roman"/>
          <w:sz w:val="24"/>
          <w:szCs w:val="24"/>
          <w:lang w:eastAsia="en-US"/>
        </w:rPr>
        <w:t>Projektni prijedlozi podnose se u zatvorenoj omotnici/paketu isključivo preporučenom poštanskom pošiljkom ili osobnom dostavom od &lt;datum&gt; 2016. godine na adresu:</w:t>
      </w:r>
    </w:p>
    <w:p w:rsidR="004C53F3" w:rsidRPr="004C53F3" w:rsidRDefault="004C53F3" w:rsidP="004C53F3">
      <w:pPr>
        <w:spacing w:after="0" w:line="360" w:lineRule="auto"/>
        <w:jc w:val="center"/>
        <w:rPr>
          <w:rFonts w:ascii="Times New Roman" w:eastAsiaTheme="minorHAnsi" w:hAnsi="Times New Roman" w:cs="Times New Roman"/>
          <w:b/>
          <w:sz w:val="24"/>
          <w:szCs w:val="24"/>
          <w:lang w:eastAsia="en-US"/>
        </w:rPr>
      </w:pPr>
      <w:r w:rsidRPr="004C53F3">
        <w:rPr>
          <w:rFonts w:ascii="Times New Roman" w:eastAsiaTheme="minorHAnsi" w:hAnsi="Times New Roman" w:cs="Times New Roman"/>
          <w:b/>
          <w:sz w:val="24"/>
          <w:szCs w:val="24"/>
          <w:lang w:eastAsia="en-US"/>
        </w:rPr>
        <w:t>HAMAG-BICRO</w:t>
      </w:r>
    </w:p>
    <w:p w:rsidR="004C53F3" w:rsidRPr="004C53F3" w:rsidRDefault="004C53F3" w:rsidP="004C53F3">
      <w:pPr>
        <w:spacing w:after="0" w:line="360" w:lineRule="auto"/>
        <w:jc w:val="center"/>
        <w:rPr>
          <w:rFonts w:ascii="Times New Roman" w:eastAsiaTheme="minorHAnsi" w:hAnsi="Times New Roman" w:cs="Times New Roman"/>
          <w:b/>
          <w:sz w:val="24"/>
          <w:szCs w:val="24"/>
          <w:lang w:eastAsia="en-US"/>
        </w:rPr>
      </w:pPr>
      <w:r w:rsidRPr="004C53F3">
        <w:rPr>
          <w:rFonts w:ascii="Times New Roman" w:eastAsiaTheme="minorHAnsi" w:hAnsi="Times New Roman" w:cs="Times New Roman"/>
          <w:b/>
          <w:sz w:val="24"/>
          <w:szCs w:val="24"/>
          <w:lang w:eastAsia="en-US"/>
        </w:rPr>
        <w:t>Ksaver 208</w:t>
      </w:r>
    </w:p>
    <w:p w:rsidR="004C53F3" w:rsidRPr="004C53F3" w:rsidRDefault="004C53F3" w:rsidP="004C53F3">
      <w:pPr>
        <w:spacing w:after="0" w:line="360" w:lineRule="auto"/>
        <w:jc w:val="center"/>
        <w:rPr>
          <w:rFonts w:ascii="Times New Roman" w:eastAsiaTheme="minorHAnsi" w:hAnsi="Times New Roman" w:cs="Times New Roman"/>
          <w:b/>
          <w:sz w:val="24"/>
          <w:szCs w:val="24"/>
          <w:lang w:eastAsia="en-US"/>
        </w:rPr>
      </w:pPr>
      <w:r w:rsidRPr="004C53F3">
        <w:rPr>
          <w:rFonts w:ascii="Times New Roman" w:eastAsiaTheme="minorHAnsi" w:hAnsi="Times New Roman" w:cs="Times New Roman"/>
          <w:b/>
          <w:sz w:val="24"/>
          <w:szCs w:val="24"/>
          <w:lang w:eastAsia="en-US"/>
        </w:rPr>
        <w:t>10000 Zagreb</w:t>
      </w:r>
    </w:p>
    <w:p w:rsidR="004C53F3" w:rsidRPr="004C53F3" w:rsidRDefault="004C53F3" w:rsidP="004C53F3">
      <w:pPr>
        <w:spacing w:after="0" w:line="360" w:lineRule="auto"/>
        <w:jc w:val="both"/>
        <w:rPr>
          <w:rFonts w:ascii="Times New Roman" w:eastAsiaTheme="minorHAnsi" w:hAnsi="Times New Roman" w:cs="Times New Roman"/>
          <w:sz w:val="24"/>
          <w:szCs w:val="24"/>
          <w:lang w:eastAsia="en-US"/>
        </w:rPr>
      </w:pPr>
      <w:r w:rsidRPr="004C53F3">
        <w:rPr>
          <w:rFonts w:ascii="Times New Roman" w:eastAsiaTheme="minorHAnsi" w:hAnsi="Times New Roman" w:cs="Times New Roman"/>
          <w:sz w:val="24"/>
          <w:szCs w:val="24"/>
          <w:lang w:eastAsia="en-US"/>
        </w:rPr>
        <w:t>Na zatvorenoj omotnici/paketu mora biti jasno naveden naziv i referentna oznaka Poziva: &lt;oznaka&gt; s naznakom “</w:t>
      </w:r>
      <w:r w:rsidRPr="004C53F3">
        <w:rPr>
          <w:rFonts w:ascii="Times New Roman" w:eastAsiaTheme="minorHAnsi" w:hAnsi="Times New Roman" w:cs="Times New Roman"/>
          <w:b/>
          <w:sz w:val="24"/>
          <w:szCs w:val="24"/>
          <w:lang w:eastAsia="en-US"/>
        </w:rPr>
        <w:t>Ne otvarati prije službenog otvaranja prijava</w:t>
      </w:r>
      <w:r w:rsidRPr="004C53F3">
        <w:rPr>
          <w:rFonts w:ascii="Times New Roman" w:eastAsiaTheme="minorHAnsi" w:hAnsi="Times New Roman" w:cs="Times New Roman"/>
          <w:sz w:val="24"/>
          <w:szCs w:val="24"/>
          <w:lang w:eastAsia="en-US"/>
        </w:rPr>
        <w:t xml:space="preserve">”, puni naziv i adresa </w:t>
      </w:r>
      <w:r w:rsidR="008839CE">
        <w:rPr>
          <w:rFonts w:ascii="Times New Roman" w:eastAsiaTheme="minorHAnsi" w:hAnsi="Times New Roman" w:cs="Times New Roman"/>
          <w:sz w:val="24"/>
          <w:szCs w:val="24"/>
          <w:lang w:eastAsia="en-US"/>
        </w:rPr>
        <w:t>p</w:t>
      </w:r>
      <w:r w:rsidRPr="004C53F3">
        <w:rPr>
          <w:rFonts w:ascii="Times New Roman" w:eastAsiaTheme="minorHAnsi" w:hAnsi="Times New Roman" w:cs="Times New Roman"/>
          <w:sz w:val="24"/>
          <w:szCs w:val="24"/>
          <w:lang w:eastAsia="en-US"/>
        </w:rPr>
        <w:t>rijavitelja. Na omotnici/paketu također mora biti zabilježen datum i točno vrijeme predaje projektnog prijedloga. Projektni prijedlozi poslani na način različit od gore navedenog (npr. faksom ili e-poštom) ili dostavljeni na druge adrese bit će automatski isključeni.</w:t>
      </w:r>
    </w:p>
    <w:p w:rsidR="00291917" w:rsidRPr="004C53F3" w:rsidRDefault="00291917" w:rsidP="004C53F3">
      <w:pPr>
        <w:spacing w:after="0" w:line="360" w:lineRule="auto"/>
        <w:jc w:val="both"/>
        <w:rPr>
          <w:rFonts w:ascii="Times New Roman" w:eastAsiaTheme="minorHAnsi" w:hAnsi="Times New Roman" w:cs="Times New Roman"/>
          <w:sz w:val="24"/>
          <w:szCs w:val="24"/>
          <w:lang w:eastAsia="en-US"/>
        </w:rPr>
      </w:pPr>
    </w:p>
    <w:p w:rsidR="004C53F3" w:rsidRPr="004C53F3" w:rsidRDefault="004C53F3" w:rsidP="004C53F3">
      <w:pPr>
        <w:pBdr>
          <w:top w:val="single" w:sz="4" w:space="1" w:color="auto"/>
          <w:left w:val="single" w:sz="4" w:space="4" w:color="auto"/>
          <w:bottom w:val="single" w:sz="4" w:space="1" w:color="auto"/>
          <w:right w:val="single" w:sz="4" w:space="4" w:color="auto"/>
        </w:pBdr>
        <w:spacing w:after="0" w:line="360" w:lineRule="auto"/>
        <w:rPr>
          <w:rFonts w:ascii="Times New Roman" w:eastAsiaTheme="minorHAnsi" w:hAnsi="Times New Roman" w:cs="Times New Roman"/>
          <w:sz w:val="24"/>
          <w:szCs w:val="24"/>
          <w:lang w:eastAsia="en-US"/>
        </w:rPr>
      </w:pPr>
      <w:r w:rsidRPr="004C53F3">
        <w:rPr>
          <w:rFonts w:ascii="Times New Roman" w:eastAsiaTheme="minorHAnsi" w:hAnsi="Times New Roman" w:cs="Times New Roman"/>
          <w:b/>
          <w:sz w:val="24"/>
          <w:szCs w:val="24"/>
          <w:lang w:eastAsia="en-US"/>
        </w:rPr>
        <w:lastRenderedPageBreak/>
        <w:t>Napomena</w:t>
      </w:r>
      <w:r w:rsidRPr="004C53F3">
        <w:rPr>
          <w:rFonts w:ascii="Times New Roman" w:eastAsiaTheme="minorHAnsi" w:hAnsi="Times New Roman" w:cs="Times New Roman"/>
          <w:sz w:val="24"/>
          <w:szCs w:val="24"/>
          <w:lang w:eastAsia="en-US"/>
        </w:rPr>
        <w:t>:</w:t>
      </w:r>
    </w:p>
    <w:p w:rsidR="004C53F3" w:rsidRPr="004C53F3" w:rsidRDefault="004C53F3" w:rsidP="004C53F3">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heme="minorHAnsi" w:hAnsi="Times New Roman" w:cs="Times New Roman"/>
          <w:sz w:val="24"/>
          <w:szCs w:val="24"/>
          <w:lang w:eastAsia="en-US"/>
        </w:rPr>
      </w:pPr>
      <w:r w:rsidRPr="004C53F3">
        <w:rPr>
          <w:rFonts w:ascii="Times New Roman" w:eastAsiaTheme="minorHAnsi" w:hAnsi="Times New Roman" w:cs="Times New Roman"/>
          <w:sz w:val="24"/>
          <w:szCs w:val="24"/>
          <w:lang w:eastAsia="en-US"/>
        </w:rPr>
        <w:t>Datum i vrijeme na omotnici/paketu smatra se trenutkom podnošenja projektnog prijedloga na Poziv. Prijedlozi koji na omotnici/paketu ne budu imali oznaku datuma i vremena neće biti uzeti u razmatranje.</w:t>
      </w:r>
    </w:p>
    <w:p w:rsidR="004C53F3" w:rsidRDefault="004C53F3" w:rsidP="00517E1C">
      <w:pPr>
        <w:spacing w:after="0" w:line="360" w:lineRule="auto"/>
        <w:jc w:val="both"/>
        <w:rPr>
          <w:rFonts w:ascii="Times New Roman" w:eastAsiaTheme="minorHAnsi" w:hAnsi="Times New Roman" w:cs="Times New Roman"/>
          <w:sz w:val="24"/>
          <w:szCs w:val="24"/>
          <w:lang w:eastAsia="en-US"/>
        </w:rPr>
      </w:pPr>
    </w:p>
    <w:p w:rsidR="004C53F3" w:rsidRPr="004C53F3" w:rsidRDefault="004C53F3" w:rsidP="004C53F3">
      <w:pPr>
        <w:spacing w:after="0" w:line="360" w:lineRule="auto"/>
        <w:jc w:val="both"/>
        <w:rPr>
          <w:rFonts w:ascii="Times New Roman" w:eastAsiaTheme="minorHAnsi" w:hAnsi="Times New Roman" w:cs="Times New Roman"/>
          <w:sz w:val="24"/>
          <w:szCs w:val="24"/>
          <w:lang w:eastAsia="en-US"/>
        </w:rPr>
      </w:pPr>
      <w:r w:rsidRPr="004C53F3">
        <w:rPr>
          <w:rFonts w:ascii="Times New Roman" w:eastAsiaTheme="minorHAnsi" w:hAnsi="Times New Roman" w:cs="Times New Roman"/>
          <w:sz w:val="24"/>
          <w:szCs w:val="24"/>
          <w:lang w:eastAsia="en-US"/>
        </w:rPr>
        <w:t>Projektni prijedlog podnosi se u četiri (4) istovjetna primjerka, u jednom (1) izvorniku i tri (3) preslici na formatu A4 unutar jednog zatvorenog paketa/omotnice te svaka od njih mora biti uvezana u neraskidivu cjelinu. Na prvoj stranici izvornika projektnog prijedloga</w:t>
      </w:r>
      <w:r w:rsidRPr="004C53F3" w:rsidDel="00082FAD">
        <w:rPr>
          <w:rFonts w:ascii="Times New Roman" w:eastAsiaTheme="minorHAnsi" w:hAnsi="Times New Roman" w:cs="Times New Roman"/>
          <w:sz w:val="24"/>
          <w:szCs w:val="24"/>
          <w:lang w:eastAsia="en-US"/>
        </w:rPr>
        <w:t xml:space="preserve"> </w:t>
      </w:r>
      <w:r w:rsidRPr="004C53F3">
        <w:rPr>
          <w:rFonts w:ascii="Times New Roman" w:eastAsiaTheme="minorHAnsi" w:hAnsi="Times New Roman" w:cs="Times New Roman"/>
          <w:sz w:val="24"/>
          <w:szCs w:val="24"/>
          <w:lang w:eastAsia="en-US"/>
        </w:rPr>
        <w:t>mora se jasno naznačiti: "IZVORNIK", a na prvoj stranici preslike projektnog prijedloga</w:t>
      </w:r>
      <w:r w:rsidRPr="004C53F3" w:rsidDel="00082FAD">
        <w:rPr>
          <w:rFonts w:ascii="Times New Roman" w:eastAsiaTheme="minorHAnsi" w:hAnsi="Times New Roman" w:cs="Times New Roman"/>
          <w:sz w:val="24"/>
          <w:szCs w:val="24"/>
          <w:lang w:eastAsia="en-US"/>
        </w:rPr>
        <w:t xml:space="preserve"> </w:t>
      </w:r>
      <w:r w:rsidRPr="004C53F3">
        <w:rPr>
          <w:rFonts w:ascii="Times New Roman" w:eastAsiaTheme="minorHAnsi" w:hAnsi="Times New Roman" w:cs="Times New Roman"/>
          <w:sz w:val="24"/>
          <w:szCs w:val="24"/>
          <w:lang w:eastAsia="en-US"/>
        </w:rPr>
        <w:t>mora se jasno naznačiti: "PRESLIKA". U slučaju razlika između izvornika i preslike projektnog prijedloga, izvornik će se smatrati vjerodostojnim. Projektni prijedlog također mora biti podnesen u jednom (1) primjerku u elektroničkom formatu (DVD ili CD s oznakom R: CD/R, DVD/R) koji je istovjetan papirnatoj verziji. Svaki dokument mora biti u zasebnoj datoteci. Elektronički format mora sadržavati projektni prijedlog identičan projektnom prijedlogu priloženoj u papirnatoj verziji. U slučaju razlika između papirnate i elektroničke verzije, papirnata verzija projektnog prijedloga smatrat će se vjerodostojnom.</w:t>
      </w:r>
    </w:p>
    <w:p w:rsidR="004C53F3" w:rsidRDefault="004C53F3" w:rsidP="004C53F3">
      <w:pPr>
        <w:spacing w:after="0" w:line="360" w:lineRule="auto"/>
        <w:jc w:val="both"/>
        <w:rPr>
          <w:rFonts w:ascii="Times New Roman" w:eastAsiaTheme="minorHAnsi" w:hAnsi="Times New Roman" w:cs="Times New Roman"/>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140"/>
      </w:tblGrid>
      <w:tr w:rsidR="004C53F3" w:rsidRPr="004C53F3" w:rsidTr="00E43FEB">
        <w:trPr>
          <w:trHeight w:val="446"/>
        </w:trPr>
        <w:tc>
          <w:tcPr>
            <w:tcW w:w="9140" w:type="dxa"/>
            <w:tcBorders>
              <w:top w:val="single" w:sz="4" w:space="0" w:color="auto"/>
              <w:left w:val="single" w:sz="4" w:space="0" w:color="auto"/>
              <w:bottom w:val="single" w:sz="4" w:space="0" w:color="auto"/>
              <w:right w:val="single" w:sz="4" w:space="0" w:color="auto"/>
            </w:tcBorders>
          </w:tcPr>
          <w:p w:rsidR="004C53F3" w:rsidRPr="004C53F3" w:rsidRDefault="004C53F3" w:rsidP="004C53F3">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4C53F3">
              <w:rPr>
                <w:rFonts w:ascii="Times New Roman" w:eastAsiaTheme="minorHAnsi" w:hAnsi="Times New Roman" w:cs="Times New Roman"/>
                <w:b/>
                <w:bCs/>
                <w:color w:val="000000"/>
                <w:sz w:val="24"/>
                <w:szCs w:val="24"/>
                <w:lang w:eastAsia="en-US"/>
              </w:rPr>
              <w:t xml:space="preserve">Napomena: </w:t>
            </w:r>
          </w:p>
          <w:p w:rsidR="002C4FAD" w:rsidRPr="0096665F" w:rsidRDefault="002C4FAD" w:rsidP="002C4FAD">
            <w:r w:rsidRPr="0096665F">
              <w:rPr>
                <w:rFonts w:ascii="Times New Roman" w:hAnsi="Times New Roman"/>
                <w:color w:val="000000"/>
                <w:sz w:val="24"/>
                <w:szCs w:val="24"/>
              </w:rPr>
              <w:t>Izvod iz glavnog projekta – arhitektonski projekt u .</w:t>
            </w:r>
            <w:proofErr w:type="spellStart"/>
            <w:r w:rsidRPr="0096665F">
              <w:rPr>
                <w:rFonts w:ascii="Times New Roman" w:hAnsi="Times New Roman"/>
                <w:color w:val="000000"/>
                <w:sz w:val="24"/>
                <w:szCs w:val="24"/>
              </w:rPr>
              <w:t>pdf</w:t>
            </w:r>
            <w:proofErr w:type="spellEnd"/>
            <w:r w:rsidRPr="0096665F">
              <w:rPr>
                <w:rFonts w:ascii="Times New Roman" w:hAnsi="Times New Roman"/>
                <w:color w:val="000000"/>
                <w:sz w:val="24"/>
                <w:szCs w:val="24"/>
              </w:rPr>
              <w:t xml:space="preserve"> formatu dostavlja se isključivo u jednom primjerku na zasebnom DVD ili CD s oznakom R: CD/R, DVD/R.</w:t>
            </w:r>
          </w:p>
          <w:p w:rsidR="004C53F3" w:rsidRPr="004C53F3" w:rsidRDefault="004C53F3" w:rsidP="004C53F3">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tc>
      </w:tr>
    </w:tbl>
    <w:p w:rsidR="004C53F3" w:rsidRPr="004C53F3" w:rsidRDefault="004C53F3" w:rsidP="004C53F3">
      <w:pPr>
        <w:spacing w:after="0" w:line="360" w:lineRule="auto"/>
        <w:jc w:val="both"/>
        <w:rPr>
          <w:rFonts w:ascii="Times New Roman" w:eastAsiaTheme="minorHAnsi" w:hAnsi="Times New Roman" w:cs="Times New Roman"/>
          <w:sz w:val="24"/>
          <w:szCs w:val="24"/>
          <w:lang w:eastAsia="en-US"/>
        </w:rPr>
      </w:pPr>
    </w:p>
    <w:p w:rsidR="004C53F3" w:rsidRPr="004C53F3" w:rsidRDefault="004C53F3" w:rsidP="004C53F3">
      <w:pPr>
        <w:spacing w:after="0" w:line="360" w:lineRule="auto"/>
        <w:jc w:val="both"/>
        <w:rPr>
          <w:rFonts w:ascii="Times New Roman" w:eastAsiaTheme="minorHAnsi" w:hAnsi="Times New Roman" w:cs="Times New Roman"/>
          <w:sz w:val="24"/>
          <w:szCs w:val="24"/>
          <w:lang w:eastAsia="en-US"/>
        </w:rPr>
      </w:pPr>
      <w:r w:rsidRPr="004C53F3">
        <w:rPr>
          <w:rFonts w:ascii="Times New Roman" w:eastAsiaTheme="minorHAnsi" w:hAnsi="Times New Roman" w:cs="Times New Roman"/>
          <w:sz w:val="24"/>
          <w:szCs w:val="24"/>
          <w:lang w:eastAsia="en-US"/>
        </w:rPr>
        <w:t>PT1/PT2 neće vršiti povrat zaprimljene dokumentacije. Prijavitelju se vraćaju neotvoreni samo projektni prijedlozi koje su dostavljeni izvan roka ili su dostavljeni tijekom privremene obustave Poziva.</w:t>
      </w:r>
    </w:p>
    <w:p w:rsidR="004C53F3" w:rsidRDefault="004C53F3" w:rsidP="00517E1C">
      <w:pPr>
        <w:spacing w:after="0" w:line="360" w:lineRule="auto"/>
        <w:jc w:val="both"/>
        <w:rPr>
          <w:rFonts w:ascii="Times New Roman" w:eastAsiaTheme="minorHAnsi" w:hAnsi="Times New Roman" w:cs="Times New Roman"/>
          <w:sz w:val="24"/>
          <w:szCs w:val="24"/>
          <w:lang w:eastAsia="en-US"/>
        </w:rPr>
      </w:pPr>
      <w:bookmarkStart w:id="0" w:name="_GoBack"/>
      <w:bookmarkEnd w:id="0"/>
    </w:p>
    <w:p w:rsidR="00517E1C" w:rsidRPr="00F8094A" w:rsidRDefault="00517E1C" w:rsidP="00517E1C">
      <w:pPr>
        <w:spacing w:after="0" w:line="360" w:lineRule="auto"/>
        <w:jc w:val="both"/>
        <w:rPr>
          <w:rFonts w:ascii="Times New Roman" w:eastAsiaTheme="minorHAnsi" w:hAnsi="Times New Roman" w:cs="Times New Roman"/>
          <w:sz w:val="24"/>
          <w:szCs w:val="24"/>
          <w:lang w:eastAsia="en-US"/>
        </w:rPr>
      </w:pPr>
      <w:r w:rsidRPr="004C53F3">
        <w:rPr>
          <w:rFonts w:ascii="Times New Roman" w:eastAsiaTheme="minorHAnsi" w:hAnsi="Times New Roman" w:cs="Times New Roman"/>
          <w:color w:val="000000" w:themeColor="text1"/>
          <w:sz w:val="24"/>
          <w:szCs w:val="24"/>
          <w:lang w:eastAsia="en-US"/>
        </w:rPr>
        <w:t xml:space="preserve">Prijavitelji mogu kontinuirano postavljati pitanja za vrijeme trajanja Poziva. Odgovori će biti objavljeni tijekom postupka dodjele na mrežnim stranicama </w:t>
      </w:r>
      <w:hyperlink r:id="rId10" w:history="1">
        <w:r w:rsidRPr="00F8094A">
          <w:rPr>
            <w:rFonts w:ascii="Times New Roman" w:eastAsiaTheme="minorHAnsi" w:hAnsi="Times New Roman" w:cs="Times New Roman"/>
            <w:color w:val="0000FF" w:themeColor="hyperlink"/>
            <w:sz w:val="24"/>
            <w:szCs w:val="24"/>
            <w:u w:val="single"/>
            <w:lang w:eastAsia="en-US"/>
          </w:rPr>
          <w:t>www.strukturnifondovi.hr</w:t>
        </w:r>
      </w:hyperlink>
      <w:r w:rsidRPr="00F8094A">
        <w:rPr>
          <w:rFonts w:ascii="Times New Roman" w:eastAsiaTheme="minorHAnsi" w:hAnsi="Times New Roman" w:cs="Times New Roman"/>
          <w:color w:val="000000" w:themeColor="text1"/>
          <w:sz w:val="24"/>
          <w:szCs w:val="24"/>
          <w:lang w:eastAsia="en-US"/>
        </w:rPr>
        <w:t xml:space="preserve"> i </w:t>
      </w:r>
      <w:hyperlink r:id="rId11" w:history="1">
        <w:r w:rsidRPr="00F8094A">
          <w:rPr>
            <w:rFonts w:ascii="Times New Roman" w:eastAsiaTheme="minorHAnsi" w:hAnsi="Times New Roman" w:cs="Times New Roman"/>
            <w:color w:val="0000FF" w:themeColor="hyperlink"/>
            <w:sz w:val="24"/>
            <w:szCs w:val="24"/>
            <w:u w:val="single"/>
            <w:lang w:eastAsia="en-US"/>
          </w:rPr>
          <w:t>www.mingo.hr</w:t>
        </w:r>
      </w:hyperlink>
      <w:r w:rsidRPr="00F8094A">
        <w:rPr>
          <w:rFonts w:ascii="Times New Roman" w:eastAsiaTheme="minorHAnsi" w:hAnsi="Times New Roman" w:cs="Times New Roman"/>
          <w:color w:val="000000" w:themeColor="text1"/>
          <w:sz w:val="24"/>
          <w:szCs w:val="24"/>
          <w:lang w:eastAsia="en-US"/>
        </w:rPr>
        <w:t xml:space="preserve"> u roku od 7 (sedam) kalendarskih dana od dana zaprimanja pojedinog pitanja. Nadležno tijelo dužno je odgovarati na pitanja </w:t>
      </w:r>
      <w:r w:rsidR="008839CE">
        <w:rPr>
          <w:rFonts w:ascii="Times New Roman" w:eastAsiaTheme="minorHAnsi" w:hAnsi="Times New Roman" w:cs="Times New Roman"/>
          <w:color w:val="000000" w:themeColor="text1"/>
          <w:sz w:val="24"/>
          <w:szCs w:val="24"/>
          <w:lang w:eastAsia="en-US"/>
        </w:rPr>
        <w:t>p</w:t>
      </w:r>
      <w:r w:rsidRPr="00F8094A">
        <w:rPr>
          <w:rFonts w:ascii="Times New Roman" w:eastAsiaTheme="minorHAnsi" w:hAnsi="Times New Roman" w:cs="Times New Roman"/>
          <w:color w:val="000000" w:themeColor="text1"/>
          <w:sz w:val="24"/>
          <w:szCs w:val="24"/>
          <w:lang w:eastAsia="en-US"/>
        </w:rPr>
        <w:t xml:space="preserve">rijavitelja. </w:t>
      </w:r>
    </w:p>
    <w:p w:rsidR="00517E1C" w:rsidRPr="00F8094A" w:rsidRDefault="00517E1C" w:rsidP="00517E1C">
      <w:pPr>
        <w:spacing w:after="0" w:line="360" w:lineRule="auto"/>
        <w:jc w:val="both"/>
        <w:rPr>
          <w:rFonts w:ascii="Times New Roman" w:eastAsiaTheme="minorHAnsi" w:hAnsi="Times New Roman" w:cs="Times New Roman"/>
          <w:color w:val="0000FF" w:themeColor="hyperlink"/>
          <w:sz w:val="24"/>
          <w:szCs w:val="24"/>
          <w:u w:val="single"/>
          <w:lang w:eastAsia="en-US"/>
        </w:rPr>
      </w:pPr>
      <w:r w:rsidRPr="0065353D">
        <w:rPr>
          <w:rFonts w:ascii="Times New Roman" w:eastAsiaTheme="minorHAnsi" w:hAnsi="Times New Roman" w:cs="Times New Roman"/>
          <w:sz w:val="24"/>
          <w:szCs w:val="24"/>
          <w:lang w:eastAsia="en-US"/>
        </w:rPr>
        <w:t>Pitanja s jasno naznačenom referencom na Poziv moguće je poslati putem e-pošte na sljedeću adresu:</w:t>
      </w:r>
      <w:r w:rsidRPr="009A75A2">
        <w:rPr>
          <w:rFonts w:ascii="Times New Roman" w:eastAsiaTheme="minorHAnsi" w:hAnsi="Times New Roman" w:cs="Times New Roman"/>
          <w:color w:val="000000" w:themeColor="text1"/>
          <w:sz w:val="24"/>
          <w:szCs w:val="24"/>
          <w:lang w:eastAsia="en-US"/>
        </w:rPr>
        <w:t xml:space="preserve"> </w:t>
      </w:r>
      <w:hyperlink r:id="rId12" w:history="1">
        <w:r w:rsidRPr="00F8094A">
          <w:rPr>
            <w:rFonts w:ascii="Times New Roman" w:eastAsiaTheme="minorHAnsi" w:hAnsi="Times New Roman" w:cs="Times New Roman"/>
            <w:color w:val="0000FF" w:themeColor="hyperlink"/>
            <w:sz w:val="24"/>
            <w:szCs w:val="24"/>
            <w:u w:val="single"/>
            <w:lang w:eastAsia="en-US"/>
          </w:rPr>
          <w:t>IRI@mingo.hr</w:t>
        </w:r>
      </w:hyperlink>
      <w:r w:rsidRPr="00F8094A">
        <w:rPr>
          <w:rFonts w:ascii="Times New Roman" w:eastAsiaTheme="minorHAnsi" w:hAnsi="Times New Roman" w:cs="Times New Roman"/>
          <w:color w:val="0000FF" w:themeColor="hyperlink"/>
          <w:sz w:val="24"/>
          <w:szCs w:val="24"/>
          <w:u w:val="single"/>
          <w:lang w:eastAsia="en-US"/>
        </w:rPr>
        <w:t>.</w:t>
      </w:r>
    </w:p>
    <w:sectPr w:rsidR="00517E1C" w:rsidRPr="00F8094A" w:rsidSect="00B016E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C9" w:rsidRDefault="00EF4FC9" w:rsidP="0004083B">
      <w:pPr>
        <w:spacing w:after="0" w:line="240" w:lineRule="auto"/>
      </w:pPr>
      <w:r>
        <w:separator/>
      </w:r>
    </w:p>
  </w:endnote>
  <w:endnote w:type="continuationSeparator" w:id="0">
    <w:p w:rsidR="00EF4FC9" w:rsidRDefault="00EF4FC9" w:rsidP="0004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92" w:rsidRDefault="00EF4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53044"/>
      <w:docPartObj>
        <w:docPartGallery w:val="Page Numbers (Bottom of Page)"/>
        <w:docPartUnique/>
      </w:docPartObj>
    </w:sdtPr>
    <w:sdtEndPr/>
    <w:sdtContent>
      <w:sdt>
        <w:sdtPr>
          <w:id w:val="-1669238322"/>
          <w:docPartObj>
            <w:docPartGallery w:val="Page Numbers (Top of Page)"/>
            <w:docPartUnique/>
          </w:docPartObj>
        </w:sdtPr>
        <w:sdtEndPr/>
        <w:sdtContent>
          <w:p w:rsidR="002913D9" w:rsidRDefault="008F2F61">
            <w:pPr>
              <w:pStyle w:val="Footer"/>
              <w:jc w:val="center"/>
            </w:pPr>
            <w:r>
              <w:rPr>
                <w:rFonts w:ascii="Lucida Sans Unicode" w:hAnsi="Lucida Sans Unicode" w:cs="Lucida Sans Unicode"/>
              </w:rPr>
              <w:t>Stranica</w:t>
            </w:r>
            <w:r w:rsidRPr="00D52FE9">
              <w:rPr>
                <w:rFonts w:ascii="Lucida Sans Unicode" w:hAnsi="Lucida Sans Unicode" w:cs="Lucida Sans Unicode"/>
              </w:rPr>
              <w:t xml:space="preserve"> </w:t>
            </w:r>
            <w:r w:rsidRPr="00D52FE9">
              <w:rPr>
                <w:rFonts w:ascii="Lucida Sans Unicode" w:hAnsi="Lucida Sans Unicode" w:cs="Lucida Sans Unicode"/>
                <w:b/>
                <w:bCs/>
              </w:rPr>
              <w:fldChar w:fldCharType="begin"/>
            </w:r>
            <w:r w:rsidRPr="00D52FE9">
              <w:rPr>
                <w:rFonts w:ascii="Lucida Sans Unicode" w:hAnsi="Lucida Sans Unicode" w:cs="Lucida Sans Unicode"/>
                <w:b/>
                <w:bCs/>
              </w:rPr>
              <w:instrText xml:space="preserve"> PAGE </w:instrText>
            </w:r>
            <w:r w:rsidRPr="00D52FE9">
              <w:rPr>
                <w:rFonts w:ascii="Lucida Sans Unicode" w:hAnsi="Lucida Sans Unicode" w:cs="Lucida Sans Unicode"/>
                <w:b/>
                <w:bCs/>
              </w:rPr>
              <w:fldChar w:fldCharType="separate"/>
            </w:r>
            <w:r w:rsidR="0096665F">
              <w:rPr>
                <w:rFonts w:ascii="Lucida Sans Unicode" w:hAnsi="Lucida Sans Unicode" w:cs="Lucida Sans Unicode"/>
                <w:b/>
                <w:bCs/>
                <w:noProof/>
              </w:rPr>
              <w:t>11</w:t>
            </w:r>
            <w:r w:rsidRPr="00D52FE9">
              <w:rPr>
                <w:rFonts w:ascii="Lucida Sans Unicode" w:hAnsi="Lucida Sans Unicode" w:cs="Lucida Sans Unicode"/>
                <w:b/>
                <w:bCs/>
              </w:rPr>
              <w:fldChar w:fldCharType="end"/>
            </w:r>
            <w:r w:rsidRPr="00D52FE9">
              <w:rPr>
                <w:rFonts w:ascii="Lucida Sans Unicode" w:hAnsi="Lucida Sans Unicode" w:cs="Lucida Sans Unicode"/>
              </w:rPr>
              <w:t xml:space="preserve"> o</w:t>
            </w:r>
            <w:r>
              <w:rPr>
                <w:rFonts w:ascii="Lucida Sans Unicode" w:hAnsi="Lucida Sans Unicode" w:cs="Lucida Sans Unicode"/>
              </w:rPr>
              <w:t>d</w:t>
            </w:r>
            <w:r w:rsidRPr="00D52FE9">
              <w:rPr>
                <w:rFonts w:ascii="Lucida Sans Unicode" w:hAnsi="Lucida Sans Unicode" w:cs="Lucida Sans Unicode"/>
              </w:rPr>
              <w:t xml:space="preserve"> </w:t>
            </w:r>
            <w:r w:rsidRPr="00D52FE9">
              <w:rPr>
                <w:rFonts w:ascii="Lucida Sans Unicode" w:hAnsi="Lucida Sans Unicode" w:cs="Lucida Sans Unicode"/>
                <w:b/>
                <w:bCs/>
              </w:rPr>
              <w:fldChar w:fldCharType="begin"/>
            </w:r>
            <w:r w:rsidRPr="00D52FE9">
              <w:rPr>
                <w:rFonts w:ascii="Lucida Sans Unicode" w:hAnsi="Lucida Sans Unicode" w:cs="Lucida Sans Unicode"/>
                <w:b/>
                <w:bCs/>
              </w:rPr>
              <w:instrText xml:space="preserve"> NUMPAGES  </w:instrText>
            </w:r>
            <w:r w:rsidRPr="00D52FE9">
              <w:rPr>
                <w:rFonts w:ascii="Lucida Sans Unicode" w:hAnsi="Lucida Sans Unicode" w:cs="Lucida Sans Unicode"/>
                <w:b/>
                <w:bCs/>
              </w:rPr>
              <w:fldChar w:fldCharType="separate"/>
            </w:r>
            <w:r w:rsidR="0096665F">
              <w:rPr>
                <w:rFonts w:ascii="Lucida Sans Unicode" w:hAnsi="Lucida Sans Unicode" w:cs="Lucida Sans Unicode"/>
                <w:b/>
                <w:bCs/>
                <w:noProof/>
              </w:rPr>
              <w:t>11</w:t>
            </w:r>
            <w:r w:rsidRPr="00D52FE9">
              <w:rPr>
                <w:rFonts w:ascii="Lucida Sans Unicode" w:hAnsi="Lucida Sans Unicode" w:cs="Lucida Sans Unicode"/>
                <w:b/>
                <w:bCs/>
              </w:rPr>
              <w:fldChar w:fldCharType="end"/>
            </w:r>
          </w:p>
        </w:sdtContent>
      </w:sdt>
    </w:sdtContent>
  </w:sdt>
  <w:p w:rsidR="002913D9" w:rsidRDefault="00EF4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92" w:rsidRDefault="00EF4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C9" w:rsidRDefault="00EF4FC9" w:rsidP="0004083B">
      <w:pPr>
        <w:spacing w:after="0" w:line="240" w:lineRule="auto"/>
      </w:pPr>
      <w:r>
        <w:separator/>
      </w:r>
    </w:p>
  </w:footnote>
  <w:footnote w:type="continuationSeparator" w:id="0">
    <w:p w:rsidR="00EF4FC9" w:rsidRDefault="00EF4FC9" w:rsidP="0004083B">
      <w:pPr>
        <w:spacing w:after="0" w:line="240" w:lineRule="auto"/>
      </w:pPr>
      <w:r>
        <w:continuationSeparator/>
      </w:r>
    </w:p>
  </w:footnote>
  <w:footnote w:id="1">
    <w:p w:rsidR="00F629F8" w:rsidRDefault="00F629F8">
      <w:pPr>
        <w:pStyle w:val="FootnoteText"/>
      </w:pPr>
      <w:r>
        <w:rPr>
          <w:rStyle w:val="FootnoteReference"/>
        </w:rPr>
        <w:footnoteRef/>
      </w:r>
      <w:r>
        <w:t xml:space="preserve"> </w:t>
      </w:r>
      <w:r w:rsidRPr="00563027">
        <w:rPr>
          <w:rFonts w:ascii="Times New Roman" w:hAnsi="Times New Roman" w:cs="Times New Roman"/>
          <w:sz w:val="18"/>
          <w:szCs w:val="18"/>
        </w:rPr>
        <w:t xml:space="preserve">Isključivo </w:t>
      </w:r>
      <w:r>
        <w:rPr>
          <w:rFonts w:ascii="Times New Roman" w:hAnsi="Times New Roman" w:cs="Times New Roman"/>
          <w:sz w:val="18"/>
          <w:szCs w:val="18"/>
        </w:rPr>
        <w:t>u cilju razvoja istraživačkih kapaciteta</w:t>
      </w:r>
    </w:p>
  </w:footnote>
  <w:footnote w:id="2">
    <w:p w:rsidR="0065353D" w:rsidRPr="00EB39D5" w:rsidRDefault="0065353D" w:rsidP="0065353D">
      <w:pPr>
        <w:pStyle w:val="FootnoteText"/>
        <w:jc w:val="both"/>
        <w:rPr>
          <w:rFonts w:ascii="Times New Roman" w:hAnsi="Times New Roman" w:cs="Times New Roman"/>
          <w:sz w:val="18"/>
          <w:szCs w:val="18"/>
        </w:rPr>
      </w:pPr>
      <w:r w:rsidRPr="00EB39D5">
        <w:rPr>
          <w:rStyle w:val="FootnoteReference"/>
          <w:rFonts w:ascii="Times New Roman" w:hAnsi="Times New Roman"/>
          <w:sz w:val="18"/>
          <w:szCs w:val="18"/>
        </w:rPr>
        <w:footnoteRef/>
      </w:r>
      <w:r w:rsidRPr="00EB39D5">
        <w:rPr>
          <w:rFonts w:ascii="Times New Roman" w:hAnsi="Times New Roman" w:cs="Times New Roman"/>
          <w:sz w:val="18"/>
          <w:szCs w:val="18"/>
        </w:rPr>
        <w:t xml:space="preserve"> </w:t>
      </w:r>
      <w:r>
        <w:rPr>
          <w:rFonts w:ascii="Times New Roman" w:hAnsi="Times New Roman" w:cs="Times New Roman"/>
          <w:sz w:val="18"/>
          <w:szCs w:val="18"/>
        </w:rPr>
        <w:t>Temeljno</w:t>
      </w:r>
      <w:r w:rsidRPr="00EB39D5">
        <w:rPr>
          <w:rFonts w:ascii="Times New Roman" w:hAnsi="Times New Roman" w:cs="Times New Roman"/>
          <w:sz w:val="18"/>
          <w:szCs w:val="18"/>
        </w:rPr>
        <w:t xml:space="preserve"> istraživanja</w:t>
      </w:r>
      <w:r>
        <w:rPr>
          <w:rFonts w:ascii="Times New Roman" w:hAnsi="Times New Roman" w:cs="Times New Roman"/>
          <w:sz w:val="18"/>
          <w:szCs w:val="18"/>
        </w:rPr>
        <w:t xml:space="preserve"> i </w:t>
      </w:r>
      <w:r w:rsidRPr="00EB39D5">
        <w:rPr>
          <w:rFonts w:ascii="Times New Roman" w:hAnsi="Times New Roman" w:cs="Times New Roman"/>
          <w:sz w:val="18"/>
          <w:szCs w:val="18"/>
        </w:rPr>
        <w:t xml:space="preserve"> studija izvedivosti ne mo</w:t>
      </w:r>
      <w:r>
        <w:rPr>
          <w:rFonts w:ascii="Times New Roman" w:hAnsi="Times New Roman" w:cs="Times New Roman"/>
          <w:sz w:val="18"/>
          <w:szCs w:val="18"/>
        </w:rPr>
        <w:t>gu</w:t>
      </w:r>
      <w:r w:rsidRPr="00EB39D5">
        <w:rPr>
          <w:rFonts w:ascii="Times New Roman" w:hAnsi="Times New Roman" w:cs="Times New Roman"/>
          <w:sz w:val="18"/>
          <w:szCs w:val="18"/>
        </w:rPr>
        <w:t xml:space="preserve"> biti jedina aktivnost na projektu</w:t>
      </w:r>
      <w:r>
        <w:rPr>
          <w:rFonts w:ascii="Times New Roman" w:hAnsi="Times New Roman" w:cs="Times New Roman"/>
          <w:sz w:val="18"/>
          <w:szCs w:val="18"/>
        </w:rPr>
        <w:t>.</w:t>
      </w:r>
    </w:p>
  </w:footnote>
  <w:footnote w:id="3">
    <w:p w:rsidR="009A75A2" w:rsidRPr="0032116A" w:rsidRDefault="009A75A2" w:rsidP="009A75A2">
      <w:pPr>
        <w:spacing w:after="0" w:line="240" w:lineRule="auto"/>
        <w:jc w:val="both"/>
        <w:rPr>
          <w:rFonts w:ascii="Times New Roman" w:hAnsi="Times New Roman" w:cs="Times New Roman"/>
          <w:sz w:val="18"/>
          <w:szCs w:val="18"/>
        </w:rPr>
      </w:pPr>
      <w:r w:rsidRPr="001B4A13">
        <w:rPr>
          <w:rStyle w:val="FootnoteReference"/>
          <w:rFonts w:ascii="Times New Roman" w:hAnsi="Times New Roman"/>
        </w:rPr>
        <w:footnoteRef/>
      </w:r>
      <w:r w:rsidRPr="001B4A13">
        <w:rPr>
          <w:rFonts w:ascii="Times New Roman" w:hAnsi="Times New Roman" w:cs="Times New Roman"/>
        </w:rPr>
        <w:t xml:space="preserve"> </w:t>
      </w:r>
      <w:r w:rsidRPr="00234963">
        <w:rPr>
          <w:rFonts w:ascii="Times New Roman" w:hAnsi="Times New Roman" w:cs="Times New Roman"/>
          <w:sz w:val="18"/>
          <w:szCs w:val="18"/>
        </w:rPr>
        <w:t>Prijavitelj kroz projektni prijedlog mora objasnit</w:t>
      </w:r>
      <w:r>
        <w:rPr>
          <w:rFonts w:ascii="Times New Roman" w:hAnsi="Times New Roman" w:cs="Times New Roman"/>
          <w:sz w:val="18"/>
          <w:szCs w:val="18"/>
        </w:rPr>
        <w:t xml:space="preserve">i iz kojih izvora će osigurati </w:t>
      </w:r>
      <w:r w:rsidRPr="00234963">
        <w:rPr>
          <w:rFonts w:ascii="Times New Roman" w:hAnsi="Times New Roman" w:cs="Times New Roman"/>
          <w:sz w:val="18"/>
          <w:szCs w:val="18"/>
        </w:rPr>
        <w:t xml:space="preserve">vlastito sufinanciranje te po odobravanju potpore, a prije potpisa </w:t>
      </w:r>
      <w:r w:rsidRPr="0032116A">
        <w:rPr>
          <w:rFonts w:ascii="Times New Roman" w:hAnsi="Times New Roman" w:cs="Times New Roman"/>
          <w:sz w:val="18"/>
          <w:szCs w:val="18"/>
        </w:rPr>
        <w:t>Ugovora, u skladu sa točkom 6.2. Poziva dostaviti dokaze o izvorima financiranja. Prijavitelj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 mora imati zatvorenu financijsku konstrukciju projekta za potrebe prijave što podrazumijeva da Prijavitelj ima osiguran kreditom banke ili vlastita sredstva</w:t>
      </w:r>
      <w:r w:rsidRPr="0032116A">
        <w:t xml:space="preserve"> </w:t>
      </w:r>
      <w:r w:rsidRPr="0032116A">
        <w:rPr>
          <w:rFonts w:ascii="Times New Roman" w:hAnsi="Times New Roman" w:cs="Times New Roman"/>
          <w:sz w:val="18"/>
          <w:szCs w:val="18"/>
        </w:rPr>
        <w:t xml:space="preserve">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w:t>
      </w:r>
      <w:r w:rsidRPr="009B3E2D">
        <w:rPr>
          <w:rFonts w:ascii="Times New Roman" w:hAnsi="Times New Roman" w:cs="Times New Roman"/>
          <w:sz w:val="18"/>
          <w:szCs w:val="18"/>
        </w:rPr>
        <w:t xml:space="preserve">Obrascem </w:t>
      </w:r>
      <w:r>
        <w:rPr>
          <w:rFonts w:ascii="Times New Roman" w:hAnsi="Times New Roman" w:cs="Times New Roman"/>
          <w:sz w:val="18"/>
          <w:szCs w:val="18"/>
        </w:rPr>
        <w:t>10a odnosno Obrascem 11a</w:t>
      </w:r>
      <w:r w:rsidRPr="0032116A">
        <w:rPr>
          <w:rFonts w:ascii="Times New Roman" w:hAnsi="Times New Roman" w:cs="Times New Roman"/>
          <w:sz w:val="18"/>
          <w:szCs w:val="18"/>
        </w:rPr>
        <w:t>).</w:t>
      </w:r>
    </w:p>
    <w:p w:rsidR="009A75A2" w:rsidRPr="00234963" w:rsidRDefault="009A75A2" w:rsidP="009A75A2">
      <w:pPr>
        <w:tabs>
          <w:tab w:val="left" w:pos="2525"/>
        </w:tabs>
        <w:spacing w:after="0" w:line="240" w:lineRule="auto"/>
        <w:jc w:val="both"/>
        <w:rPr>
          <w:rFonts w:ascii="Times New Roman" w:hAnsi="Times New Roman" w:cs="Times New Roman"/>
          <w:color w:val="FFFFFF" w:themeColor="background1"/>
          <w:sz w:val="18"/>
          <w:szCs w:val="18"/>
        </w:rPr>
      </w:pPr>
    </w:p>
  </w:footnote>
  <w:footnote w:id="4">
    <w:p w:rsidR="00035D57" w:rsidRPr="00A27584" w:rsidRDefault="00035D57" w:rsidP="00035D57">
      <w:pPr>
        <w:spacing w:after="0" w:line="240" w:lineRule="auto"/>
        <w:jc w:val="both"/>
        <w:rPr>
          <w:rFonts w:ascii="Times New Roman" w:hAnsi="Times New Roman" w:cs="Times New Roman"/>
          <w:sz w:val="18"/>
          <w:szCs w:val="18"/>
        </w:rPr>
      </w:pPr>
      <w:r w:rsidRPr="00A27584">
        <w:rPr>
          <w:rStyle w:val="FootnoteReference"/>
          <w:rFonts w:ascii="Times New Roman" w:hAnsi="Times New Roman"/>
          <w:sz w:val="18"/>
          <w:szCs w:val="18"/>
        </w:rPr>
        <w:footnoteRef/>
      </w:r>
      <w:r w:rsidRPr="00A27584">
        <w:rPr>
          <w:rFonts w:ascii="Times New Roman" w:hAnsi="Times New Roman" w:cs="Times New Roman"/>
          <w:sz w:val="18"/>
          <w:szCs w:val="18"/>
        </w:rPr>
        <w:t xml:space="preserve"> </w:t>
      </w:r>
      <w:r w:rsidRPr="00A27584">
        <w:rPr>
          <w:rFonts w:ascii="Times New Roman" w:hAnsi="Times New Roman" w:cs="Times New Roman"/>
          <w:sz w:val="18"/>
          <w:szCs w:val="18"/>
        </w:rPr>
        <w:t>U slučaju da projektni prijedlog sadrži različite kategorije istraživanja i razvoja, za svaku od aktivnosti primjenjivati će se posebni kriteriji vezano uz maksimalni intenzitet potpore. Svaka kategorija istraživanja i razvoja predstavlja jednu fazu projekta.  Korisnik može krenuti na slijedeću fazu projekta tek po odobrenju</w:t>
      </w:r>
      <w:r>
        <w:rPr>
          <w:rFonts w:ascii="Times New Roman" w:hAnsi="Times New Roman" w:cs="Times New Roman"/>
          <w:sz w:val="18"/>
          <w:szCs w:val="18"/>
        </w:rPr>
        <w:t xml:space="preserve"> prethodne faze od strane PT2.  </w:t>
      </w:r>
      <w:r w:rsidRPr="00A27584">
        <w:rPr>
          <w:rFonts w:ascii="Times New Roman" w:hAnsi="Times New Roman" w:cs="Times New Roman"/>
          <w:sz w:val="18"/>
          <w:szCs w:val="18"/>
        </w:rPr>
        <w:t>Studija izvedivosti i temeljno istraživanje ne može biti jedina aktivnost u projektu, temeljno istraživanje može ići samo u kombinaciji s industrijskim, a studija izvedivosti može samo ići sa eksperimentalnim razvojem</w:t>
      </w:r>
      <w:r>
        <w:rPr>
          <w:rFonts w:ascii="Times New Roman" w:hAnsi="Times New Roman" w:cs="Times New Roman"/>
          <w:sz w:val="18"/>
          <w:szCs w:val="18"/>
        </w:rPr>
        <w:t xml:space="preserve"> ili industrijskim istraživanjem</w:t>
      </w:r>
      <w:r w:rsidRPr="00A27584">
        <w:rPr>
          <w:rFonts w:ascii="Times New Roman" w:hAnsi="Times New Roman" w:cs="Times New Roman"/>
          <w:sz w:val="18"/>
          <w:szCs w:val="18"/>
        </w:rPr>
        <w:t xml:space="preserve">.  </w:t>
      </w:r>
    </w:p>
    <w:p w:rsidR="00035D57" w:rsidRDefault="00035D57" w:rsidP="00035D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92" w:rsidRDefault="00EF4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58324"/>
      <w:docPartObj>
        <w:docPartGallery w:val="Watermarks"/>
        <w:docPartUnique/>
      </w:docPartObj>
    </w:sdtPr>
    <w:sdtEndPr/>
    <w:sdtContent>
      <w:p w:rsidR="00263F92" w:rsidRDefault="00EF4FC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92" w:rsidRDefault="00EF4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4C98D294"/>
    <w:lvl w:ilvl="0" w:tplc="7478C1C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BA3C5D"/>
    <w:multiLevelType w:val="hybridMultilevel"/>
    <w:tmpl w:val="2CF6477E"/>
    <w:lvl w:ilvl="0" w:tplc="041A0011">
      <w:start w:val="1"/>
      <w:numFmt w:val="decimal"/>
      <w:lvlText w:val="%1)"/>
      <w:lvlJc w:val="left"/>
      <w:pPr>
        <w:ind w:left="540" w:hanging="360"/>
      </w:p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
    <w:nsid w:val="08247612"/>
    <w:multiLevelType w:val="hybridMultilevel"/>
    <w:tmpl w:val="CE7AA94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A04835"/>
    <w:multiLevelType w:val="hybridMultilevel"/>
    <w:tmpl w:val="45E4B212"/>
    <w:lvl w:ilvl="0" w:tplc="163E945E">
      <w:start w:val="4"/>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AC1399"/>
    <w:multiLevelType w:val="hybridMultilevel"/>
    <w:tmpl w:val="5908ECB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165BD5"/>
    <w:multiLevelType w:val="hybridMultilevel"/>
    <w:tmpl w:val="CC1E2E1C"/>
    <w:lvl w:ilvl="0" w:tplc="041A0011">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56A08F1"/>
    <w:multiLevelType w:val="hybridMultilevel"/>
    <w:tmpl w:val="924AC282"/>
    <w:lvl w:ilvl="0" w:tplc="53A8E0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A3A2D0E"/>
    <w:multiLevelType w:val="hybridMultilevel"/>
    <w:tmpl w:val="CE7AA94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DD3878"/>
    <w:multiLevelType w:val="hybridMultilevel"/>
    <w:tmpl w:val="17F8CE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E673A"/>
    <w:multiLevelType w:val="hybridMultilevel"/>
    <w:tmpl w:val="CF603E7E"/>
    <w:lvl w:ilvl="0" w:tplc="7F0A42D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CC2213C"/>
    <w:multiLevelType w:val="hybridMultilevel"/>
    <w:tmpl w:val="7F5EA7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3736B6"/>
    <w:multiLevelType w:val="hybridMultilevel"/>
    <w:tmpl w:val="DEA2AD1A"/>
    <w:lvl w:ilvl="0" w:tplc="04090005">
      <w:start w:val="1"/>
      <w:numFmt w:val="bullet"/>
      <w:lvlText w:val=""/>
      <w:lvlJc w:val="left"/>
      <w:pPr>
        <w:ind w:left="720" w:hanging="360"/>
      </w:pPr>
      <w:rPr>
        <w:rFonts w:ascii="Wingdings" w:hAnsi="Wingdings" w:hint="default"/>
      </w:rPr>
    </w:lvl>
    <w:lvl w:ilvl="1" w:tplc="6D48028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32C55"/>
    <w:multiLevelType w:val="hybridMultilevel"/>
    <w:tmpl w:val="0B3E9F3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D15580C"/>
    <w:multiLevelType w:val="hybridMultilevel"/>
    <w:tmpl w:val="04C662A6"/>
    <w:lvl w:ilvl="0" w:tplc="1A104FE8">
      <w:start w:val="7"/>
      <w:numFmt w:val="decimal"/>
      <w:lvlText w:val="%1."/>
      <w:lvlJc w:val="left"/>
      <w:pPr>
        <w:ind w:left="1080" w:hanging="360"/>
      </w:pPr>
      <w:rPr>
        <w:rFonts w:eastAsiaTheme="minorEastAsia"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0835AE2"/>
    <w:multiLevelType w:val="hybridMultilevel"/>
    <w:tmpl w:val="43EAC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0E324DA"/>
    <w:multiLevelType w:val="hybridMultilevel"/>
    <w:tmpl w:val="10D888C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2D4EC3"/>
    <w:multiLevelType w:val="hybridMultilevel"/>
    <w:tmpl w:val="CC08D972"/>
    <w:lvl w:ilvl="0" w:tplc="38C0AF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1343434"/>
    <w:multiLevelType w:val="hybridMultilevel"/>
    <w:tmpl w:val="0B3E9F3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31240AA"/>
    <w:multiLevelType w:val="hybridMultilevel"/>
    <w:tmpl w:val="FCF6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2D65FE"/>
    <w:multiLevelType w:val="hybridMultilevel"/>
    <w:tmpl w:val="CE7AA94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E8B72BC"/>
    <w:multiLevelType w:val="hybridMultilevel"/>
    <w:tmpl w:val="88FE0DB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8"/>
  </w:num>
  <w:num w:numId="3">
    <w:abstractNumId w:val="7"/>
  </w:num>
  <w:num w:numId="4">
    <w:abstractNumId w:val="14"/>
  </w:num>
  <w:num w:numId="5">
    <w:abstractNumId w:val="16"/>
  </w:num>
  <w:num w:numId="6">
    <w:abstractNumId w:val="12"/>
  </w:num>
  <w:num w:numId="7">
    <w:abstractNumId w:val="5"/>
  </w:num>
  <w:num w:numId="8">
    <w:abstractNumId w:val="21"/>
  </w:num>
  <w:num w:numId="9">
    <w:abstractNumId w:val="6"/>
  </w:num>
  <w:num w:numId="10">
    <w:abstractNumId w:val="20"/>
  </w:num>
  <w:num w:numId="11">
    <w:abstractNumId w:val="24"/>
  </w:num>
  <w:num w:numId="12">
    <w:abstractNumId w:val="2"/>
  </w:num>
  <w:num w:numId="13">
    <w:abstractNumId w:val="8"/>
  </w:num>
  <w:num w:numId="14">
    <w:abstractNumId w:val="3"/>
  </w:num>
  <w:num w:numId="15">
    <w:abstractNumId w:val="18"/>
  </w:num>
  <w:num w:numId="16">
    <w:abstractNumId w:val="17"/>
  </w:num>
  <w:num w:numId="17">
    <w:abstractNumId w:val="4"/>
  </w:num>
  <w:num w:numId="18">
    <w:abstractNumId w:val="29"/>
  </w:num>
  <w:num w:numId="19">
    <w:abstractNumId w:val="22"/>
  </w:num>
  <w:num w:numId="20">
    <w:abstractNumId w:val="25"/>
  </w:num>
  <w:num w:numId="21">
    <w:abstractNumId w:val="19"/>
  </w:num>
  <w:num w:numId="22">
    <w:abstractNumId w:val="10"/>
  </w:num>
  <w:num w:numId="23">
    <w:abstractNumId w:val="11"/>
  </w:num>
  <w:num w:numId="24">
    <w:abstractNumId w:val="27"/>
  </w:num>
  <w:num w:numId="25">
    <w:abstractNumId w:val="9"/>
  </w:num>
  <w:num w:numId="26">
    <w:abstractNumId w:val="23"/>
  </w:num>
  <w:num w:numId="27">
    <w:abstractNumId w:val="1"/>
  </w:num>
  <w:num w:numId="28">
    <w:abstractNumId w:val="26"/>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3B"/>
    <w:rsid w:val="000119FB"/>
    <w:rsid w:val="00035D57"/>
    <w:rsid w:val="0004083B"/>
    <w:rsid w:val="00056586"/>
    <w:rsid w:val="00134459"/>
    <w:rsid w:val="001440BC"/>
    <w:rsid w:val="001E7C13"/>
    <w:rsid w:val="002013D2"/>
    <w:rsid w:val="002349EA"/>
    <w:rsid w:val="00241A88"/>
    <w:rsid w:val="0024658B"/>
    <w:rsid w:val="00284D7A"/>
    <w:rsid w:val="00291917"/>
    <w:rsid w:val="002C4FAD"/>
    <w:rsid w:val="003E6C52"/>
    <w:rsid w:val="00473832"/>
    <w:rsid w:val="004C53F3"/>
    <w:rsid w:val="004E6538"/>
    <w:rsid w:val="00515922"/>
    <w:rsid w:val="00517E1C"/>
    <w:rsid w:val="00524D47"/>
    <w:rsid w:val="005357E2"/>
    <w:rsid w:val="00567D34"/>
    <w:rsid w:val="005C6458"/>
    <w:rsid w:val="0065273E"/>
    <w:rsid w:val="0065353D"/>
    <w:rsid w:val="00656969"/>
    <w:rsid w:val="0067529B"/>
    <w:rsid w:val="00677B14"/>
    <w:rsid w:val="0068584D"/>
    <w:rsid w:val="006C694A"/>
    <w:rsid w:val="00731923"/>
    <w:rsid w:val="007B584E"/>
    <w:rsid w:val="0080682B"/>
    <w:rsid w:val="008839CE"/>
    <w:rsid w:val="0089602E"/>
    <w:rsid w:val="008A4751"/>
    <w:rsid w:val="008B0D01"/>
    <w:rsid w:val="008F2F61"/>
    <w:rsid w:val="0091294A"/>
    <w:rsid w:val="0096665F"/>
    <w:rsid w:val="009A75A2"/>
    <w:rsid w:val="009F473A"/>
    <w:rsid w:val="00AB049B"/>
    <w:rsid w:val="00AF1EF0"/>
    <w:rsid w:val="00CA7EFE"/>
    <w:rsid w:val="00CF77BA"/>
    <w:rsid w:val="00D36CB3"/>
    <w:rsid w:val="00D74C03"/>
    <w:rsid w:val="00ED2FD3"/>
    <w:rsid w:val="00EF4FC9"/>
    <w:rsid w:val="00F629F8"/>
    <w:rsid w:val="00F809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3B"/>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083B"/>
    <w:rPr>
      <w:rFonts w:eastAsiaTheme="minorEastAsia"/>
      <w:lang w:eastAsia="hr-HR"/>
    </w:rPr>
  </w:style>
  <w:style w:type="paragraph" w:styleId="Footer">
    <w:name w:val="footer"/>
    <w:basedOn w:val="Normal"/>
    <w:link w:val="FooterChar"/>
    <w:uiPriority w:val="99"/>
    <w:unhideWhenUsed/>
    <w:rsid w:val="000408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083B"/>
    <w:rPr>
      <w:rFonts w:eastAsiaTheme="minorEastAsia"/>
      <w:lang w:eastAsia="hr-HR"/>
    </w:rPr>
  </w:style>
  <w:style w:type="character" w:customStyle="1" w:styleId="hps">
    <w:name w:val="hps"/>
    <w:basedOn w:val="DefaultParagraphFont"/>
    <w:rsid w:val="0004083B"/>
  </w:style>
  <w:style w:type="paragraph" w:styleId="ListParagraph">
    <w:name w:val="List Paragraph"/>
    <w:basedOn w:val="Normal"/>
    <w:uiPriority w:val="34"/>
    <w:qFormat/>
    <w:rsid w:val="0004083B"/>
    <w:pPr>
      <w:ind w:left="720"/>
      <w:contextualSpacing/>
    </w:pPr>
  </w:style>
  <w:style w:type="paragraph" w:styleId="CommentText">
    <w:name w:val="annotation text"/>
    <w:basedOn w:val="Normal"/>
    <w:link w:val="CommentTextChar"/>
    <w:uiPriority w:val="99"/>
    <w:unhideWhenUsed/>
    <w:rsid w:val="0004083B"/>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04083B"/>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04083B"/>
    <w:rPr>
      <w:rFonts w:cs="Times New Roman"/>
      <w:vertAlign w:val="superscript"/>
    </w:rPr>
  </w:style>
  <w:style w:type="paragraph" w:customStyle="1" w:styleId="Char2">
    <w:name w:val="Char2"/>
    <w:basedOn w:val="Normal"/>
    <w:link w:val="FootnoteReference"/>
    <w:uiPriority w:val="99"/>
    <w:rsid w:val="0004083B"/>
    <w:pPr>
      <w:spacing w:after="160" w:line="240" w:lineRule="exact"/>
    </w:pPr>
    <w:rPr>
      <w:rFonts w:eastAsiaTheme="minorHAnsi" w:cs="Times New Roman"/>
      <w:vertAlign w:val="superscript"/>
      <w:lang w:eastAsia="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04083B"/>
    <w:pPr>
      <w:spacing w:after="0" w:line="240" w:lineRule="auto"/>
    </w:pPr>
    <w:rPr>
      <w:rFonts w:eastAsiaTheme="minorHAnsi"/>
      <w:sz w:val="20"/>
      <w:szCs w:val="20"/>
      <w:lang w:eastAsia="en-US"/>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4083B"/>
    <w:rPr>
      <w:sz w:val="20"/>
      <w:szCs w:val="20"/>
    </w:rPr>
  </w:style>
  <w:style w:type="paragraph" w:styleId="BalloonText">
    <w:name w:val="Balloon Text"/>
    <w:basedOn w:val="Normal"/>
    <w:link w:val="BalloonTextChar"/>
    <w:uiPriority w:val="99"/>
    <w:semiHidden/>
    <w:unhideWhenUsed/>
    <w:rsid w:val="0004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3B"/>
    <w:rPr>
      <w:rFonts w:ascii="Tahoma" w:eastAsiaTheme="minorEastAsia" w:hAnsi="Tahoma" w:cs="Tahoma"/>
      <w:sz w:val="16"/>
      <w:szCs w:val="16"/>
      <w:lang w:eastAsia="hr-HR"/>
    </w:rPr>
  </w:style>
  <w:style w:type="table" w:styleId="TableGrid">
    <w:name w:val="Table Grid"/>
    <w:basedOn w:val="TableNormal"/>
    <w:uiPriority w:val="59"/>
    <w:rsid w:val="00F6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3B"/>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083B"/>
    <w:rPr>
      <w:rFonts w:eastAsiaTheme="minorEastAsia"/>
      <w:lang w:eastAsia="hr-HR"/>
    </w:rPr>
  </w:style>
  <w:style w:type="paragraph" w:styleId="Footer">
    <w:name w:val="footer"/>
    <w:basedOn w:val="Normal"/>
    <w:link w:val="FooterChar"/>
    <w:uiPriority w:val="99"/>
    <w:unhideWhenUsed/>
    <w:rsid w:val="000408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083B"/>
    <w:rPr>
      <w:rFonts w:eastAsiaTheme="minorEastAsia"/>
      <w:lang w:eastAsia="hr-HR"/>
    </w:rPr>
  </w:style>
  <w:style w:type="character" w:customStyle="1" w:styleId="hps">
    <w:name w:val="hps"/>
    <w:basedOn w:val="DefaultParagraphFont"/>
    <w:rsid w:val="0004083B"/>
  </w:style>
  <w:style w:type="paragraph" w:styleId="ListParagraph">
    <w:name w:val="List Paragraph"/>
    <w:basedOn w:val="Normal"/>
    <w:uiPriority w:val="34"/>
    <w:qFormat/>
    <w:rsid w:val="0004083B"/>
    <w:pPr>
      <w:ind w:left="720"/>
      <w:contextualSpacing/>
    </w:pPr>
  </w:style>
  <w:style w:type="paragraph" w:styleId="CommentText">
    <w:name w:val="annotation text"/>
    <w:basedOn w:val="Normal"/>
    <w:link w:val="CommentTextChar"/>
    <w:uiPriority w:val="99"/>
    <w:unhideWhenUsed/>
    <w:rsid w:val="0004083B"/>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04083B"/>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04083B"/>
    <w:rPr>
      <w:rFonts w:cs="Times New Roman"/>
      <w:vertAlign w:val="superscript"/>
    </w:rPr>
  </w:style>
  <w:style w:type="paragraph" w:customStyle="1" w:styleId="Char2">
    <w:name w:val="Char2"/>
    <w:basedOn w:val="Normal"/>
    <w:link w:val="FootnoteReference"/>
    <w:uiPriority w:val="99"/>
    <w:rsid w:val="0004083B"/>
    <w:pPr>
      <w:spacing w:after="160" w:line="240" w:lineRule="exact"/>
    </w:pPr>
    <w:rPr>
      <w:rFonts w:eastAsiaTheme="minorHAnsi" w:cs="Times New Roman"/>
      <w:vertAlign w:val="superscript"/>
      <w:lang w:eastAsia="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04083B"/>
    <w:pPr>
      <w:spacing w:after="0" w:line="240" w:lineRule="auto"/>
    </w:pPr>
    <w:rPr>
      <w:rFonts w:eastAsiaTheme="minorHAnsi"/>
      <w:sz w:val="20"/>
      <w:szCs w:val="20"/>
      <w:lang w:eastAsia="en-US"/>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4083B"/>
    <w:rPr>
      <w:sz w:val="20"/>
      <w:szCs w:val="20"/>
    </w:rPr>
  </w:style>
  <w:style w:type="paragraph" w:styleId="BalloonText">
    <w:name w:val="Balloon Text"/>
    <w:basedOn w:val="Normal"/>
    <w:link w:val="BalloonTextChar"/>
    <w:uiPriority w:val="99"/>
    <w:semiHidden/>
    <w:unhideWhenUsed/>
    <w:rsid w:val="0004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3B"/>
    <w:rPr>
      <w:rFonts w:ascii="Tahoma" w:eastAsiaTheme="minorEastAsia" w:hAnsi="Tahoma" w:cs="Tahoma"/>
      <w:sz w:val="16"/>
      <w:szCs w:val="16"/>
      <w:lang w:eastAsia="hr-HR"/>
    </w:rPr>
  </w:style>
  <w:style w:type="table" w:styleId="TableGrid">
    <w:name w:val="Table Grid"/>
    <w:basedOn w:val="TableNormal"/>
    <w:uiPriority w:val="59"/>
    <w:rsid w:val="00F6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RI@mingo.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go.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2906</Words>
  <Characters>16569</Characters>
  <Application>Microsoft Office Word</Application>
  <DocSecurity>0</DocSecurity>
  <Lines>138</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Linda Kasalo-Malić</cp:lastModifiedBy>
  <cp:revision>2</cp:revision>
  <dcterms:created xsi:type="dcterms:W3CDTF">2016-05-03T09:58:00Z</dcterms:created>
  <dcterms:modified xsi:type="dcterms:W3CDTF">2016-05-03T09:58:00Z</dcterms:modified>
</cp:coreProperties>
</file>