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theme/themeOverride5.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520" w:rsidRDefault="00D87C12" w:rsidP="001F7BE0">
      <w:pPr>
        <w:pStyle w:val="NoSpacing"/>
        <w:pBdr>
          <w:top w:val="single" w:sz="4" w:space="1" w:color="auto"/>
          <w:left w:val="single" w:sz="4" w:space="4" w:color="auto"/>
          <w:bottom w:val="single" w:sz="4" w:space="1" w:color="auto"/>
          <w:right w:val="single" w:sz="4" w:space="4" w:color="auto"/>
        </w:pBdr>
        <w:jc w:val="center"/>
        <w:rPr>
          <w:rFonts w:cs="Calibri"/>
          <w:sz w:val="72"/>
          <w:szCs w:val="72"/>
          <w:lang w:val="hr-HR"/>
        </w:rPr>
      </w:pPr>
      <w:r>
        <w:rPr>
          <w:noProof/>
          <w:lang w:val="hr-HR"/>
        </w:rPr>
        <w:drawing>
          <wp:inline distT="0" distB="0" distL="0" distR="0">
            <wp:extent cx="3343275" cy="1838325"/>
            <wp:effectExtent l="19050" t="0" r="952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343275" cy="1838325"/>
                    </a:xfrm>
                    <a:prstGeom prst="rect">
                      <a:avLst/>
                    </a:prstGeom>
                    <a:noFill/>
                    <a:ln w="9525">
                      <a:noFill/>
                      <a:miter lim="800000"/>
                      <a:headEnd/>
                      <a:tailEnd/>
                    </a:ln>
                  </pic:spPr>
                </pic:pic>
              </a:graphicData>
            </a:graphic>
          </wp:inline>
        </w:drawing>
      </w:r>
    </w:p>
    <w:p w:rsidR="000C1520" w:rsidRDefault="000C1520" w:rsidP="00FB2884">
      <w:pPr>
        <w:pStyle w:val="NoSpacing"/>
        <w:pBdr>
          <w:top w:val="single" w:sz="4" w:space="1" w:color="auto"/>
          <w:left w:val="single" w:sz="4" w:space="4" w:color="auto"/>
          <w:bottom w:val="single" w:sz="4" w:space="1" w:color="auto"/>
          <w:right w:val="single" w:sz="4" w:space="4" w:color="auto"/>
        </w:pBdr>
        <w:rPr>
          <w:rFonts w:cs="Calibri"/>
          <w:b/>
          <w:sz w:val="36"/>
          <w:szCs w:val="36"/>
          <w:lang w:val="hr-HR"/>
        </w:rPr>
      </w:pPr>
    </w:p>
    <w:p w:rsidR="000C1520" w:rsidRDefault="000C1520" w:rsidP="001F7BE0">
      <w:pPr>
        <w:pStyle w:val="NoSpacing"/>
        <w:pBdr>
          <w:top w:val="single" w:sz="4" w:space="1" w:color="auto"/>
          <w:left w:val="single" w:sz="4" w:space="4" w:color="auto"/>
          <w:bottom w:val="single" w:sz="4" w:space="1" w:color="auto"/>
          <w:right w:val="single" w:sz="4" w:space="4" w:color="auto"/>
        </w:pBdr>
        <w:jc w:val="center"/>
        <w:rPr>
          <w:rFonts w:cs="Calibri"/>
          <w:b/>
          <w:sz w:val="36"/>
          <w:szCs w:val="36"/>
          <w:lang w:val="hr-HR"/>
        </w:rPr>
      </w:pPr>
    </w:p>
    <w:p w:rsidR="000C1520" w:rsidRPr="00636499" w:rsidRDefault="000C1520" w:rsidP="00FB2884">
      <w:pPr>
        <w:pStyle w:val="NoSpacing"/>
        <w:pBdr>
          <w:top w:val="single" w:sz="4" w:space="1" w:color="auto"/>
          <w:left w:val="single" w:sz="4" w:space="4" w:color="auto"/>
          <w:bottom w:val="single" w:sz="4" w:space="1" w:color="auto"/>
          <w:right w:val="single" w:sz="4" w:space="4" w:color="auto"/>
        </w:pBdr>
        <w:rPr>
          <w:rFonts w:cs="Calibri"/>
          <w:sz w:val="72"/>
          <w:szCs w:val="72"/>
          <w:lang w:val="hr-HR"/>
        </w:rPr>
      </w:pPr>
    </w:p>
    <w:p w:rsidR="000C1520" w:rsidRPr="00636499" w:rsidRDefault="000C1520" w:rsidP="00FB2884">
      <w:pPr>
        <w:pStyle w:val="NoSpacing"/>
        <w:pBdr>
          <w:top w:val="single" w:sz="4" w:space="1" w:color="auto"/>
          <w:left w:val="single" w:sz="4" w:space="4" w:color="auto"/>
          <w:bottom w:val="single" w:sz="4" w:space="1" w:color="auto"/>
          <w:right w:val="single" w:sz="4" w:space="4" w:color="auto"/>
        </w:pBdr>
        <w:shd w:val="clear" w:color="auto" w:fill="DBE5F1"/>
        <w:jc w:val="center"/>
        <w:rPr>
          <w:rFonts w:cs="Calibri"/>
          <w:sz w:val="72"/>
          <w:szCs w:val="72"/>
          <w:lang w:val="hr-HR"/>
        </w:rPr>
      </w:pPr>
      <w:r w:rsidRPr="00636499">
        <w:rPr>
          <w:rFonts w:cs="Calibri"/>
          <w:sz w:val="72"/>
          <w:szCs w:val="72"/>
          <w:lang w:val="hr-HR"/>
        </w:rPr>
        <w:t>PRIJEDLOG STRATEGIJE POTICANJA INVESTICIJA U REPUBLICI HRVATSKOJ</w:t>
      </w:r>
    </w:p>
    <w:p w:rsidR="000C1520" w:rsidRPr="00A05915" w:rsidRDefault="000C1520" w:rsidP="00FB2884">
      <w:pPr>
        <w:pStyle w:val="NoSpacing"/>
        <w:pBdr>
          <w:top w:val="single" w:sz="4" w:space="1" w:color="auto"/>
          <w:left w:val="single" w:sz="4" w:space="4" w:color="auto"/>
          <w:bottom w:val="single" w:sz="4" w:space="1" w:color="auto"/>
          <w:right w:val="single" w:sz="4" w:space="4" w:color="auto"/>
        </w:pBdr>
        <w:shd w:val="clear" w:color="auto" w:fill="DBE5F1"/>
        <w:jc w:val="center"/>
        <w:rPr>
          <w:rFonts w:cs="Calibri"/>
          <w:sz w:val="36"/>
          <w:szCs w:val="36"/>
          <w:lang w:val="hr-HR"/>
        </w:rPr>
      </w:pPr>
      <w:r>
        <w:rPr>
          <w:rFonts w:cs="Calibri"/>
          <w:sz w:val="36"/>
          <w:szCs w:val="36"/>
          <w:lang w:val="hr-HR"/>
        </w:rPr>
        <w:t>ZA RAZDOBLJE 2014. – 2020.</w:t>
      </w:r>
    </w:p>
    <w:p w:rsidR="000C1520" w:rsidRDefault="000C1520" w:rsidP="00FB2884">
      <w:pPr>
        <w:pStyle w:val="NoSpacing"/>
        <w:pBdr>
          <w:top w:val="single" w:sz="4" w:space="1" w:color="auto"/>
          <w:left w:val="single" w:sz="4" w:space="4" w:color="auto"/>
          <w:bottom w:val="single" w:sz="4" w:space="1" w:color="auto"/>
          <w:right w:val="single" w:sz="4" w:space="4" w:color="auto"/>
        </w:pBdr>
        <w:rPr>
          <w:rFonts w:cs="Calibri"/>
          <w:sz w:val="36"/>
          <w:szCs w:val="36"/>
          <w:lang w:val="hr-HR"/>
        </w:rPr>
      </w:pPr>
    </w:p>
    <w:p w:rsidR="000C1520" w:rsidRDefault="000C1520" w:rsidP="00FB2884">
      <w:pPr>
        <w:pStyle w:val="NoSpacing"/>
        <w:pBdr>
          <w:top w:val="single" w:sz="4" w:space="1" w:color="auto"/>
          <w:left w:val="single" w:sz="4" w:space="4" w:color="auto"/>
          <w:bottom w:val="single" w:sz="4" w:space="1" w:color="auto"/>
          <w:right w:val="single" w:sz="4" w:space="4" w:color="auto"/>
        </w:pBdr>
        <w:rPr>
          <w:rFonts w:cs="Calibri"/>
          <w:sz w:val="36"/>
          <w:szCs w:val="36"/>
          <w:lang w:val="hr-HR"/>
        </w:rPr>
      </w:pPr>
    </w:p>
    <w:p w:rsidR="000C1520" w:rsidRDefault="000C1520" w:rsidP="00FB2884">
      <w:pPr>
        <w:pStyle w:val="NoSpacing"/>
        <w:pBdr>
          <w:top w:val="single" w:sz="4" w:space="1" w:color="auto"/>
          <w:left w:val="single" w:sz="4" w:space="4" w:color="auto"/>
          <w:bottom w:val="single" w:sz="4" w:space="1" w:color="auto"/>
          <w:right w:val="single" w:sz="4" w:space="4" w:color="auto"/>
        </w:pBdr>
        <w:rPr>
          <w:rFonts w:cs="Calibri"/>
          <w:sz w:val="36"/>
          <w:szCs w:val="36"/>
          <w:lang w:val="hr-HR"/>
        </w:rPr>
      </w:pPr>
    </w:p>
    <w:p w:rsidR="000C1520" w:rsidRDefault="000C1520" w:rsidP="00FB2884">
      <w:pPr>
        <w:pStyle w:val="NoSpacing"/>
        <w:pBdr>
          <w:top w:val="single" w:sz="4" w:space="1" w:color="auto"/>
          <w:left w:val="single" w:sz="4" w:space="4" w:color="auto"/>
          <w:bottom w:val="single" w:sz="4" w:space="1" w:color="auto"/>
          <w:right w:val="single" w:sz="4" w:space="4" w:color="auto"/>
        </w:pBdr>
        <w:rPr>
          <w:rFonts w:cs="Calibri"/>
          <w:sz w:val="36"/>
          <w:szCs w:val="36"/>
          <w:lang w:val="hr-HR"/>
        </w:rPr>
      </w:pPr>
    </w:p>
    <w:p w:rsidR="000C1520" w:rsidRDefault="000C1520" w:rsidP="00FB2884">
      <w:pPr>
        <w:pStyle w:val="NoSpacing"/>
        <w:pBdr>
          <w:top w:val="single" w:sz="4" w:space="1" w:color="auto"/>
          <w:left w:val="single" w:sz="4" w:space="4" w:color="auto"/>
          <w:bottom w:val="single" w:sz="4" w:space="1" w:color="auto"/>
          <w:right w:val="single" w:sz="4" w:space="4" w:color="auto"/>
        </w:pBdr>
        <w:rPr>
          <w:rFonts w:cs="Calibri"/>
          <w:sz w:val="36"/>
          <w:szCs w:val="36"/>
          <w:lang w:val="hr-HR"/>
        </w:rPr>
      </w:pPr>
    </w:p>
    <w:p w:rsidR="000C1520" w:rsidRDefault="000C1520" w:rsidP="00FB2884">
      <w:pPr>
        <w:pStyle w:val="NoSpacing"/>
        <w:pBdr>
          <w:top w:val="single" w:sz="4" w:space="1" w:color="auto"/>
          <w:left w:val="single" w:sz="4" w:space="4" w:color="auto"/>
          <w:bottom w:val="single" w:sz="4" w:space="1" w:color="auto"/>
          <w:right w:val="single" w:sz="4" w:space="4" w:color="auto"/>
        </w:pBdr>
        <w:rPr>
          <w:rFonts w:cs="Calibri"/>
          <w:sz w:val="36"/>
          <w:szCs w:val="36"/>
          <w:lang w:val="hr-HR"/>
        </w:rPr>
      </w:pPr>
    </w:p>
    <w:p w:rsidR="000C1520" w:rsidRDefault="000C1520" w:rsidP="00FB2884">
      <w:pPr>
        <w:pStyle w:val="NoSpacing"/>
        <w:pBdr>
          <w:top w:val="single" w:sz="4" w:space="1" w:color="auto"/>
          <w:left w:val="single" w:sz="4" w:space="4" w:color="auto"/>
          <w:bottom w:val="single" w:sz="4" w:space="1" w:color="auto"/>
          <w:right w:val="single" w:sz="4" w:space="4" w:color="auto"/>
        </w:pBdr>
        <w:rPr>
          <w:rFonts w:cs="Calibri"/>
          <w:sz w:val="36"/>
          <w:szCs w:val="36"/>
          <w:lang w:val="hr-HR"/>
        </w:rPr>
      </w:pPr>
    </w:p>
    <w:p w:rsidR="000C1520" w:rsidRDefault="000C1520" w:rsidP="00FB2884">
      <w:pPr>
        <w:pStyle w:val="NoSpacing"/>
        <w:pBdr>
          <w:top w:val="single" w:sz="4" w:space="1" w:color="auto"/>
          <w:left w:val="single" w:sz="4" w:space="4" w:color="auto"/>
          <w:bottom w:val="single" w:sz="4" w:space="1" w:color="auto"/>
          <w:right w:val="single" w:sz="4" w:space="4" w:color="auto"/>
        </w:pBdr>
        <w:rPr>
          <w:rFonts w:cs="Calibri"/>
          <w:sz w:val="36"/>
          <w:szCs w:val="36"/>
          <w:lang w:val="hr-HR"/>
        </w:rPr>
      </w:pPr>
    </w:p>
    <w:p w:rsidR="000C1520" w:rsidRDefault="000C1520" w:rsidP="00FB2884">
      <w:pPr>
        <w:pStyle w:val="NoSpacing"/>
        <w:pBdr>
          <w:top w:val="single" w:sz="4" w:space="1" w:color="auto"/>
          <w:left w:val="single" w:sz="4" w:space="4" w:color="auto"/>
          <w:bottom w:val="single" w:sz="4" w:space="1" w:color="auto"/>
          <w:right w:val="single" w:sz="4" w:space="4" w:color="auto"/>
        </w:pBdr>
        <w:rPr>
          <w:rFonts w:cs="Calibri"/>
          <w:sz w:val="36"/>
          <w:szCs w:val="36"/>
          <w:lang w:val="hr-HR"/>
        </w:rPr>
      </w:pPr>
    </w:p>
    <w:p w:rsidR="000C1520" w:rsidRDefault="000C1520" w:rsidP="00FB2884">
      <w:pPr>
        <w:pStyle w:val="NoSpacing"/>
        <w:pBdr>
          <w:top w:val="single" w:sz="4" w:space="1" w:color="auto"/>
          <w:left w:val="single" w:sz="4" w:space="4" w:color="auto"/>
          <w:bottom w:val="single" w:sz="4" w:space="1" w:color="auto"/>
          <w:right w:val="single" w:sz="4" w:space="4" w:color="auto"/>
        </w:pBdr>
        <w:rPr>
          <w:rFonts w:cs="Calibri"/>
          <w:sz w:val="36"/>
          <w:szCs w:val="36"/>
          <w:lang w:val="hr-HR"/>
        </w:rPr>
      </w:pPr>
    </w:p>
    <w:p w:rsidR="000C1520" w:rsidRDefault="000C1520" w:rsidP="007948CE">
      <w:pPr>
        <w:pStyle w:val="NoSpacing"/>
        <w:pBdr>
          <w:top w:val="single" w:sz="4" w:space="1" w:color="auto"/>
          <w:left w:val="single" w:sz="4" w:space="4" w:color="auto"/>
          <w:bottom w:val="single" w:sz="4" w:space="1" w:color="auto"/>
          <w:right w:val="single" w:sz="4" w:space="4" w:color="auto"/>
        </w:pBdr>
        <w:tabs>
          <w:tab w:val="left" w:pos="6646"/>
        </w:tabs>
        <w:jc w:val="center"/>
        <w:rPr>
          <w:rFonts w:cs="Calibri"/>
          <w:sz w:val="36"/>
          <w:szCs w:val="36"/>
          <w:lang w:val="hr-HR"/>
        </w:rPr>
      </w:pPr>
    </w:p>
    <w:p w:rsidR="000C1520" w:rsidRDefault="000C1520" w:rsidP="007948CE">
      <w:pPr>
        <w:pStyle w:val="NoSpacing"/>
        <w:pBdr>
          <w:top w:val="single" w:sz="4" w:space="1" w:color="auto"/>
          <w:left w:val="single" w:sz="4" w:space="4" w:color="auto"/>
          <w:bottom w:val="single" w:sz="4" w:space="1" w:color="auto"/>
          <w:right w:val="single" w:sz="4" w:space="4" w:color="auto"/>
        </w:pBdr>
        <w:tabs>
          <w:tab w:val="left" w:pos="6646"/>
        </w:tabs>
        <w:jc w:val="center"/>
        <w:rPr>
          <w:rFonts w:cs="Calibri"/>
          <w:sz w:val="28"/>
          <w:szCs w:val="28"/>
          <w:lang w:val="hr-HR"/>
        </w:rPr>
      </w:pPr>
    </w:p>
    <w:p w:rsidR="000C1520" w:rsidRDefault="000C1520" w:rsidP="001F7BE0">
      <w:pPr>
        <w:pStyle w:val="NoSpacing"/>
        <w:pBdr>
          <w:top w:val="single" w:sz="4" w:space="1" w:color="auto"/>
          <w:left w:val="single" w:sz="4" w:space="4" w:color="auto"/>
          <w:bottom w:val="single" w:sz="4" w:space="1" w:color="auto"/>
          <w:right w:val="single" w:sz="4" w:space="4" w:color="auto"/>
        </w:pBdr>
        <w:tabs>
          <w:tab w:val="left" w:pos="6646"/>
        </w:tabs>
        <w:rPr>
          <w:rFonts w:cs="Calibri"/>
          <w:sz w:val="28"/>
          <w:szCs w:val="28"/>
          <w:lang w:val="hr-HR"/>
        </w:rPr>
      </w:pPr>
    </w:p>
    <w:p w:rsidR="000C1520" w:rsidRDefault="00C91A1D" w:rsidP="008E166E">
      <w:pPr>
        <w:pStyle w:val="NoSpacing"/>
        <w:pBdr>
          <w:top w:val="single" w:sz="4" w:space="1" w:color="auto"/>
          <w:left w:val="single" w:sz="4" w:space="4" w:color="auto"/>
          <w:bottom w:val="single" w:sz="4" w:space="1" w:color="auto"/>
          <w:right w:val="single" w:sz="4" w:space="4" w:color="auto"/>
        </w:pBdr>
        <w:tabs>
          <w:tab w:val="left" w:pos="6646"/>
        </w:tabs>
        <w:jc w:val="center"/>
        <w:rPr>
          <w:rFonts w:cs="Calibri"/>
          <w:sz w:val="24"/>
          <w:szCs w:val="24"/>
          <w:lang w:val="hr-HR"/>
        </w:rPr>
      </w:pPr>
      <w:r>
        <w:rPr>
          <w:rFonts w:cs="Calibri"/>
          <w:sz w:val="24"/>
          <w:szCs w:val="24"/>
          <w:lang w:val="hr-HR"/>
        </w:rPr>
        <w:t>Svibanj</w:t>
      </w:r>
      <w:r w:rsidR="00166441">
        <w:rPr>
          <w:rFonts w:cs="Calibri"/>
          <w:sz w:val="24"/>
          <w:szCs w:val="24"/>
          <w:lang w:val="hr-HR"/>
        </w:rPr>
        <w:t xml:space="preserve">,  </w:t>
      </w:r>
      <w:r w:rsidR="00D31597" w:rsidRPr="008656C9">
        <w:rPr>
          <w:rFonts w:cs="Calibri"/>
          <w:sz w:val="24"/>
          <w:szCs w:val="24"/>
          <w:lang w:val="hr-HR"/>
        </w:rPr>
        <w:t>201</w:t>
      </w:r>
      <w:r w:rsidR="00D31597">
        <w:rPr>
          <w:rFonts w:cs="Calibri"/>
          <w:sz w:val="24"/>
          <w:szCs w:val="24"/>
          <w:lang w:val="hr-HR"/>
        </w:rPr>
        <w:t>4</w:t>
      </w:r>
      <w:r w:rsidR="000C1520" w:rsidRPr="008656C9">
        <w:rPr>
          <w:rFonts w:cs="Calibri"/>
          <w:sz w:val="24"/>
          <w:szCs w:val="24"/>
          <w:lang w:val="hr-HR"/>
        </w:rPr>
        <w:t>.</w:t>
      </w:r>
    </w:p>
    <w:p w:rsidR="000C1520" w:rsidRDefault="000C1520" w:rsidP="008E166E">
      <w:pPr>
        <w:pStyle w:val="NoSpacing"/>
        <w:pBdr>
          <w:top w:val="single" w:sz="4" w:space="1" w:color="auto"/>
          <w:left w:val="single" w:sz="4" w:space="4" w:color="auto"/>
          <w:bottom w:val="single" w:sz="4" w:space="1" w:color="auto"/>
          <w:right w:val="single" w:sz="4" w:space="4" w:color="auto"/>
        </w:pBdr>
        <w:tabs>
          <w:tab w:val="left" w:pos="6646"/>
        </w:tabs>
        <w:jc w:val="center"/>
        <w:rPr>
          <w:rFonts w:cs="Calibri"/>
          <w:sz w:val="24"/>
          <w:szCs w:val="24"/>
          <w:lang w:val="hr-HR"/>
        </w:rPr>
      </w:pPr>
    </w:p>
    <w:p w:rsidR="00735636" w:rsidRPr="00A277F3" w:rsidRDefault="00A277F3" w:rsidP="00A277F3">
      <w:pPr>
        <w:pStyle w:val="TOCHeading"/>
        <w:rPr>
          <w:rFonts w:asciiTheme="minorHAnsi" w:hAnsiTheme="minorHAnsi"/>
          <w:color w:val="auto"/>
          <w:sz w:val="28"/>
        </w:rPr>
      </w:pPr>
      <w:r>
        <w:rPr>
          <w:rFonts w:asciiTheme="minorHAnsi" w:hAnsiTheme="minorHAnsi"/>
          <w:color w:val="auto"/>
          <w:sz w:val="28"/>
        </w:rPr>
        <w:lastRenderedPageBreak/>
        <w:t>SADRŽAJ</w:t>
      </w:r>
    </w:p>
    <w:p w:rsidR="00735636" w:rsidRDefault="00735636" w:rsidP="00735636">
      <w:pPr>
        <w:pStyle w:val="TOC3"/>
        <w:tabs>
          <w:tab w:val="right" w:pos="9062"/>
        </w:tabs>
        <w:rPr>
          <w:rFonts w:asciiTheme="minorHAnsi" w:hAnsiTheme="minorHAnsi"/>
        </w:rPr>
      </w:pPr>
      <w:r>
        <w:rPr>
          <w:rFonts w:asciiTheme="minorHAnsi" w:hAnsiTheme="minorHAnsi"/>
        </w:rPr>
        <w:t>PREDGOVOR                                                                                                                                                                         3</w:t>
      </w:r>
    </w:p>
    <w:p w:rsidR="00735636" w:rsidRPr="00735636" w:rsidRDefault="00935CB0" w:rsidP="00735636">
      <w:pPr>
        <w:pStyle w:val="TOC3"/>
        <w:tabs>
          <w:tab w:val="right" w:pos="9062"/>
        </w:tabs>
        <w:rPr>
          <w:rFonts w:asciiTheme="minorHAnsi" w:hAnsiTheme="minorHAnsi"/>
          <w:noProof/>
        </w:rPr>
      </w:pPr>
      <w:r w:rsidRPr="00735636">
        <w:rPr>
          <w:rFonts w:asciiTheme="minorHAnsi" w:hAnsiTheme="minorHAnsi"/>
        </w:rPr>
        <w:fldChar w:fldCharType="begin"/>
      </w:r>
      <w:r w:rsidR="000C1520" w:rsidRPr="00735636">
        <w:rPr>
          <w:rFonts w:asciiTheme="minorHAnsi" w:hAnsiTheme="minorHAnsi"/>
        </w:rPr>
        <w:instrText xml:space="preserve"> TOC \o "1-3" \h \z \u </w:instrText>
      </w:r>
      <w:r w:rsidRPr="00735636">
        <w:rPr>
          <w:rFonts w:asciiTheme="minorHAnsi" w:hAnsiTheme="minorHAnsi"/>
        </w:rPr>
        <w:fldChar w:fldCharType="separate"/>
      </w:r>
      <w:hyperlink w:anchor="_Toc373137850" w:history="1">
        <w:r w:rsidR="0043334F" w:rsidRPr="00735636">
          <w:rPr>
            <w:rStyle w:val="Hyperlink"/>
            <w:rFonts w:asciiTheme="minorHAnsi" w:hAnsiTheme="minorHAnsi"/>
            <w:noProof/>
          </w:rPr>
          <w:t>POPIS TABLICA</w:t>
        </w:r>
        <w:r w:rsidR="0043334F" w:rsidRPr="00735636">
          <w:rPr>
            <w:rFonts w:asciiTheme="minorHAnsi" w:hAnsiTheme="minorHAnsi"/>
            <w:noProof/>
            <w:webHidden/>
          </w:rPr>
          <w:tab/>
        </w:r>
        <w:r w:rsidRPr="00735636">
          <w:rPr>
            <w:rFonts w:asciiTheme="minorHAnsi" w:hAnsiTheme="minorHAnsi"/>
            <w:noProof/>
            <w:webHidden/>
          </w:rPr>
          <w:fldChar w:fldCharType="begin"/>
        </w:r>
        <w:r w:rsidR="0043334F" w:rsidRPr="00735636">
          <w:rPr>
            <w:rFonts w:asciiTheme="minorHAnsi" w:hAnsiTheme="minorHAnsi"/>
            <w:noProof/>
            <w:webHidden/>
          </w:rPr>
          <w:instrText xml:space="preserve"> PAGEREF _Toc373137850 \h </w:instrText>
        </w:r>
        <w:r w:rsidRPr="00735636">
          <w:rPr>
            <w:rFonts w:asciiTheme="minorHAnsi" w:hAnsiTheme="minorHAnsi"/>
            <w:noProof/>
            <w:webHidden/>
          </w:rPr>
        </w:r>
        <w:r w:rsidRPr="00735636">
          <w:rPr>
            <w:rFonts w:asciiTheme="minorHAnsi" w:hAnsiTheme="minorHAnsi"/>
            <w:noProof/>
            <w:webHidden/>
          </w:rPr>
          <w:fldChar w:fldCharType="separate"/>
        </w:r>
        <w:r w:rsidR="00501FF2">
          <w:rPr>
            <w:rFonts w:asciiTheme="minorHAnsi" w:hAnsiTheme="minorHAnsi"/>
            <w:noProof/>
            <w:webHidden/>
          </w:rPr>
          <w:t>4</w:t>
        </w:r>
        <w:r w:rsidRPr="00735636">
          <w:rPr>
            <w:rFonts w:asciiTheme="minorHAnsi" w:hAnsiTheme="minorHAnsi"/>
            <w:noProof/>
            <w:webHidden/>
          </w:rPr>
          <w:fldChar w:fldCharType="end"/>
        </w:r>
      </w:hyperlink>
    </w:p>
    <w:p w:rsidR="0043334F" w:rsidRPr="00735636" w:rsidRDefault="00C91A1D" w:rsidP="00A277F3">
      <w:pPr>
        <w:pStyle w:val="TOC3"/>
        <w:tabs>
          <w:tab w:val="right" w:pos="9062"/>
        </w:tabs>
        <w:rPr>
          <w:rFonts w:asciiTheme="minorHAnsi" w:eastAsiaTheme="minorEastAsia" w:hAnsiTheme="minorHAnsi" w:cstheme="minorBidi"/>
          <w:noProof/>
          <w:sz w:val="22"/>
          <w:szCs w:val="22"/>
          <w:lang w:val="hr-HR" w:eastAsia="hr-HR"/>
        </w:rPr>
      </w:pPr>
      <w:hyperlink w:anchor="_Toc373137851" w:history="1">
        <w:r w:rsidR="0043334F" w:rsidRPr="00735636">
          <w:rPr>
            <w:rStyle w:val="Hyperlink"/>
            <w:rFonts w:asciiTheme="minorHAnsi" w:hAnsiTheme="minorHAnsi"/>
            <w:noProof/>
          </w:rPr>
          <w:t>POPIS GRAFIČKIH PRIKAZA</w:t>
        </w:r>
        <w:r w:rsidR="0043334F" w:rsidRPr="00735636">
          <w:rPr>
            <w:rFonts w:asciiTheme="minorHAnsi" w:hAnsiTheme="minorHAnsi"/>
            <w:noProof/>
            <w:webHidden/>
          </w:rPr>
          <w:tab/>
        </w:r>
        <w:r w:rsidR="00935CB0" w:rsidRPr="00735636">
          <w:rPr>
            <w:rFonts w:asciiTheme="minorHAnsi" w:hAnsiTheme="minorHAnsi"/>
            <w:noProof/>
            <w:webHidden/>
          </w:rPr>
          <w:fldChar w:fldCharType="begin"/>
        </w:r>
        <w:r w:rsidR="0043334F" w:rsidRPr="00735636">
          <w:rPr>
            <w:rFonts w:asciiTheme="minorHAnsi" w:hAnsiTheme="minorHAnsi"/>
            <w:noProof/>
            <w:webHidden/>
          </w:rPr>
          <w:instrText xml:space="preserve"> PAGEREF _Toc373137851 \h </w:instrText>
        </w:r>
        <w:r w:rsidR="00935CB0" w:rsidRPr="00735636">
          <w:rPr>
            <w:rFonts w:asciiTheme="minorHAnsi" w:hAnsiTheme="minorHAnsi"/>
            <w:noProof/>
            <w:webHidden/>
          </w:rPr>
        </w:r>
        <w:r w:rsidR="00935CB0" w:rsidRPr="00735636">
          <w:rPr>
            <w:rFonts w:asciiTheme="minorHAnsi" w:hAnsiTheme="minorHAnsi"/>
            <w:noProof/>
            <w:webHidden/>
          </w:rPr>
          <w:fldChar w:fldCharType="separate"/>
        </w:r>
        <w:r w:rsidR="00501FF2">
          <w:rPr>
            <w:rFonts w:asciiTheme="minorHAnsi" w:hAnsiTheme="minorHAnsi"/>
            <w:noProof/>
            <w:webHidden/>
          </w:rPr>
          <w:t>4</w:t>
        </w:r>
        <w:r w:rsidR="00935CB0" w:rsidRPr="00735636">
          <w:rPr>
            <w:rFonts w:asciiTheme="minorHAnsi" w:hAnsiTheme="minorHAnsi"/>
            <w:noProof/>
            <w:webHidden/>
          </w:rPr>
          <w:fldChar w:fldCharType="end"/>
        </w:r>
      </w:hyperlink>
    </w:p>
    <w:p w:rsidR="00735636" w:rsidRDefault="00C91A1D" w:rsidP="00A277F3">
      <w:pPr>
        <w:pStyle w:val="TOC3"/>
        <w:tabs>
          <w:tab w:val="right" w:pos="9062"/>
        </w:tabs>
        <w:rPr>
          <w:rFonts w:asciiTheme="minorHAnsi" w:hAnsiTheme="minorHAnsi"/>
          <w:noProof/>
        </w:rPr>
      </w:pPr>
      <w:hyperlink w:anchor="_Toc373137852" w:history="1">
        <w:r w:rsidR="0043334F" w:rsidRPr="00735636">
          <w:rPr>
            <w:rStyle w:val="Hyperlink"/>
            <w:rFonts w:asciiTheme="minorHAnsi" w:hAnsiTheme="minorHAnsi"/>
            <w:noProof/>
          </w:rPr>
          <w:t>POPIS KRATICA</w:t>
        </w:r>
        <w:r w:rsidR="0043334F" w:rsidRPr="00735636">
          <w:rPr>
            <w:rFonts w:asciiTheme="minorHAnsi" w:hAnsiTheme="minorHAnsi"/>
            <w:noProof/>
            <w:webHidden/>
          </w:rPr>
          <w:tab/>
        </w:r>
        <w:r w:rsidR="00935CB0" w:rsidRPr="00735636">
          <w:rPr>
            <w:rFonts w:asciiTheme="minorHAnsi" w:hAnsiTheme="minorHAnsi"/>
            <w:noProof/>
            <w:webHidden/>
          </w:rPr>
          <w:fldChar w:fldCharType="begin"/>
        </w:r>
        <w:r w:rsidR="0043334F" w:rsidRPr="00735636">
          <w:rPr>
            <w:rFonts w:asciiTheme="minorHAnsi" w:hAnsiTheme="minorHAnsi"/>
            <w:noProof/>
            <w:webHidden/>
          </w:rPr>
          <w:instrText xml:space="preserve"> PAGEREF _Toc373137852 \h </w:instrText>
        </w:r>
        <w:r w:rsidR="00935CB0" w:rsidRPr="00735636">
          <w:rPr>
            <w:rFonts w:asciiTheme="minorHAnsi" w:hAnsiTheme="minorHAnsi"/>
            <w:noProof/>
            <w:webHidden/>
          </w:rPr>
        </w:r>
        <w:r w:rsidR="00935CB0" w:rsidRPr="00735636">
          <w:rPr>
            <w:rFonts w:asciiTheme="minorHAnsi" w:hAnsiTheme="minorHAnsi"/>
            <w:noProof/>
            <w:webHidden/>
          </w:rPr>
          <w:fldChar w:fldCharType="separate"/>
        </w:r>
        <w:r w:rsidR="00501FF2">
          <w:rPr>
            <w:rFonts w:asciiTheme="minorHAnsi" w:hAnsiTheme="minorHAnsi"/>
            <w:noProof/>
            <w:webHidden/>
          </w:rPr>
          <w:t>5</w:t>
        </w:r>
        <w:r w:rsidR="00935CB0" w:rsidRPr="00735636">
          <w:rPr>
            <w:rFonts w:asciiTheme="minorHAnsi" w:hAnsiTheme="minorHAnsi"/>
            <w:noProof/>
            <w:webHidden/>
          </w:rPr>
          <w:fldChar w:fldCharType="end"/>
        </w:r>
      </w:hyperlink>
    </w:p>
    <w:p w:rsidR="00A277F3" w:rsidRDefault="009C0EBF" w:rsidP="00A277F3">
      <w:pPr>
        <w:spacing w:after="0" w:line="240" w:lineRule="auto"/>
        <w:rPr>
          <w:sz w:val="20"/>
          <w:szCs w:val="20"/>
          <w:lang w:val="lt-LT" w:eastAsia="lt-LT"/>
        </w:rPr>
      </w:pPr>
      <w:r>
        <w:rPr>
          <w:lang w:val="lt-LT" w:eastAsia="lt-LT"/>
        </w:rPr>
        <w:t xml:space="preserve">     </w:t>
      </w:r>
      <w:r w:rsidRPr="009C0EBF">
        <w:rPr>
          <w:sz w:val="20"/>
          <w:szCs w:val="20"/>
          <w:lang w:val="lt-LT" w:eastAsia="lt-LT"/>
        </w:rPr>
        <w:t>POJMOVNIK</w:t>
      </w:r>
      <w:r>
        <w:rPr>
          <w:sz w:val="20"/>
          <w:szCs w:val="20"/>
          <w:lang w:val="lt-LT" w:eastAsia="lt-LT"/>
        </w:rPr>
        <w:t xml:space="preserve">                                                                                                                                                                          6</w:t>
      </w:r>
    </w:p>
    <w:p w:rsidR="0043334F" w:rsidRPr="00A277F3" w:rsidRDefault="00C91A1D" w:rsidP="00A277F3">
      <w:pPr>
        <w:spacing w:after="0" w:line="240" w:lineRule="auto"/>
        <w:rPr>
          <w:b/>
          <w:sz w:val="20"/>
          <w:szCs w:val="20"/>
          <w:lang w:val="lt-LT" w:eastAsia="lt-LT"/>
        </w:rPr>
      </w:pPr>
      <w:hyperlink w:anchor="_Toc373137853" w:history="1">
        <w:r w:rsidR="0043334F" w:rsidRPr="00A277F3">
          <w:rPr>
            <w:rStyle w:val="Hyperlink"/>
            <w:rFonts w:asciiTheme="minorHAnsi" w:hAnsiTheme="minorHAnsi"/>
            <w:b/>
            <w:noProof/>
            <w:sz w:val="24"/>
            <w:szCs w:val="24"/>
          </w:rPr>
          <w:t>1. UVOD</w:t>
        </w:r>
        <w:r w:rsidR="0043334F" w:rsidRPr="00A277F3">
          <w:rPr>
            <w:rFonts w:asciiTheme="minorHAnsi" w:hAnsiTheme="minorHAnsi"/>
            <w:b/>
            <w:noProof/>
            <w:webHidden/>
          </w:rPr>
          <w:tab/>
        </w:r>
        <w:r w:rsidR="00A277F3" w:rsidRPr="00A277F3">
          <w:rPr>
            <w:rFonts w:asciiTheme="minorHAnsi" w:hAnsiTheme="minorHAnsi"/>
            <w:b/>
            <w:noProof/>
            <w:webHidden/>
          </w:rPr>
          <w:t xml:space="preserve">                                                                                                                                                       9                                                                                                                                                           </w:t>
        </w:r>
      </w:hyperlink>
    </w:p>
    <w:p w:rsidR="0043334F" w:rsidRPr="00735636" w:rsidRDefault="00A277F3" w:rsidP="00A277F3">
      <w:pPr>
        <w:pStyle w:val="TOC3"/>
        <w:tabs>
          <w:tab w:val="right" w:pos="9062"/>
        </w:tabs>
        <w:ind w:left="0"/>
        <w:rPr>
          <w:rFonts w:asciiTheme="minorHAnsi" w:eastAsiaTheme="minorEastAsia" w:hAnsiTheme="minorHAnsi" w:cstheme="minorBidi"/>
          <w:noProof/>
          <w:sz w:val="22"/>
          <w:szCs w:val="22"/>
          <w:lang w:val="hr-HR" w:eastAsia="hr-HR"/>
        </w:rPr>
      </w:pPr>
      <w:r>
        <w:t xml:space="preserve">     </w:t>
      </w:r>
      <w:hyperlink w:anchor="_Toc373137854" w:history="1">
        <w:r w:rsidR="0043334F" w:rsidRPr="00735636">
          <w:rPr>
            <w:rStyle w:val="Hyperlink"/>
            <w:rFonts w:asciiTheme="minorHAnsi" w:hAnsiTheme="minorHAnsi"/>
            <w:noProof/>
          </w:rPr>
          <w:t>1.1 TRENDOVI KRETANJA IZRAVNIH STRANIH INVESTICIJA NA GLOBALNOM TRŽIŠTU</w:t>
        </w:r>
        <w:r w:rsidR="0043334F" w:rsidRPr="00735636">
          <w:rPr>
            <w:rFonts w:asciiTheme="minorHAnsi" w:hAnsiTheme="minorHAnsi"/>
            <w:noProof/>
            <w:webHidden/>
          </w:rPr>
          <w:tab/>
        </w:r>
        <w:r w:rsidR="00935CB0" w:rsidRPr="00735636">
          <w:rPr>
            <w:rFonts w:asciiTheme="minorHAnsi" w:hAnsiTheme="minorHAnsi"/>
            <w:noProof/>
            <w:webHidden/>
          </w:rPr>
          <w:fldChar w:fldCharType="begin"/>
        </w:r>
        <w:r w:rsidR="0043334F" w:rsidRPr="00735636">
          <w:rPr>
            <w:rFonts w:asciiTheme="minorHAnsi" w:hAnsiTheme="minorHAnsi"/>
            <w:noProof/>
            <w:webHidden/>
          </w:rPr>
          <w:instrText xml:space="preserve"> PAGEREF _Toc373137854 \h </w:instrText>
        </w:r>
        <w:r w:rsidR="00935CB0" w:rsidRPr="00735636">
          <w:rPr>
            <w:rFonts w:asciiTheme="minorHAnsi" w:hAnsiTheme="minorHAnsi"/>
            <w:noProof/>
            <w:webHidden/>
          </w:rPr>
        </w:r>
        <w:r w:rsidR="00935CB0" w:rsidRPr="00735636">
          <w:rPr>
            <w:rFonts w:asciiTheme="minorHAnsi" w:hAnsiTheme="minorHAnsi"/>
            <w:noProof/>
            <w:webHidden/>
          </w:rPr>
          <w:fldChar w:fldCharType="separate"/>
        </w:r>
        <w:r w:rsidR="00501FF2">
          <w:rPr>
            <w:rFonts w:asciiTheme="minorHAnsi" w:hAnsiTheme="minorHAnsi"/>
            <w:noProof/>
            <w:webHidden/>
          </w:rPr>
          <w:t>9</w:t>
        </w:r>
        <w:r w:rsidR="00935CB0" w:rsidRPr="00735636">
          <w:rPr>
            <w:rFonts w:asciiTheme="minorHAnsi" w:hAnsiTheme="minorHAnsi"/>
            <w:noProof/>
            <w:webHidden/>
          </w:rPr>
          <w:fldChar w:fldCharType="end"/>
        </w:r>
      </w:hyperlink>
    </w:p>
    <w:p w:rsidR="0043334F" w:rsidRPr="00735636" w:rsidRDefault="00C91A1D" w:rsidP="00A277F3">
      <w:pPr>
        <w:pStyle w:val="TOC3"/>
        <w:tabs>
          <w:tab w:val="right" w:pos="9062"/>
        </w:tabs>
        <w:rPr>
          <w:rFonts w:asciiTheme="minorHAnsi" w:eastAsiaTheme="minorEastAsia" w:hAnsiTheme="minorHAnsi" w:cstheme="minorBidi"/>
          <w:noProof/>
          <w:sz w:val="22"/>
          <w:szCs w:val="22"/>
          <w:lang w:val="hr-HR" w:eastAsia="hr-HR"/>
        </w:rPr>
      </w:pPr>
      <w:hyperlink w:anchor="_Toc373137855" w:history="1">
        <w:r w:rsidR="0055698A">
          <w:rPr>
            <w:rStyle w:val="Hyperlink"/>
            <w:rFonts w:asciiTheme="minorHAnsi" w:hAnsiTheme="minorHAnsi"/>
            <w:noProof/>
          </w:rPr>
          <w:t>1.2</w:t>
        </w:r>
        <w:r w:rsidR="0043334F" w:rsidRPr="00735636">
          <w:rPr>
            <w:rStyle w:val="Hyperlink"/>
            <w:rFonts w:asciiTheme="minorHAnsi" w:hAnsiTheme="minorHAnsi"/>
            <w:noProof/>
          </w:rPr>
          <w:t xml:space="preserve"> ANALIZA DOSADAŠNJIH INVESTICIJA U REPUBLICI HRVATSKOJ</w:t>
        </w:r>
        <w:r w:rsidR="0043334F" w:rsidRPr="00735636">
          <w:rPr>
            <w:rFonts w:asciiTheme="minorHAnsi" w:hAnsiTheme="minorHAnsi"/>
            <w:noProof/>
            <w:webHidden/>
          </w:rPr>
          <w:tab/>
        </w:r>
        <w:r w:rsidR="00935CB0" w:rsidRPr="00735636">
          <w:rPr>
            <w:rFonts w:asciiTheme="minorHAnsi" w:hAnsiTheme="minorHAnsi"/>
            <w:noProof/>
            <w:webHidden/>
          </w:rPr>
          <w:fldChar w:fldCharType="begin"/>
        </w:r>
        <w:r w:rsidR="0043334F" w:rsidRPr="00735636">
          <w:rPr>
            <w:rFonts w:asciiTheme="minorHAnsi" w:hAnsiTheme="minorHAnsi"/>
            <w:noProof/>
            <w:webHidden/>
          </w:rPr>
          <w:instrText xml:space="preserve"> PAGEREF _Toc373137855 \h </w:instrText>
        </w:r>
        <w:r w:rsidR="00935CB0" w:rsidRPr="00735636">
          <w:rPr>
            <w:rFonts w:asciiTheme="minorHAnsi" w:hAnsiTheme="minorHAnsi"/>
            <w:noProof/>
            <w:webHidden/>
          </w:rPr>
        </w:r>
        <w:r w:rsidR="00935CB0" w:rsidRPr="00735636">
          <w:rPr>
            <w:rFonts w:asciiTheme="minorHAnsi" w:hAnsiTheme="minorHAnsi"/>
            <w:noProof/>
            <w:webHidden/>
          </w:rPr>
          <w:fldChar w:fldCharType="separate"/>
        </w:r>
        <w:r w:rsidR="00501FF2">
          <w:rPr>
            <w:rFonts w:asciiTheme="minorHAnsi" w:hAnsiTheme="minorHAnsi"/>
            <w:noProof/>
            <w:webHidden/>
          </w:rPr>
          <w:t>14</w:t>
        </w:r>
        <w:r w:rsidR="00935CB0" w:rsidRPr="00735636">
          <w:rPr>
            <w:rFonts w:asciiTheme="minorHAnsi" w:hAnsiTheme="minorHAnsi"/>
            <w:noProof/>
            <w:webHidden/>
          </w:rPr>
          <w:fldChar w:fldCharType="end"/>
        </w:r>
      </w:hyperlink>
    </w:p>
    <w:p w:rsidR="0043334F" w:rsidRPr="00735636" w:rsidRDefault="00C91A1D" w:rsidP="00A277F3">
      <w:pPr>
        <w:pStyle w:val="TOC3"/>
        <w:tabs>
          <w:tab w:val="right" w:pos="9062"/>
        </w:tabs>
        <w:rPr>
          <w:rFonts w:asciiTheme="minorHAnsi" w:eastAsiaTheme="minorEastAsia" w:hAnsiTheme="minorHAnsi" w:cstheme="minorBidi"/>
          <w:noProof/>
          <w:sz w:val="22"/>
          <w:szCs w:val="22"/>
          <w:lang w:val="hr-HR" w:eastAsia="hr-HR"/>
        </w:rPr>
      </w:pPr>
      <w:hyperlink w:anchor="_Toc373137856" w:history="1">
        <w:r w:rsidR="0043334F" w:rsidRPr="00735636">
          <w:rPr>
            <w:rStyle w:val="Hyperlink"/>
            <w:rFonts w:asciiTheme="minorHAnsi" w:hAnsiTheme="minorHAnsi"/>
            <w:noProof/>
          </w:rPr>
          <w:t>1.3 UTVRĐIVANJE KONKURENTNIH PREDNOSTI REPUBLIKE HRVATSKE ZA PRIVLAČENJE INVESTICIJA</w:t>
        </w:r>
        <w:r w:rsidR="0043334F" w:rsidRPr="00735636">
          <w:rPr>
            <w:rFonts w:asciiTheme="minorHAnsi" w:hAnsiTheme="minorHAnsi"/>
            <w:noProof/>
            <w:webHidden/>
          </w:rPr>
          <w:tab/>
        </w:r>
        <w:r w:rsidR="00935CB0" w:rsidRPr="00735636">
          <w:rPr>
            <w:rFonts w:asciiTheme="minorHAnsi" w:hAnsiTheme="minorHAnsi"/>
            <w:noProof/>
            <w:webHidden/>
          </w:rPr>
          <w:fldChar w:fldCharType="begin"/>
        </w:r>
        <w:r w:rsidR="0043334F" w:rsidRPr="00735636">
          <w:rPr>
            <w:rFonts w:asciiTheme="minorHAnsi" w:hAnsiTheme="minorHAnsi"/>
            <w:noProof/>
            <w:webHidden/>
          </w:rPr>
          <w:instrText xml:space="preserve"> PAGEREF _Toc373137856 \h </w:instrText>
        </w:r>
        <w:r w:rsidR="00935CB0" w:rsidRPr="00735636">
          <w:rPr>
            <w:rFonts w:asciiTheme="minorHAnsi" w:hAnsiTheme="minorHAnsi"/>
            <w:noProof/>
            <w:webHidden/>
          </w:rPr>
        </w:r>
        <w:r w:rsidR="00935CB0" w:rsidRPr="00735636">
          <w:rPr>
            <w:rFonts w:asciiTheme="minorHAnsi" w:hAnsiTheme="minorHAnsi"/>
            <w:noProof/>
            <w:webHidden/>
          </w:rPr>
          <w:fldChar w:fldCharType="separate"/>
        </w:r>
        <w:r w:rsidR="00501FF2">
          <w:rPr>
            <w:rFonts w:asciiTheme="minorHAnsi" w:hAnsiTheme="minorHAnsi"/>
            <w:noProof/>
            <w:webHidden/>
          </w:rPr>
          <w:t>18</w:t>
        </w:r>
        <w:r w:rsidR="00935CB0" w:rsidRPr="00735636">
          <w:rPr>
            <w:rFonts w:asciiTheme="minorHAnsi" w:hAnsiTheme="minorHAnsi"/>
            <w:noProof/>
            <w:webHidden/>
          </w:rPr>
          <w:fldChar w:fldCharType="end"/>
        </w:r>
      </w:hyperlink>
    </w:p>
    <w:p w:rsidR="0043334F" w:rsidRPr="00735636" w:rsidRDefault="00C91A1D">
      <w:pPr>
        <w:pStyle w:val="TOC1"/>
        <w:rPr>
          <w:rFonts w:asciiTheme="minorHAnsi" w:eastAsiaTheme="minorEastAsia" w:hAnsiTheme="minorHAnsi" w:cstheme="minorBidi"/>
          <w:b w:val="0"/>
          <w:bCs w:val="0"/>
          <w:caps w:val="0"/>
          <w:noProof/>
          <w:sz w:val="22"/>
          <w:szCs w:val="22"/>
          <w:lang w:val="hr-HR" w:eastAsia="hr-HR"/>
        </w:rPr>
      </w:pPr>
      <w:hyperlink w:anchor="_Toc373137857" w:history="1">
        <w:r w:rsidR="0043334F" w:rsidRPr="00735636">
          <w:rPr>
            <w:rStyle w:val="Hyperlink"/>
            <w:rFonts w:asciiTheme="minorHAnsi" w:hAnsiTheme="minorHAnsi"/>
            <w:noProof/>
            <w:lang w:val="hr-HR"/>
          </w:rPr>
          <w:t>SWOT ANALIZA (PREDNOSTI, SLABOSTI, PRILIKE I PRIJETNJE POTICANJA INVESTICIJA U RH)</w:t>
        </w:r>
        <w:r w:rsidR="0043334F" w:rsidRPr="00735636">
          <w:rPr>
            <w:rFonts w:asciiTheme="minorHAnsi" w:hAnsiTheme="minorHAnsi"/>
            <w:noProof/>
            <w:webHidden/>
          </w:rPr>
          <w:tab/>
        </w:r>
        <w:r w:rsidR="00935CB0" w:rsidRPr="00735636">
          <w:rPr>
            <w:rFonts w:asciiTheme="minorHAnsi" w:hAnsiTheme="minorHAnsi"/>
            <w:noProof/>
            <w:webHidden/>
          </w:rPr>
          <w:fldChar w:fldCharType="begin"/>
        </w:r>
        <w:r w:rsidR="0043334F" w:rsidRPr="00735636">
          <w:rPr>
            <w:rFonts w:asciiTheme="minorHAnsi" w:hAnsiTheme="minorHAnsi"/>
            <w:noProof/>
            <w:webHidden/>
          </w:rPr>
          <w:instrText xml:space="preserve"> PAGEREF _Toc373137857 \h </w:instrText>
        </w:r>
        <w:r w:rsidR="00935CB0" w:rsidRPr="00735636">
          <w:rPr>
            <w:rFonts w:asciiTheme="minorHAnsi" w:hAnsiTheme="minorHAnsi"/>
            <w:noProof/>
            <w:webHidden/>
          </w:rPr>
        </w:r>
        <w:r w:rsidR="00935CB0" w:rsidRPr="00735636">
          <w:rPr>
            <w:rFonts w:asciiTheme="minorHAnsi" w:hAnsiTheme="minorHAnsi"/>
            <w:noProof/>
            <w:webHidden/>
          </w:rPr>
          <w:fldChar w:fldCharType="separate"/>
        </w:r>
        <w:r w:rsidR="00501FF2">
          <w:rPr>
            <w:rFonts w:asciiTheme="minorHAnsi" w:hAnsiTheme="minorHAnsi"/>
            <w:noProof/>
            <w:webHidden/>
          </w:rPr>
          <w:t>30</w:t>
        </w:r>
        <w:r w:rsidR="00935CB0" w:rsidRPr="00735636">
          <w:rPr>
            <w:rFonts w:asciiTheme="minorHAnsi" w:hAnsiTheme="minorHAnsi"/>
            <w:noProof/>
            <w:webHidden/>
          </w:rPr>
          <w:fldChar w:fldCharType="end"/>
        </w:r>
      </w:hyperlink>
    </w:p>
    <w:p w:rsidR="0043334F" w:rsidRPr="00735636" w:rsidRDefault="00C91A1D">
      <w:pPr>
        <w:pStyle w:val="TOC1"/>
        <w:rPr>
          <w:rFonts w:asciiTheme="minorHAnsi" w:eastAsiaTheme="minorEastAsia" w:hAnsiTheme="minorHAnsi" w:cstheme="minorBidi"/>
          <w:b w:val="0"/>
          <w:bCs w:val="0"/>
          <w:caps w:val="0"/>
          <w:noProof/>
          <w:sz w:val="22"/>
          <w:szCs w:val="22"/>
          <w:lang w:val="hr-HR" w:eastAsia="hr-HR"/>
        </w:rPr>
      </w:pPr>
      <w:hyperlink w:anchor="_Toc373137858" w:history="1">
        <w:r w:rsidR="0043334F" w:rsidRPr="00735636">
          <w:rPr>
            <w:rStyle w:val="Hyperlink"/>
            <w:rFonts w:asciiTheme="minorHAnsi" w:hAnsiTheme="minorHAnsi"/>
            <w:noProof/>
          </w:rPr>
          <w:t>2. VIZIJA I STRATEŠKI CILJEVI</w:t>
        </w:r>
        <w:r w:rsidR="0043334F" w:rsidRPr="00735636">
          <w:rPr>
            <w:rFonts w:asciiTheme="minorHAnsi" w:hAnsiTheme="minorHAnsi"/>
            <w:noProof/>
            <w:webHidden/>
          </w:rPr>
          <w:tab/>
        </w:r>
        <w:r w:rsidR="00935CB0" w:rsidRPr="00735636">
          <w:rPr>
            <w:rFonts w:asciiTheme="minorHAnsi" w:hAnsiTheme="minorHAnsi"/>
            <w:noProof/>
            <w:webHidden/>
          </w:rPr>
          <w:fldChar w:fldCharType="begin"/>
        </w:r>
        <w:r w:rsidR="0043334F" w:rsidRPr="00735636">
          <w:rPr>
            <w:rFonts w:asciiTheme="minorHAnsi" w:hAnsiTheme="minorHAnsi"/>
            <w:noProof/>
            <w:webHidden/>
          </w:rPr>
          <w:instrText xml:space="preserve"> PAGEREF _Toc373137858 \h </w:instrText>
        </w:r>
        <w:r w:rsidR="00935CB0" w:rsidRPr="00735636">
          <w:rPr>
            <w:rFonts w:asciiTheme="minorHAnsi" w:hAnsiTheme="minorHAnsi"/>
            <w:noProof/>
            <w:webHidden/>
          </w:rPr>
        </w:r>
        <w:r w:rsidR="00935CB0" w:rsidRPr="00735636">
          <w:rPr>
            <w:rFonts w:asciiTheme="minorHAnsi" w:hAnsiTheme="minorHAnsi"/>
            <w:noProof/>
            <w:webHidden/>
          </w:rPr>
          <w:fldChar w:fldCharType="separate"/>
        </w:r>
        <w:r w:rsidR="00501FF2">
          <w:rPr>
            <w:rFonts w:asciiTheme="minorHAnsi" w:hAnsiTheme="minorHAnsi"/>
            <w:noProof/>
            <w:webHidden/>
          </w:rPr>
          <w:t>32</w:t>
        </w:r>
        <w:r w:rsidR="00935CB0" w:rsidRPr="00735636">
          <w:rPr>
            <w:rFonts w:asciiTheme="minorHAnsi" w:hAnsiTheme="minorHAnsi"/>
            <w:noProof/>
            <w:webHidden/>
          </w:rPr>
          <w:fldChar w:fldCharType="end"/>
        </w:r>
      </w:hyperlink>
    </w:p>
    <w:p w:rsidR="0043334F" w:rsidRPr="00735636" w:rsidRDefault="00C91A1D">
      <w:pPr>
        <w:pStyle w:val="TOC1"/>
        <w:rPr>
          <w:rFonts w:asciiTheme="minorHAnsi" w:eastAsiaTheme="minorEastAsia" w:hAnsiTheme="minorHAnsi" w:cstheme="minorBidi"/>
          <w:b w:val="0"/>
          <w:bCs w:val="0"/>
          <w:caps w:val="0"/>
          <w:noProof/>
          <w:sz w:val="22"/>
          <w:szCs w:val="22"/>
          <w:lang w:val="hr-HR" w:eastAsia="hr-HR"/>
        </w:rPr>
      </w:pPr>
      <w:hyperlink w:anchor="_Toc373137859" w:history="1">
        <w:r w:rsidR="00735636">
          <w:rPr>
            <w:rStyle w:val="Hyperlink"/>
            <w:rFonts w:asciiTheme="minorHAnsi" w:hAnsiTheme="minorHAnsi"/>
            <w:noProof/>
          </w:rPr>
          <w:t xml:space="preserve">3. </w:t>
        </w:r>
        <w:r w:rsidR="0043334F" w:rsidRPr="00735636">
          <w:rPr>
            <w:rStyle w:val="Hyperlink"/>
            <w:rFonts w:asciiTheme="minorHAnsi" w:hAnsiTheme="minorHAnsi"/>
            <w:noProof/>
          </w:rPr>
          <w:t>PRIORITETNA PODRUČJA ZA POTICANJE INVESTICIJA</w:t>
        </w:r>
        <w:r w:rsidR="0043334F" w:rsidRPr="00735636">
          <w:rPr>
            <w:rFonts w:asciiTheme="minorHAnsi" w:hAnsiTheme="minorHAnsi"/>
            <w:noProof/>
            <w:webHidden/>
          </w:rPr>
          <w:tab/>
        </w:r>
        <w:r w:rsidR="00935CB0" w:rsidRPr="00735636">
          <w:rPr>
            <w:rFonts w:asciiTheme="minorHAnsi" w:hAnsiTheme="minorHAnsi"/>
            <w:noProof/>
            <w:webHidden/>
          </w:rPr>
          <w:fldChar w:fldCharType="begin"/>
        </w:r>
        <w:r w:rsidR="0043334F" w:rsidRPr="00735636">
          <w:rPr>
            <w:rFonts w:asciiTheme="minorHAnsi" w:hAnsiTheme="minorHAnsi"/>
            <w:noProof/>
            <w:webHidden/>
          </w:rPr>
          <w:instrText xml:space="preserve"> PAGEREF _Toc373137859 \h </w:instrText>
        </w:r>
        <w:r w:rsidR="00935CB0" w:rsidRPr="00735636">
          <w:rPr>
            <w:rFonts w:asciiTheme="minorHAnsi" w:hAnsiTheme="minorHAnsi"/>
            <w:noProof/>
            <w:webHidden/>
          </w:rPr>
        </w:r>
        <w:r w:rsidR="00935CB0" w:rsidRPr="00735636">
          <w:rPr>
            <w:rFonts w:asciiTheme="minorHAnsi" w:hAnsiTheme="minorHAnsi"/>
            <w:noProof/>
            <w:webHidden/>
          </w:rPr>
          <w:fldChar w:fldCharType="separate"/>
        </w:r>
        <w:r w:rsidR="00501FF2">
          <w:rPr>
            <w:rFonts w:asciiTheme="minorHAnsi" w:hAnsiTheme="minorHAnsi"/>
            <w:noProof/>
            <w:webHidden/>
          </w:rPr>
          <w:t>33</w:t>
        </w:r>
        <w:r w:rsidR="00935CB0" w:rsidRPr="00735636">
          <w:rPr>
            <w:rFonts w:asciiTheme="minorHAnsi" w:hAnsiTheme="minorHAnsi"/>
            <w:noProof/>
            <w:webHidden/>
          </w:rPr>
          <w:fldChar w:fldCharType="end"/>
        </w:r>
      </w:hyperlink>
    </w:p>
    <w:p w:rsidR="0043334F" w:rsidRPr="00735636" w:rsidRDefault="00C91A1D">
      <w:pPr>
        <w:pStyle w:val="TOC3"/>
        <w:tabs>
          <w:tab w:val="right" w:pos="9062"/>
        </w:tabs>
        <w:rPr>
          <w:rFonts w:asciiTheme="minorHAnsi" w:eastAsiaTheme="minorEastAsia" w:hAnsiTheme="minorHAnsi" w:cstheme="minorBidi"/>
          <w:noProof/>
          <w:sz w:val="22"/>
          <w:szCs w:val="22"/>
          <w:lang w:val="hr-HR" w:eastAsia="hr-HR"/>
        </w:rPr>
      </w:pPr>
      <w:hyperlink w:anchor="_Toc373137860" w:history="1">
        <w:r w:rsidR="0043334F" w:rsidRPr="00735636">
          <w:rPr>
            <w:rStyle w:val="Hyperlink"/>
            <w:rFonts w:asciiTheme="minorHAnsi" w:hAnsiTheme="minorHAnsi"/>
            <w:noProof/>
          </w:rPr>
          <w:t>3.1 UNAPRJEĐENJE INVESTICIJSKOG OKRUŽENJA</w:t>
        </w:r>
        <w:r w:rsidR="0043334F" w:rsidRPr="00735636">
          <w:rPr>
            <w:rFonts w:asciiTheme="minorHAnsi" w:hAnsiTheme="minorHAnsi"/>
            <w:noProof/>
            <w:webHidden/>
          </w:rPr>
          <w:tab/>
        </w:r>
        <w:r w:rsidR="00935CB0" w:rsidRPr="00735636">
          <w:rPr>
            <w:rFonts w:asciiTheme="minorHAnsi" w:hAnsiTheme="minorHAnsi"/>
            <w:noProof/>
            <w:webHidden/>
          </w:rPr>
          <w:fldChar w:fldCharType="begin"/>
        </w:r>
        <w:r w:rsidR="0043334F" w:rsidRPr="00735636">
          <w:rPr>
            <w:rFonts w:asciiTheme="minorHAnsi" w:hAnsiTheme="minorHAnsi"/>
            <w:noProof/>
            <w:webHidden/>
          </w:rPr>
          <w:instrText xml:space="preserve"> PAGEREF _Toc373137860 \h </w:instrText>
        </w:r>
        <w:r w:rsidR="00935CB0" w:rsidRPr="00735636">
          <w:rPr>
            <w:rFonts w:asciiTheme="minorHAnsi" w:hAnsiTheme="minorHAnsi"/>
            <w:noProof/>
            <w:webHidden/>
          </w:rPr>
        </w:r>
        <w:r w:rsidR="00935CB0" w:rsidRPr="00735636">
          <w:rPr>
            <w:rFonts w:asciiTheme="minorHAnsi" w:hAnsiTheme="minorHAnsi"/>
            <w:noProof/>
            <w:webHidden/>
          </w:rPr>
          <w:fldChar w:fldCharType="separate"/>
        </w:r>
        <w:r w:rsidR="00501FF2">
          <w:rPr>
            <w:rFonts w:asciiTheme="minorHAnsi" w:hAnsiTheme="minorHAnsi"/>
            <w:noProof/>
            <w:webHidden/>
          </w:rPr>
          <w:t>33</w:t>
        </w:r>
        <w:r w:rsidR="00935CB0" w:rsidRPr="00735636">
          <w:rPr>
            <w:rFonts w:asciiTheme="minorHAnsi" w:hAnsiTheme="minorHAnsi"/>
            <w:noProof/>
            <w:webHidden/>
          </w:rPr>
          <w:fldChar w:fldCharType="end"/>
        </w:r>
      </w:hyperlink>
    </w:p>
    <w:p w:rsidR="0043334F" w:rsidRPr="00735636" w:rsidRDefault="00C91A1D">
      <w:pPr>
        <w:pStyle w:val="TOC3"/>
        <w:tabs>
          <w:tab w:val="right" w:pos="9062"/>
        </w:tabs>
        <w:rPr>
          <w:rFonts w:asciiTheme="minorHAnsi" w:eastAsiaTheme="minorEastAsia" w:hAnsiTheme="minorHAnsi" w:cstheme="minorBidi"/>
          <w:noProof/>
          <w:sz w:val="22"/>
          <w:szCs w:val="22"/>
          <w:lang w:val="hr-HR" w:eastAsia="hr-HR"/>
        </w:rPr>
      </w:pPr>
      <w:hyperlink w:anchor="_Toc373137861" w:history="1">
        <w:r w:rsidR="0043334F" w:rsidRPr="00735636">
          <w:rPr>
            <w:rStyle w:val="Hyperlink"/>
            <w:rFonts w:asciiTheme="minorHAnsi" w:hAnsiTheme="minorHAnsi"/>
            <w:noProof/>
          </w:rPr>
          <w:t>3.1.1 UNAPRJEĐENJE ZAKONODAVNOG I INSTITUCIONALNOG OKVIRA I  UKLANJANJE ADMINISTRATIVNIH PREPREKA ZA INVESTICIJE</w:t>
        </w:r>
        <w:r w:rsidR="0043334F" w:rsidRPr="00735636">
          <w:rPr>
            <w:rFonts w:asciiTheme="minorHAnsi" w:hAnsiTheme="minorHAnsi"/>
            <w:noProof/>
            <w:webHidden/>
          </w:rPr>
          <w:tab/>
        </w:r>
        <w:r w:rsidR="00935CB0" w:rsidRPr="00735636">
          <w:rPr>
            <w:rFonts w:asciiTheme="minorHAnsi" w:hAnsiTheme="minorHAnsi"/>
            <w:noProof/>
            <w:webHidden/>
          </w:rPr>
          <w:fldChar w:fldCharType="begin"/>
        </w:r>
        <w:r w:rsidR="0043334F" w:rsidRPr="00735636">
          <w:rPr>
            <w:rFonts w:asciiTheme="minorHAnsi" w:hAnsiTheme="minorHAnsi"/>
            <w:noProof/>
            <w:webHidden/>
          </w:rPr>
          <w:instrText xml:space="preserve"> PAGEREF _Toc373137861 \h </w:instrText>
        </w:r>
        <w:r w:rsidR="00935CB0" w:rsidRPr="00735636">
          <w:rPr>
            <w:rFonts w:asciiTheme="minorHAnsi" w:hAnsiTheme="minorHAnsi"/>
            <w:noProof/>
            <w:webHidden/>
          </w:rPr>
        </w:r>
        <w:r w:rsidR="00935CB0" w:rsidRPr="00735636">
          <w:rPr>
            <w:rFonts w:asciiTheme="minorHAnsi" w:hAnsiTheme="minorHAnsi"/>
            <w:noProof/>
            <w:webHidden/>
          </w:rPr>
          <w:fldChar w:fldCharType="separate"/>
        </w:r>
        <w:r w:rsidR="00501FF2">
          <w:rPr>
            <w:rFonts w:asciiTheme="minorHAnsi" w:hAnsiTheme="minorHAnsi"/>
            <w:noProof/>
            <w:webHidden/>
          </w:rPr>
          <w:t>35</w:t>
        </w:r>
        <w:r w:rsidR="00935CB0" w:rsidRPr="00735636">
          <w:rPr>
            <w:rFonts w:asciiTheme="minorHAnsi" w:hAnsiTheme="minorHAnsi"/>
            <w:noProof/>
            <w:webHidden/>
          </w:rPr>
          <w:fldChar w:fldCharType="end"/>
        </w:r>
      </w:hyperlink>
    </w:p>
    <w:p w:rsidR="0043334F" w:rsidRPr="00735636" w:rsidRDefault="00C91A1D">
      <w:pPr>
        <w:pStyle w:val="TOC3"/>
        <w:tabs>
          <w:tab w:val="right" w:pos="9062"/>
        </w:tabs>
        <w:rPr>
          <w:rFonts w:asciiTheme="minorHAnsi" w:eastAsiaTheme="minorEastAsia" w:hAnsiTheme="minorHAnsi" w:cstheme="minorBidi"/>
          <w:noProof/>
          <w:sz w:val="22"/>
          <w:szCs w:val="22"/>
          <w:lang w:val="hr-HR" w:eastAsia="hr-HR"/>
        </w:rPr>
      </w:pPr>
      <w:hyperlink w:anchor="_Toc373137862" w:history="1">
        <w:r w:rsidR="0043334F" w:rsidRPr="00735636">
          <w:rPr>
            <w:rStyle w:val="Hyperlink"/>
            <w:rFonts w:asciiTheme="minorHAnsi" w:hAnsiTheme="minorHAnsi"/>
            <w:noProof/>
          </w:rPr>
          <w:t>3.1.2 JAČANJE INVESTICIJSKOG POTENCIJALA SEKTORA MALOG I SREDNJEG PODUZETNIŠTVA I UKLJUČIVANJE U GLOBALNE LANCE VRIJEDNOSTI</w:t>
        </w:r>
        <w:r w:rsidR="0043334F" w:rsidRPr="00735636">
          <w:rPr>
            <w:rFonts w:asciiTheme="minorHAnsi" w:hAnsiTheme="minorHAnsi"/>
            <w:noProof/>
            <w:webHidden/>
          </w:rPr>
          <w:tab/>
        </w:r>
        <w:r w:rsidR="00935CB0" w:rsidRPr="00735636">
          <w:rPr>
            <w:rFonts w:asciiTheme="minorHAnsi" w:hAnsiTheme="minorHAnsi"/>
            <w:noProof/>
            <w:webHidden/>
          </w:rPr>
          <w:fldChar w:fldCharType="begin"/>
        </w:r>
        <w:r w:rsidR="0043334F" w:rsidRPr="00735636">
          <w:rPr>
            <w:rFonts w:asciiTheme="minorHAnsi" w:hAnsiTheme="minorHAnsi"/>
            <w:noProof/>
            <w:webHidden/>
          </w:rPr>
          <w:instrText xml:space="preserve"> PAGEREF _Toc373137862 \h </w:instrText>
        </w:r>
        <w:r w:rsidR="00935CB0" w:rsidRPr="00735636">
          <w:rPr>
            <w:rFonts w:asciiTheme="minorHAnsi" w:hAnsiTheme="minorHAnsi"/>
            <w:noProof/>
            <w:webHidden/>
          </w:rPr>
        </w:r>
        <w:r w:rsidR="00935CB0" w:rsidRPr="00735636">
          <w:rPr>
            <w:rFonts w:asciiTheme="minorHAnsi" w:hAnsiTheme="minorHAnsi"/>
            <w:noProof/>
            <w:webHidden/>
          </w:rPr>
          <w:fldChar w:fldCharType="separate"/>
        </w:r>
        <w:r w:rsidR="00501FF2">
          <w:rPr>
            <w:rFonts w:asciiTheme="minorHAnsi" w:hAnsiTheme="minorHAnsi"/>
            <w:noProof/>
            <w:webHidden/>
          </w:rPr>
          <w:t>35</w:t>
        </w:r>
        <w:r w:rsidR="00935CB0" w:rsidRPr="00735636">
          <w:rPr>
            <w:rFonts w:asciiTheme="minorHAnsi" w:hAnsiTheme="minorHAnsi"/>
            <w:noProof/>
            <w:webHidden/>
          </w:rPr>
          <w:fldChar w:fldCharType="end"/>
        </w:r>
      </w:hyperlink>
    </w:p>
    <w:p w:rsidR="0043334F" w:rsidRPr="00735636" w:rsidRDefault="00C91A1D">
      <w:pPr>
        <w:pStyle w:val="TOC3"/>
        <w:tabs>
          <w:tab w:val="right" w:pos="9062"/>
        </w:tabs>
        <w:rPr>
          <w:rFonts w:asciiTheme="minorHAnsi" w:eastAsiaTheme="minorEastAsia" w:hAnsiTheme="minorHAnsi" w:cstheme="minorBidi"/>
          <w:noProof/>
          <w:sz w:val="22"/>
          <w:szCs w:val="22"/>
          <w:lang w:val="hr-HR" w:eastAsia="hr-HR"/>
        </w:rPr>
      </w:pPr>
      <w:hyperlink w:anchor="_Toc373137863" w:history="1">
        <w:r w:rsidR="0043334F" w:rsidRPr="00735636">
          <w:rPr>
            <w:rStyle w:val="Hyperlink"/>
            <w:rFonts w:asciiTheme="minorHAnsi" w:hAnsiTheme="minorHAnsi"/>
            <w:noProof/>
          </w:rPr>
          <w:t>3.1.3. PRILAGODBA OBRAZOVNOG SUSTAVA I TRŽIŠTA RADA POTREBAMA INVESTITORA</w:t>
        </w:r>
        <w:r w:rsidR="0043334F" w:rsidRPr="00735636">
          <w:rPr>
            <w:rFonts w:asciiTheme="minorHAnsi" w:hAnsiTheme="minorHAnsi"/>
            <w:noProof/>
            <w:webHidden/>
          </w:rPr>
          <w:tab/>
        </w:r>
        <w:r w:rsidR="00935CB0" w:rsidRPr="00735636">
          <w:rPr>
            <w:rFonts w:asciiTheme="minorHAnsi" w:hAnsiTheme="minorHAnsi"/>
            <w:noProof/>
            <w:webHidden/>
          </w:rPr>
          <w:fldChar w:fldCharType="begin"/>
        </w:r>
        <w:r w:rsidR="0043334F" w:rsidRPr="00735636">
          <w:rPr>
            <w:rFonts w:asciiTheme="minorHAnsi" w:hAnsiTheme="minorHAnsi"/>
            <w:noProof/>
            <w:webHidden/>
          </w:rPr>
          <w:instrText xml:space="preserve"> PAGEREF _Toc373137863 \h </w:instrText>
        </w:r>
        <w:r w:rsidR="00935CB0" w:rsidRPr="00735636">
          <w:rPr>
            <w:rFonts w:asciiTheme="minorHAnsi" w:hAnsiTheme="minorHAnsi"/>
            <w:noProof/>
            <w:webHidden/>
          </w:rPr>
        </w:r>
        <w:r w:rsidR="00935CB0" w:rsidRPr="00735636">
          <w:rPr>
            <w:rFonts w:asciiTheme="minorHAnsi" w:hAnsiTheme="minorHAnsi"/>
            <w:noProof/>
            <w:webHidden/>
          </w:rPr>
          <w:fldChar w:fldCharType="separate"/>
        </w:r>
        <w:r w:rsidR="00501FF2">
          <w:rPr>
            <w:rFonts w:asciiTheme="minorHAnsi" w:hAnsiTheme="minorHAnsi"/>
            <w:noProof/>
            <w:webHidden/>
          </w:rPr>
          <w:t>36</w:t>
        </w:r>
        <w:r w:rsidR="00935CB0" w:rsidRPr="00735636">
          <w:rPr>
            <w:rFonts w:asciiTheme="minorHAnsi" w:hAnsiTheme="minorHAnsi"/>
            <w:noProof/>
            <w:webHidden/>
          </w:rPr>
          <w:fldChar w:fldCharType="end"/>
        </w:r>
      </w:hyperlink>
    </w:p>
    <w:p w:rsidR="0043334F" w:rsidRPr="00735636" w:rsidRDefault="00C91A1D">
      <w:pPr>
        <w:pStyle w:val="TOC3"/>
        <w:tabs>
          <w:tab w:val="right" w:pos="9062"/>
        </w:tabs>
        <w:rPr>
          <w:rFonts w:asciiTheme="minorHAnsi" w:eastAsiaTheme="minorEastAsia" w:hAnsiTheme="minorHAnsi" w:cstheme="minorBidi"/>
          <w:noProof/>
          <w:sz w:val="22"/>
          <w:szCs w:val="22"/>
          <w:lang w:val="hr-HR" w:eastAsia="hr-HR"/>
        </w:rPr>
      </w:pPr>
      <w:hyperlink w:anchor="_Toc373137864" w:history="1">
        <w:r w:rsidR="0043334F" w:rsidRPr="00735636">
          <w:rPr>
            <w:rStyle w:val="Hyperlink"/>
            <w:rFonts w:asciiTheme="minorHAnsi" w:hAnsiTheme="minorHAnsi"/>
            <w:noProof/>
          </w:rPr>
          <w:t>3.1.4 STVARANJE POTICAJNOG OKRUŽENJA ZA INVESTICIJE U ISTRAŽIVANJE, RAZVOJ, INOVACIJE I KET TEHNOLOGIJE</w:t>
        </w:r>
        <w:r w:rsidR="0043334F" w:rsidRPr="00735636">
          <w:rPr>
            <w:rFonts w:asciiTheme="minorHAnsi" w:hAnsiTheme="minorHAnsi"/>
            <w:noProof/>
            <w:webHidden/>
          </w:rPr>
          <w:tab/>
        </w:r>
        <w:r w:rsidR="00935CB0" w:rsidRPr="00735636">
          <w:rPr>
            <w:rFonts w:asciiTheme="minorHAnsi" w:hAnsiTheme="minorHAnsi"/>
            <w:noProof/>
            <w:webHidden/>
          </w:rPr>
          <w:fldChar w:fldCharType="begin"/>
        </w:r>
        <w:r w:rsidR="0043334F" w:rsidRPr="00735636">
          <w:rPr>
            <w:rFonts w:asciiTheme="minorHAnsi" w:hAnsiTheme="minorHAnsi"/>
            <w:noProof/>
            <w:webHidden/>
          </w:rPr>
          <w:instrText xml:space="preserve"> PAGEREF _Toc373137864 \h </w:instrText>
        </w:r>
        <w:r w:rsidR="00935CB0" w:rsidRPr="00735636">
          <w:rPr>
            <w:rFonts w:asciiTheme="minorHAnsi" w:hAnsiTheme="minorHAnsi"/>
            <w:noProof/>
            <w:webHidden/>
          </w:rPr>
        </w:r>
        <w:r w:rsidR="00935CB0" w:rsidRPr="00735636">
          <w:rPr>
            <w:rFonts w:asciiTheme="minorHAnsi" w:hAnsiTheme="minorHAnsi"/>
            <w:noProof/>
            <w:webHidden/>
          </w:rPr>
          <w:fldChar w:fldCharType="separate"/>
        </w:r>
        <w:r w:rsidR="00501FF2">
          <w:rPr>
            <w:rFonts w:asciiTheme="minorHAnsi" w:hAnsiTheme="minorHAnsi"/>
            <w:noProof/>
            <w:webHidden/>
          </w:rPr>
          <w:t>36</w:t>
        </w:r>
        <w:r w:rsidR="00935CB0" w:rsidRPr="00735636">
          <w:rPr>
            <w:rFonts w:asciiTheme="minorHAnsi" w:hAnsiTheme="minorHAnsi"/>
            <w:noProof/>
            <w:webHidden/>
          </w:rPr>
          <w:fldChar w:fldCharType="end"/>
        </w:r>
      </w:hyperlink>
    </w:p>
    <w:p w:rsidR="0043334F" w:rsidRPr="00735636" w:rsidRDefault="00C91A1D">
      <w:pPr>
        <w:pStyle w:val="TOC3"/>
        <w:tabs>
          <w:tab w:val="right" w:pos="9062"/>
        </w:tabs>
        <w:rPr>
          <w:rFonts w:asciiTheme="minorHAnsi" w:eastAsiaTheme="minorEastAsia" w:hAnsiTheme="minorHAnsi" w:cstheme="minorBidi"/>
          <w:noProof/>
          <w:sz w:val="22"/>
          <w:szCs w:val="22"/>
          <w:lang w:val="hr-HR" w:eastAsia="hr-HR"/>
        </w:rPr>
      </w:pPr>
      <w:hyperlink w:anchor="_Toc373137865" w:history="1">
        <w:r w:rsidR="0043334F" w:rsidRPr="00735636">
          <w:rPr>
            <w:rStyle w:val="Hyperlink"/>
            <w:rFonts w:asciiTheme="minorHAnsi" w:hAnsiTheme="minorHAnsi"/>
            <w:noProof/>
          </w:rPr>
          <w:t>3.1.5 JAČANJE INVESTICIJSKOG POTENCIJALA SEKTORA TURIZMA</w:t>
        </w:r>
        <w:r w:rsidR="0043334F" w:rsidRPr="00735636">
          <w:rPr>
            <w:rFonts w:asciiTheme="minorHAnsi" w:hAnsiTheme="minorHAnsi"/>
            <w:noProof/>
            <w:webHidden/>
          </w:rPr>
          <w:tab/>
        </w:r>
        <w:r w:rsidR="00935CB0" w:rsidRPr="00735636">
          <w:rPr>
            <w:rFonts w:asciiTheme="minorHAnsi" w:hAnsiTheme="minorHAnsi"/>
            <w:noProof/>
            <w:webHidden/>
          </w:rPr>
          <w:fldChar w:fldCharType="begin"/>
        </w:r>
        <w:r w:rsidR="0043334F" w:rsidRPr="00735636">
          <w:rPr>
            <w:rFonts w:asciiTheme="minorHAnsi" w:hAnsiTheme="minorHAnsi"/>
            <w:noProof/>
            <w:webHidden/>
          </w:rPr>
          <w:instrText xml:space="preserve"> PAGEREF _Toc373137865 \h </w:instrText>
        </w:r>
        <w:r w:rsidR="00935CB0" w:rsidRPr="00735636">
          <w:rPr>
            <w:rFonts w:asciiTheme="minorHAnsi" w:hAnsiTheme="minorHAnsi"/>
            <w:noProof/>
            <w:webHidden/>
          </w:rPr>
        </w:r>
        <w:r w:rsidR="00935CB0" w:rsidRPr="00735636">
          <w:rPr>
            <w:rFonts w:asciiTheme="minorHAnsi" w:hAnsiTheme="minorHAnsi"/>
            <w:noProof/>
            <w:webHidden/>
          </w:rPr>
          <w:fldChar w:fldCharType="separate"/>
        </w:r>
        <w:r w:rsidR="00501FF2">
          <w:rPr>
            <w:rFonts w:asciiTheme="minorHAnsi" w:hAnsiTheme="minorHAnsi"/>
            <w:noProof/>
            <w:webHidden/>
          </w:rPr>
          <w:t>37</w:t>
        </w:r>
        <w:r w:rsidR="00935CB0" w:rsidRPr="00735636">
          <w:rPr>
            <w:rFonts w:asciiTheme="minorHAnsi" w:hAnsiTheme="minorHAnsi"/>
            <w:noProof/>
            <w:webHidden/>
          </w:rPr>
          <w:fldChar w:fldCharType="end"/>
        </w:r>
      </w:hyperlink>
    </w:p>
    <w:p w:rsidR="0043334F" w:rsidRPr="00735636" w:rsidRDefault="00C91A1D">
      <w:pPr>
        <w:pStyle w:val="TOC3"/>
        <w:tabs>
          <w:tab w:val="right" w:pos="9062"/>
        </w:tabs>
        <w:rPr>
          <w:rFonts w:asciiTheme="minorHAnsi" w:eastAsiaTheme="minorEastAsia" w:hAnsiTheme="minorHAnsi" w:cstheme="minorBidi"/>
          <w:noProof/>
          <w:sz w:val="22"/>
          <w:szCs w:val="22"/>
          <w:lang w:val="hr-HR" w:eastAsia="hr-HR"/>
        </w:rPr>
      </w:pPr>
      <w:hyperlink w:anchor="_Toc373137866" w:history="1">
        <w:r w:rsidR="0043334F" w:rsidRPr="00735636">
          <w:rPr>
            <w:rStyle w:val="Hyperlink"/>
            <w:rFonts w:asciiTheme="minorHAnsi" w:hAnsiTheme="minorHAnsi"/>
            <w:noProof/>
          </w:rPr>
          <w:t xml:space="preserve">3.1.6 </w:t>
        </w:r>
        <w:r w:rsidR="00671FBC" w:rsidRPr="00671FBC">
          <w:rPr>
            <w:rFonts w:asciiTheme="minorHAnsi" w:hAnsiTheme="minorHAnsi"/>
          </w:rPr>
          <w:t>RAZVOJ I UNAPRJEĐENJE</w:t>
        </w:r>
        <w:r w:rsidR="00671FBC" w:rsidRPr="00671FBC">
          <w:rPr>
            <w:rFonts w:asciiTheme="minorHAnsi" w:hAnsiTheme="minorHAnsi"/>
            <w:color w:val="FF0000"/>
          </w:rPr>
          <w:t xml:space="preserve"> </w:t>
        </w:r>
        <w:r w:rsidR="00671FBC" w:rsidRPr="005F07EA">
          <w:rPr>
            <w:rFonts w:asciiTheme="minorHAnsi" w:hAnsiTheme="minorHAnsi"/>
          </w:rPr>
          <w:t>REGIONALNE INFRASTRUKTURE</w:t>
        </w:r>
        <w:r w:rsidR="0043334F" w:rsidRPr="00735636">
          <w:rPr>
            <w:rFonts w:asciiTheme="minorHAnsi" w:hAnsiTheme="minorHAnsi"/>
            <w:noProof/>
            <w:webHidden/>
          </w:rPr>
          <w:tab/>
        </w:r>
        <w:r w:rsidR="00935CB0" w:rsidRPr="00735636">
          <w:rPr>
            <w:rFonts w:asciiTheme="minorHAnsi" w:hAnsiTheme="minorHAnsi"/>
            <w:noProof/>
            <w:webHidden/>
          </w:rPr>
          <w:fldChar w:fldCharType="begin"/>
        </w:r>
        <w:r w:rsidR="0043334F" w:rsidRPr="00735636">
          <w:rPr>
            <w:rFonts w:asciiTheme="minorHAnsi" w:hAnsiTheme="minorHAnsi"/>
            <w:noProof/>
            <w:webHidden/>
          </w:rPr>
          <w:instrText xml:space="preserve"> PAGEREF _Toc373137866 \h </w:instrText>
        </w:r>
        <w:r w:rsidR="00935CB0" w:rsidRPr="00735636">
          <w:rPr>
            <w:rFonts w:asciiTheme="minorHAnsi" w:hAnsiTheme="minorHAnsi"/>
            <w:noProof/>
            <w:webHidden/>
          </w:rPr>
        </w:r>
        <w:r w:rsidR="00935CB0" w:rsidRPr="00735636">
          <w:rPr>
            <w:rFonts w:asciiTheme="minorHAnsi" w:hAnsiTheme="minorHAnsi"/>
            <w:noProof/>
            <w:webHidden/>
          </w:rPr>
          <w:fldChar w:fldCharType="separate"/>
        </w:r>
        <w:r w:rsidR="00501FF2">
          <w:rPr>
            <w:rFonts w:asciiTheme="minorHAnsi" w:hAnsiTheme="minorHAnsi"/>
            <w:noProof/>
            <w:webHidden/>
          </w:rPr>
          <w:t>37</w:t>
        </w:r>
        <w:r w:rsidR="00935CB0" w:rsidRPr="00735636">
          <w:rPr>
            <w:rFonts w:asciiTheme="minorHAnsi" w:hAnsiTheme="minorHAnsi"/>
            <w:noProof/>
            <w:webHidden/>
          </w:rPr>
          <w:fldChar w:fldCharType="end"/>
        </w:r>
      </w:hyperlink>
    </w:p>
    <w:p w:rsidR="0043334F" w:rsidRPr="00735636" w:rsidRDefault="00C91A1D">
      <w:pPr>
        <w:pStyle w:val="TOC3"/>
        <w:tabs>
          <w:tab w:val="right" w:pos="9062"/>
        </w:tabs>
        <w:rPr>
          <w:rFonts w:asciiTheme="minorHAnsi" w:eastAsiaTheme="minorEastAsia" w:hAnsiTheme="minorHAnsi" w:cstheme="minorBidi"/>
          <w:noProof/>
          <w:sz w:val="22"/>
          <w:szCs w:val="22"/>
          <w:lang w:val="hr-HR" w:eastAsia="hr-HR"/>
        </w:rPr>
      </w:pPr>
      <w:hyperlink w:anchor="_Toc373137867" w:history="1">
        <w:r w:rsidR="0043334F" w:rsidRPr="00735636">
          <w:rPr>
            <w:rStyle w:val="Hyperlink"/>
            <w:rFonts w:asciiTheme="minorHAnsi" w:hAnsiTheme="minorHAnsi"/>
            <w:noProof/>
          </w:rPr>
          <w:t>3.2 PROMICANJE REPUBLIKE HRVATSKE KAO POŽELJNE INVESTICIJSKE DESTINACIJE</w:t>
        </w:r>
        <w:r w:rsidR="0043334F" w:rsidRPr="00735636">
          <w:rPr>
            <w:rFonts w:asciiTheme="minorHAnsi" w:hAnsiTheme="minorHAnsi"/>
            <w:noProof/>
            <w:webHidden/>
          </w:rPr>
          <w:tab/>
        </w:r>
        <w:r w:rsidR="00935CB0" w:rsidRPr="00735636">
          <w:rPr>
            <w:rFonts w:asciiTheme="minorHAnsi" w:hAnsiTheme="minorHAnsi"/>
            <w:noProof/>
            <w:webHidden/>
          </w:rPr>
          <w:fldChar w:fldCharType="begin"/>
        </w:r>
        <w:r w:rsidR="0043334F" w:rsidRPr="00735636">
          <w:rPr>
            <w:rFonts w:asciiTheme="minorHAnsi" w:hAnsiTheme="minorHAnsi"/>
            <w:noProof/>
            <w:webHidden/>
          </w:rPr>
          <w:instrText xml:space="preserve"> PAGEREF _Toc373137867 \h </w:instrText>
        </w:r>
        <w:r w:rsidR="00935CB0" w:rsidRPr="00735636">
          <w:rPr>
            <w:rFonts w:asciiTheme="minorHAnsi" w:hAnsiTheme="minorHAnsi"/>
            <w:noProof/>
            <w:webHidden/>
          </w:rPr>
        </w:r>
        <w:r w:rsidR="00935CB0" w:rsidRPr="00735636">
          <w:rPr>
            <w:rFonts w:asciiTheme="minorHAnsi" w:hAnsiTheme="minorHAnsi"/>
            <w:noProof/>
            <w:webHidden/>
          </w:rPr>
          <w:fldChar w:fldCharType="separate"/>
        </w:r>
        <w:r w:rsidR="00501FF2">
          <w:rPr>
            <w:rFonts w:asciiTheme="minorHAnsi" w:hAnsiTheme="minorHAnsi"/>
            <w:noProof/>
            <w:webHidden/>
          </w:rPr>
          <w:t>38</w:t>
        </w:r>
        <w:r w:rsidR="00935CB0" w:rsidRPr="00735636">
          <w:rPr>
            <w:rFonts w:asciiTheme="minorHAnsi" w:hAnsiTheme="minorHAnsi"/>
            <w:noProof/>
            <w:webHidden/>
          </w:rPr>
          <w:fldChar w:fldCharType="end"/>
        </w:r>
      </w:hyperlink>
    </w:p>
    <w:p w:rsidR="0043334F" w:rsidRPr="00735636" w:rsidRDefault="00C91A1D">
      <w:pPr>
        <w:pStyle w:val="TOC3"/>
        <w:tabs>
          <w:tab w:val="right" w:pos="9062"/>
        </w:tabs>
        <w:rPr>
          <w:rFonts w:asciiTheme="minorHAnsi" w:eastAsiaTheme="minorEastAsia" w:hAnsiTheme="minorHAnsi" w:cstheme="minorBidi"/>
          <w:noProof/>
          <w:sz w:val="22"/>
          <w:szCs w:val="22"/>
          <w:lang w:val="hr-HR" w:eastAsia="hr-HR"/>
        </w:rPr>
      </w:pPr>
      <w:hyperlink w:anchor="_Toc373137868" w:history="1">
        <w:r w:rsidR="0043334F" w:rsidRPr="00735636">
          <w:rPr>
            <w:rStyle w:val="Hyperlink"/>
            <w:rFonts w:asciiTheme="minorHAnsi" w:hAnsiTheme="minorHAnsi"/>
            <w:noProof/>
          </w:rPr>
          <w:t>3.2.</w:t>
        </w:r>
        <w:r w:rsidR="00177115">
          <w:rPr>
            <w:rStyle w:val="Hyperlink"/>
            <w:rFonts w:asciiTheme="minorHAnsi" w:hAnsiTheme="minorHAnsi"/>
            <w:noProof/>
          </w:rPr>
          <w:t xml:space="preserve">1 IZRADA I PROVEDBA </w:t>
        </w:r>
        <w:r w:rsidR="00177115" w:rsidRPr="005F07EA">
          <w:rPr>
            <w:rStyle w:val="Hyperlink"/>
            <w:rFonts w:asciiTheme="minorHAnsi" w:hAnsiTheme="minorHAnsi"/>
            <w:noProof/>
            <w:color w:val="auto"/>
          </w:rPr>
          <w:t>KOMUNIKACIJ</w:t>
        </w:r>
        <w:r w:rsidR="0043334F" w:rsidRPr="005F07EA">
          <w:rPr>
            <w:rStyle w:val="Hyperlink"/>
            <w:rFonts w:asciiTheme="minorHAnsi" w:hAnsiTheme="minorHAnsi"/>
            <w:noProof/>
            <w:color w:val="auto"/>
          </w:rPr>
          <w:t>SKE</w:t>
        </w:r>
        <w:r w:rsidR="0043334F" w:rsidRPr="00735636">
          <w:rPr>
            <w:rStyle w:val="Hyperlink"/>
            <w:rFonts w:asciiTheme="minorHAnsi" w:hAnsiTheme="minorHAnsi"/>
            <w:noProof/>
          </w:rPr>
          <w:t xml:space="preserve"> STRATEGIJE ZA POTICANJE INVESTICIJA</w:t>
        </w:r>
        <w:r w:rsidR="0043334F" w:rsidRPr="00735636">
          <w:rPr>
            <w:rFonts w:asciiTheme="minorHAnsi" w:hAnsiTheme="minorHAnsi"/>
            <w:noProof/>
            <w:webHidden/>
          </w:rPr>
          <w:tab/>
        </w:r>
        <w:r w:rsidR="00935CB0" w:rsidRPr="00735636">
          <w:rPr>
            <w:rFonts w:asciiTheme="minorHAnsi" w:hAnsiTheme="minorHAnsi"/>
            <w:noProof/>
            <w:webHidden/>
          </w:rPr>
          <w:fldChar w:fldCharType="begin"/>
        </w:r>
        <w:r w:rsidR="0043334F" w:rsidRPr="00735636">
          <w:rPr>
            <w:rFonts w:asciiTheme="minorHAnsi" w:hAnsiTheme="minorHAnsi"/>
            <w:noProof/>
            <w:webHidden/>
          </w:rPr>
          <w:instrText xml:space="preserve"> PAGEREF _Toc373137868 \h </w:instrText>
        </w:r>
        <w:r w:rsidR="00935CB0" w:rsidRPr="00735636">
          <w:rPr>
            <w:rFonts w:asciiTheme="minorHAnsi" w:hAnsiTheme="minorHAnsi"/>
            <w:noProof/>
            <w:webHidden/>
          </w:rPr>
        </w:r>
        <w:r w:rsidR="00935CB0" w:rsidRPr="00735636">
          <w:rPr>
            <w:rFonts w:asciiTheme="minorHAnsi" w:hAnsiTheme="minorHAnsi"/>
            <w:noProof/>
            <w:webHidden/>
          </w:rPr>
          <w:fldChar w:fldCharType="separate"/>
        </w:r>
        <w:r w:rsidR="00501FF2">
          <w:rPr>
            <w:rFonts w:asciiTheme="minorHAnsi" w:hAnsiTheme="minorHAnsi"/>
            <w:noProof/>
            <w:webHidden/>
          </w:rPr>
          <w:t>39</w:t>
        </w:r>
        <w:r w:rsidR="00935CB0" w:rsidRPr="00735636">
          <w:rPr>
            <w:rFonts w:asciiTheme="minorHAnsi" w:hAnsiTheme="minorHAnsi"/>
            <w:noProof/>
            <w:webHidden/>
          </w:rPr>
          <w:fldChar w:fldCharType="end"/>
        </w:r>
      </w:hyperlink>
    </w:p>
    <w:p w:rsidR="0043334F" w:rsidRPr="00735636" w:rsidRDefault="00C91A1D">
      <w:pPr>
        <w:pStyle w:val="TOC3"/>
        <w:tabs>
          <w:tab w:val="right" w:pos="9062"/>
        </w:tabs>
        <w:rPr>
          <w:rFonts w:asciiTheme="minorHAnsi" w:eastAsiaTheme="minorEastAsia" w:hAnsiTheme="minorHAnsi" w:cstheme="minorBidi"/>
          <w:noProof/>
          <w:sz w:val="22"/>
          <w:szCs w:val="22"/>
          <w:lang w:val="hr-HR" w:eastAsia="hr-HR"/>
        </w:rPr>
      </w:pPr>
      <w:hyperlink w:anchor="_Toc373137869" w:history="1">
        <w:r w:rsidR="0043334F" w:rsidRPr="00735636">
          <w:rPr>
            <w:rStyle w:val="Hyperlink"/>
            <w:rFonts w:asciiTheme="minorHAnsi" w:hAnsiTheme="minorHAnsi"/>
            <w:noProof/>
          </w:rPr>
          <w:t>3.2.2 IZRADA HRVATSKOG „PAKETA PREDNOSTI“ I INVESTICIJSKOG PROFILA ZEMLJE PO SEKTORIMA</w:t>
        </w:r>
        <w:r w:rsidR="0043334F" w:rsidRPr="00735636">
          <w:rPr>
            <w:rFonts w:asciiTheme="minorHAnsi" w:hAnsiTheme="minorHAnsi"/>
            <w:noProof/>
            <w:webHidden/>
          </w:rPr>
          <w:tab/>
        </w:r>
        <w:r w:rsidR="00935CB0" w:rsidRPr="00735636">
          <w:rPr>
            <w:rFonts w:asciiTheme="minorHAnsi" w:hAnsiTheme="minorHAnsi"/>
            <w:noProof/>
            <w:webHidden/>
          </w:rPr>
          <w:fldChar w:fldCharType="begin"/>
        </w:r>
        <w:r w:rsidR="0043334F" w:rsidRPr="00735636">
          <w:rPr>
            <w:rFonts w:asciiTheme="minorHAnsi" w:hAnsiTheme="minorHAnsi"/>
            <w:noProof/>
            <w:webHidden/>
          </w:rPr>
          <w:instrText xml:space="preserve"> PAGEREF _Toc373137869 \h </w:instrText>
        </w:r>
        <w:r w:rsidR="00935CB0" w:rsidRPr="00735636">
          <w:rPr>
            <w:rFonts w:asciiTheme="minorHAnsi" w:hAnsiTheme="minorHAnsi"/>
            <w:noProof/>
            <w:webHidden/>
          </w:rPr>
        </w:r>
        <w:r w:rsidR="00935CB0" w:rsidRPr="00735636">
          <w:rPr>
            <w:rFonts w:asciiTheme="minorHAnsi" w:hAnsiTheme="minorHAnsi"/>
            <w:noProof/>
            <w:webHidden/>
          </w:rPr>
          <w:fldChar w:fldCharType="separate"/>
        </w:r>
        <w:r w:rsidR="00501FF2">
          <w:rPr>
            <w:rFonts w:asciiTheme="minorHAnsi" w:hAnsiTheme="minorHAnsi"/>
            <w:noProof/>
            <w:webHidden/>
          </w:rPr>
          <w:t>39</w:t>
        </w:r>
        <w:r w:rsidR="00935CB0" w:rsidRPr="00735636">
          <w:rPr>
            <w:rFonts w:asciiTheme="minorHAnsi" w:hAnsiTheme="minorHAnsi"/>
            <w:noProof/>
            <w:webHidden/>
          </w:rPr>
          <w:fldChar w:fldCharType="end"/>
        </w:r>
      </w:hyperlink>
    </w:p>
    <w:p w:rsidR="0043334F" w:rsidRPr="00735636" w:rsidRDefault="00C91A1D">
      <w:pPr>
        <w:pStyle w:val="TOC3"/>
        <w:tabs>
          <w:tab w:val="right" w:pos="9062"/>
        </w:tabs>
        <w:rPr>
          <w:rFonts w:asciiTheme="minorHAnsi" w:eastAsiaTheme="minorEastAsia" w:hAnsiTheme="minorHAnsi" w:cstheme="minorBidi"/>
          <w:noProof/>
          <w:sz w:val="22"/>
          <w:szCs w:val="22"/>
          <w:lang w:val="hr-HR" w:eastAsia="hr-HR"/>
        </w:rPr>
      </w:pPr>
      <w:hyperlink w:anchor="_Toc373137870" w:history="1">
        <w:r w:rsidR="0043334F" w:rsidRPr="00735636">
          <w:rPr>
            <w:rStyle w:val="Hyperlink"/>
            <w:rFonts w:asciiTheme="minorHAnsi" w:hAnsiTheme="minorHAnsi"/>
            <w:noProof/>
          </w:rPr>
          <w:t>3.2.3 SEKTORSKO BRENDIRANJE I BRENDIRANJE REGIJA I VELIKIH GRADOVA</w:t>
        </w:r>
        <w:r w:rsidR="0043334F" w:rsidRPr="00735636">
          <w:rPr>
            <w:rFonts w:asciiTheme="minorHAnsi" w:hAnsiTheme="minorHAnsi"/>
            <w:noProof/>
            <w:webHidden/>
          </w:rPr>
          <w:tab/>
        </w:r>
        <w:r w:rsidR="00935CB0" w:rsidRPr="00735636">
          <w:rPr>
            <w:rFonts w:asciiTheme="minorHAnsi" w:hAnsiTheme="minorHAnsi"/>
            <w:noProof/>
            <w:webHidden/>
          </w:rPr>
          <w:fldChar w:fldCharType="begin"/>
        </w:r>
        <w:r w:rsidR="0043334F" w:rsidRPr="00735636">
          <w:rPr>
            <w:rFonts w:asciiTheme="minorHAnsi" w:hAnsiTheme="minorHAnsi"/>
            <w:noProof/>
            <w:webHidden/>
          </w:rPr>
          <w:instrText xml:space="preserve"> PAGEREF _Toc373137870 \h </w:instrText>
        </w:r>
        <w:r w:rsidR="00935CB0" w:rsidRPr="00735636">
          <w:rPr>
            <w:rFonts w:asciiTheme="minorHAnsi" w:hAnsiTheme="minorHAnsi"/>
            <w:noProof/>
            <w:webHidden/>
          </w:rPr>
        </w:r>
        <w:r w:rsidR="00935CB0" w:rsidRPr="00735636">
          <w:rPr>
            <w:rFonts w:asciiTheme="minorHAnsi" w:hAnsiTheme="minorHAnsi"/>
            <w:noProof/>
            <w:webHidden/>
          </w:rPr>
          <w:fldChar w:fldCharType="separate"/>
        </w:r>
        <w:r w:rsidR="00501FF2">
          <w:rPr>
            <w:rFonts w:asciiTheme="minorHAnsi" w:hAnsiTheme="minorHAnsi"/>
            <w:noProof/>
            <w:webHidden/>
          </w:rPr>
          <w:t>40</w:t>
        </w:r>
        <w:r w:rsidR="00935CB0" w:rsidRPr="00735636">
          <w:rPr>
            <w:rFonts w:asciiTheme="minorHAnsi" w:hAnsiTheme="minorHAnsi"/>
            <w:noProof/>
            <w:webHidden/>
          </w:rPr>
          <w:fldChar w:fldCharType="end"/>
        </w:r>
      </w:hyperlink>
    </w:p>
    <w:p w:rsidR="0043334F" w:rsidRPr="00735636" w:rsidRDefault="00C91A1D">
      <w:pPr>
        <w:pStyle w:val="TOC3"/>
        <w:tabs>
          <w:tab w:val="right" w:pos="9062"/>
        </w:tabs>
        <w:rPr>
          <w:rFonts w:asciiTheme="minorHAnsi" w:eastAsiaTheme="minorEastAsia" w:hAnsiTheme="minorHAnsi" w:cstheme="minorBidi"/>
          <w:noProof/>
          <w:sz w:val="22"/>
          <w:szCs w:val="22"/>
          <w:lang w:val="hr-HR" w:eastAsia="hr-HR"/>
        </w:rPr>
      </w:pPr>
      <w:hyperlink w:anchor="_Toc373137871" w:history="1">
        <w:r w:rsidR="0043334F" w:rsidRPr="00735636">
          <w:rPr>
            <w:rStyle w:val="Hyperlink"/>
            <w:rFonts w:asciiTheme="minorHAnsi" w:hAnsiTheme="minorHAnsi"/>
            <w:noProof/>
          </w:rPr>
          <w:t>3.2.4 JAČANJE ULOGE GOSPODARSKE DIPLOMACIJE U PRIVLAČENJU INVESTICIJA</w:t>
        </w:r>
        <w:r w:rsidR="0043334F" w:rsidRPr="00735636">
          <w:rPr>
            <w:rFonts w:asciiTheme="minorHAnsi" w:hAnsiTheme="minorHAnsi"/>
            <w:noProof/>
            <w:webHidden/>
          </w:rPr>
          <w:tab/>
        </w:r>
        <w:r w:rsidR="00935CB0" w:rsidRPr="00735636">
          <w:rPr>
            <w:rFonts w:asciiTheme="minorHAnsi" w:hAnsiTheme="minorHAnsi"/>
            <w:noProof/>
            <w:webHidden/>
          </w:rPr>
          <w:fldChar w:fldCharType="begin"/>
        </w:r>
        <w:r w:rsidR="0043334F" w:rsidRPr="00735636">
          <w:rPr>
            <w:rFonts w:asciiTheme="minorHAnsi" w:hAnsiTheme="minorHAnsi"/>
            <w:noProof/>
            <w:webHidden/>
          </w:rPr>
          <w:instrText xml:space="preserve"> PAGEREF _Toc373137871 \h </w:instrText>
        </w:r>
        <w:r w:rsidR="00935CB0" w:rsidRPr="00735636">
          <w:rPr>
            <w:rFonts w:asciiTheme="minorHAnsi" w:hAnsiTheme="minorHAnsi"/>
            <w:noProof/>
            <w:webHidden/>
          </w:rPr>
        </w:r>
        <w:r w:rsidR="00935CB0" w:rsidRPr="00735636">
          <w:rPr>
            <w:rFonts w:asciiTheme="minorHAnsi" w:hAnsiTheme="minorHAnsi"/>
            <w:noProof/>
            <w:webHidden/>
          </w:rPr>
          <w:fldChar w:fldCharType="separate"/>
        </w:r>
        <w:r w:rsidR="00501FF2">
          <w:rPr>
            <w:rFonts w:asciiTheme="minorHAnsi" w:hAnsiTheme="minorHAnsi"/>
            <w:noProof/>
            <w:webHidden/>
          </w:rPr>
          <w:t>41</w:t>
        </w:r>
        <w:r w:rsidR="00935CB0" w:rsidRPr="00735636">
          <w:rPr>
            <w:rFonts w:asciiTheme="minorHAnsi" w:hAnsiTheme="minorHAnsi"/>
            <w:noProof/>
            <w:webHidden/>
          </w:rPr>
          <w:fldChar w:fldCharType="end"/>
        </w:r>
      </w:hyperlink>
    </w:p>
    <w:p w:rsidR="0043334F" w:rsidRPr="00735636" w:rsidRDefault="00C91A1D">
      <w:pPr>
        <w:pStyle w:val="TOC3"/>
        <w:tabs>
          <w:tab w:val="right" w:pos="9062"/>
        </w:tabs>
        <w:rPr>
          <w:rFonts w:asciiTheme="minorHAnsi" w:eastAsiaTheme="minorEastAsia" w:hAnsiTheme="minorHAnsi" w:cstheme="minorBidi"/>
          <w:noProof/>
          <w:sz w:val="22"/>
          <w:szCs w:val="22"/>
          <w:lang w:val="hr-HR" w:eastAsia="hr-HR"/>
        </w:rPr>
      </w:pPr>
      <w:hyperlink w:anchor="_Toc373137872" w:history="1">
        <w:r w:rsidR="0043334F" w:rsidRPr="00735636">
          <w:rPr>
            <w:rStyle w:val="Hyperlink"/>
            <w:rFonts w:asciiTheme="minorHAnsi" w:hAnsiTheme="minorHAnsi"/>
            <w:noProof/>
          </w:rPr>
          <w:t>3.3 CILJANO PRIVLAČENJE INVESTICIJA</w:t>
        </w:r>
        <w:r w:rsidR="0043334F" w:rsidRPr="00735636">
          <w:rPr>
            <w:rFonts w:asciiTheme="minorHAnsi" w:hAnsiTheme="minorHAnsi"/>
            <w:noProof/>
            <w:webHidden/>
          </w:rPr>
          <w:tab/>
        </w:r>
        <w:r w:rsidR="00935CB0" w:rsidRPr="00735636">
          <w:rPr>
            <w:rFonts w:asciiTheme="minorHAnsi" w:hAnsiTheme="minorHAnsi"/>
            <w:noProof/>
            <w:webHidden/>
          </w:rPr>
          <w:fldChar w:fldCharType="begin"/>
        </w:r>
        <w:r w:rsidR="0043334F" w:rsidRPr="00735636">
          <w:rPr>
            <w:rFonts w:asciiTheme="minorHAnsi" w:hAnsiTheme="minorHAnsi"/>
            <w:noProof/>
            <w:webHidden/>
          </w:rPr>
          <w:instrText xml:space="preserve"> PAGEREF _Toc373137872 \h </w:instrText>
        </w:r>
        <w:r w:rsidR="00935CB0" w:rsidRPr="00735636">
          <w:rPr>
            <w:rFonts w:asciiTheme="minorHAnsi" w:hAnsiTheme="minorHAnsi"/>
            <w:noProof/>
            <w:webHidden/>
          </w:rPr>
        </w:r>
        <w:r w:rsidR="00935CB0" w:rsidRPr="00735636">
          <w:rPr>
            <w:rFonts w:asciiTheme="minorHAnsi" w:hAnsiTheme="minorHAnsi"/>
            <w:noProof/>
            <w:webHidden/>
          </w:rPr>
          <w:fldChar w:fldCharType="separate"/>
        </w:r>
        <w:r w:rsidR="00501FF2">
          <w:rPr>
            <w:rFonts w:asciiTheme="minorHAnsi" w:hAnsiTheme="minorHAnsi"/>
            <w:noProof/>
            <w:webHidden/>
          </w:rPr>
          <w:t>41</w:t>
        </w:r>
        <w:r w:rsidR="00935CB0" w:rsidRPr="00735636">
          <w:rPr>
            <w:rFonts w:asciiTheme="minorHAnsi" w:hAnsiTheme="minorHAnsi"/>
            <w:noProof/>
            <w:webHidden/>
          </w:rPr>
          <w:fldChar w:fldCharType="end"/>
        </w:r>
      </w:hyperlink>
    </w:p>
    <w:p w:rsidR="0043334F" w:rsidRPr="00735636" w:rsidRDefault="00C91A1D">
      <w:pPr>
        <w:pStyle w:val="TOC3"/>
        <w:tabs>
          <w:tab w:val="right" w:pos="9062"/>
        </w:tabs>
        <w:rPr>
          <w:rFonts w:asciiTheme="minorHAnsi" w:eastAsiaTheme="minorEastAsia" w:hAnsiTheme="minorHAnsi" w:cstheme="minorBidi"/>
          <w:noProof/>
          <w:sz w:val="22"/>
          <w:szCs w:val="22"/>
          <w:lang w:val="hr-HR" w:eastAsia="hr-HR"/>
        </w:rPr>
      </w:pPr>
      <w:hyperlink w:anchor="_Toc373137873" w:history="1">
        <w:r w:rsidR="0043334F" w:rsidRPr="00735636">
          <w:rPr>
            <w:rStyle w:val="Hyperlink"/>
            <w:rFonts w:asciiTheme="minorHAnsi" w:hAnsiTheme="minorHAnsi"/>
            <w:noProof/>
          </w:rPr>
          <w:t>3.3.1. IZRADA I PR</w:t>
        </w:r>
        <w:r w:rsidR="002954F0" w:rsidRPr="00735636">
          <w:rPr>
            <w:rStyle w:val="Hyperlink"/>
            <w:rFonts w:asciiTheme="minorHAnsi" w:hAnsiTheme="minorHAnsi"/>
            <w:noProof/>
          </w:rPr>
          <w:t xml:space="preserve">OVEDBA PLANA PRIVLAČENJA </w:t>
        </w:r>
        <w:r w:rsidR="0043334F" w:rsidRPr="00735636">
          <w:rPr>
            <w:rStyle w:val="Hyperlink"/>
            <w:rFonts w:asciiTheme="minorHAnsi" w:hAnsiTheme="minorHAnsi"/>
            <w:i/>
            <w:noProof/>
          </w:rPr>
          <w:t>GREENFIELD</w:t>
        </w:r>
        <w:r w:rsidR="0043334F" w:rsidRPr="00735636">
          <w:rPr>
            <w:rStyle w:val="Hyperlink"/>
            <w:rFonts w:asciiTheme="minorHAnsi" w:hAnsiTheme="minorHAnsi"/>
            <w:noProof/>
          </w:rPr>
          <w:t xml:space="preserve"> INVESTICIJA U IZVOZNO- ORIJENTIRANE SEKTORE I TURIZAM</w:t>
        </w:r>
        <w:r w:rsidR="0043334F" w:rsidRPr="00735636">
          <w:rPr>
            <w:rFonts w:asciiTheme="minorHAnsi" w:hAnsiTheme="minorHAnsi"/>
            <w:noProof/>
            <w:webHidden/>
          </w:rPr>
          <w:tab/>
        </w:r>
        <w:r w:rsidR="00935CB0" w:rsidRPr="00735636">
          <w:rPr>
            <w:rFonts w:asciiTheme="minorHAnsi" w:hAnsiTheme="minorHAnsi"/>
            <w:noProof/>
            <w:webHidden/>
          </w:rPr>
          <w:fldChar w:fldCharType="begin"/>
        </w:r>
        <w:r w:rsidR="0043334F" w:rsidRPr="00735636">
          <w:rPr>
            <w:rFonts w:asciiTheme="minorHAnsi" w:hAnsiTheme="minorHAnsi"/>
            <w:noProof/>
            <w:webHidden/>
          </w:rPr>
          <w:instrText xml:space="preserve"> PAGEREF _Toc373137873 \h </w:instrText>
        </w:r>
        <w:r w:rsidR="00935CB0" w:rsidRPr="00735636">
          <w:rPr>
            <w:rFonts w:asciiTheme="minorHAnsi" w:hAnsiTheme="minorHAnsi"/>
            <w:noProof/>
            <w:webHidden/>
          </w:rPr>
        </w:r>
        <w:r w:rsidR="00935CB0" w:rsidRPr="00735636">
          <w:rPr>
            <w:rFonts w:asciiTheme="minorHAnsi" w:hAnsiTheme="minorHAnsi"/>
            <w:noProof/>
            <w:webHidden/>
          </w:rPr>
          <w:fldChar w:fldCharType="separate"/>
        </w:r>
        <w:r w:rsidR="00501FF2">
          <w:rPr>
            <w:rFonts w:asciiTheme="minorHAnsi" w:hAnsiTheme="minorHAnsi"/>
            <w:noProof/>
            <w:webHidden/>
          </w:rPr>
          <w:t>43</w:t>
        </w:r>
        <w:r w:rsidR="00935CB0" w:rsidRPr="00735636">
          <w:rPr>
            <w:rFonts w:asciiTheme="minorHAnsi" w:hAnsiTheme="minorHAnsi"/>
            <w:noProof/>
            <w:webHidden/>
          </w:rPr>
          <w:fldChar w:fldCharType="end"/>
        </w:r>
      </w:hyperlink>
    </w:p>
    <w:p w:rsidR="0043334F" w:rsidRPr="00735636" w:rsidRDefault="00C91A1D">
      <w:pPr>
        <w:pStyle w:val="TOC3"/>
        <w:tabs>
          <w:tab w:val="right" w:pos="9062"/>
        </w:tabs>
        <w:rPr>
          <w:rFonts w:asciiTheme="minorHAnsi" w:eastAsiaTheme="minorEastAsia" w:hAnsiTheme="minorHAnsi" w:cstheme="minorBidi"/>
          <w:noProof/>
          <w:sz w:val="22"/>
          <w:szCs w:val="22"/>
          <w:lang w:val="hr-HR" w:eastAsia="hr-HR"/>
        </w:rPr>
      </w:pPr>
      <w:hyperlink w:anchor="_Toc373137874" w:history="1">
        <w:r w:rsidR="0043334F" w:rsidRPr="00735636">
          <w:rPr>
            <w:rStyle w:val="Hyperlink"/>
            <w:rFonts w:asciiTheme="minorHAnsi" w:hAnsiTheme="minorHAnsi"/>
            <w:noProof/>
          </w:rPr>
          <w:t xml:space="preserve">3.3.2 IZRADA I PROVEDBA PLANA PRIVLAČENJA </w:t>
        </w:r>
        <w:r w:rsidR="0043334F" w:rsidRPr="00735636">
          <w:rPr>
            <w:rStyle w:val="Hyperlink"/>
            <w:rFonts w:asciiTheme="minorHAnsi" w:hAnsiTheme="minorHAnsi"/>
            <w:i/>
            <w:noProof/>
          </w:rPr>
          <w:t>GREENFIELD</w:t>
        </w:r>
        <w:r w:rsidR="0043334F" w:rsidRPr="00735636">
          <w:rPr>
            <w:rStyle w:val="Hyperlink"/>
            <w:rFonts w:asciiTheme="minorHAnsi" w:hAnsiTheme="minorHAnsi"/>
            <w:noProof/>
          </w:rPr>
          <w:t xml:space="preserve"> INVESTICIJA U INDUSTRIJE U NASTAJANJU I VISOKO-TEHNOLOŠKE SEKTORE</w:t>
        </w:r>
        <w:r w:rsidR="0043334F" w:rsidRPr="00735636">
          <w:rPr>
            <w:rFonts w:asciiTheme="minorHAnsi" w:hAnsiTheme="minorHAnsi"/>
            <w:noProof/>
            <w:webHidden/>
          </w:rPr>
          <w:tab/>
        </w:r>
        <w:r w:rsidR="00935CB0" w:rsidRPr="00735636">
          <w:rPr>
            <w:rFonts w:asciiTheme="minorHAnsi" w:hAnsiTheme="minorHAnsi"/>
            <w:noProof/>
            <w:webHidden/>
          </w:rPr>
          <w:fldChar w:fldCharType="begin"/>
        </w:r>
        <w:r w:rsidR="0043334F" w:rsidRPr="00735636">
          <w:rPr>
            <w:rFonts w:asciiTheme="minorHAnsi" w:hAnsiTheme="minorHAnsi"/>
            <w:noProof/>
            <w:webHidden/>
          </w:rPr>
          <w:instrText xml:space="preserve"> PAGEREF _Toc373137874 \h </w:instrText>
        </w:r>
        <w:r w:rsidR="00935CB0" w:rsidRPr="00735636">
          <w:rPr>
            <w:rFonts w:asciiTheme="minorHAnsi" w:hAnsiTheme="minorHAnsi"/>
            <w:noProof/>
            <w:webHidden/>
          </w:rPr>
        </w:r>
        <w:r w:rsidR="00935CB0" w:rsidRPr="00735636">
          <w:rPr>
            <w:rFonts w:asciiTheme="minorHAnsi" w:hAnsiTheme="minorHAnsi"/>
            <w:noProof/>
            <w:webHidden/>
          </w:rPr>
          <w:fldChar w:fldCharType="separate"/>
        </w:r>
        <w:r w:rsidR="00501FF2">
          <w:rPr>
            <w:rFonts w:asciiTheme="minorHAnsi" w:hAnsiTheme="minorHAnsi"/>
            <w:noProof/>
            <w:webHidden/>
          </w:rPr>
          <w:t>44</w:t>
        </w:r>
        <w:r w:rsidR="00935CB0" w:rsidRPr="00735636">
          <w:rPr>
            <w:rFonts w:asciiTheme="minorHAnsi" w:hAnsiTheme="minorHAnsi"/>
            <w:noProof/>
            <w:webHidden/>
          </w:rPr>
          <w:fldChar w:fldCharType="end"/>
        </w:r>
      </w:hyperlink>
    </w:p>
    <w:p w:rsidR="005E1675" w:rsidRDefault="00C91A1D" w:rsidP="005E1675">
      <w:pPr>
        <w:pStyle w:val="TOC3"/>
        <w:tabs>
          <w:tab w:val="right" w:pos="9062"/>
        </w:tabs>
        <w:rPr>
          <w:rFonts w:asciiTheme="minorHAnsi" w:eastAsiaTheme="minorEastAsia" w:hAnsiTheme="minorHAnsi" w:cstheme="minorBidi"/>
          <w:noProof/>
          <w:sz w:val="22"/>
          <w:szCs w:val="22"/>
          <w:lang w:val="hr-HR" w:eastAsia="hr-HR"/>
        </w:rPr>
      </w:pPr>
      <w:hyperlink w:anchor="_Toc373137875" w:history="1">
        <w:r w:rsidR="0043334F" w:rsidRPr="00735636">
          <w:rPr>
            <w:rStyle w:val="Hyperlink"/>
            <w:rFonts w:asciiTheme="minorHAnsi" w:hAnsiTheme="minorHAnsi"/>
            <w:noProof/>
          </w:rPr>
          <w:t xml:space="preserve">3.3.3 IZRADA I PROVEDBA PLANA PRIVLAČENJA </w:t>
        </w:r>
        <w:r w:rsidR="0043334F" w:rsidRPr="00735636">
          <w:rPr>
            <w:rStyle w:val="Hyperlink"/>
            <w:rFonts w:asciiTheme="minorHAnsi" w:hAnsiTheme="minorHAnsi"/>
            <w:i/>
            <w:noProof/>
          </w:rPr>
          <w:t>GREENFIELD</w:t>
        </w:r>
        <w:r w:rsidR="0043334F" w:rsidRPr="00735636">
          <w:rPr>
            <w:rStyle w:val="Hyperlink"/>
            <w:rFonts w:asciiTheme="minorHAnsi" w:hAnsiTheme="minorHAnsi"/>
            <w:noProof/>
          </w:rPr>
          <w:t xml:space="preserve"> INVESTICIJA U POTPOMOGNUTA PODRUČJA RH</w:t>
        </w:r>
        <w:r w:rsidR="0043334F" w:rsidRPr="00735636">
          <w:rPr>
            <w:rFonts w:asciiTheme="minorHAnsi" w:hAnsiTheme="minorHAnsi"/>
            <w:noProof/>
            <w:webHidden/>
          </w:rPr>
          <w:tab/>
        </w:r>
        <w:r w:rsidR="00935CB0" w:rsidRPr="00735636">
          <w:rPr>
            <w:rFonts w:asciiTheme="minorHAnsi" w:hAnsiTheme="minorHAnsi"/>
            <w:noProof/>
            <w:webHidden/>
          </w:rPr>
          <w:fldChar w:fldCharType="begin"/>
        </w:r>
        <w:r w:rsidR="0043334F" w:rsidRPr="00735636">
          <w:rPr>
            <w:rFonts w:asciiTheme="minorHAnsi" w:hAnsiTheme="minorHAnsi"/>
            <w:noProof/>
            <w:webHidden/>
          </w:rPr>
          <w:instrText xml:space="preserve"> PAGEREF _Toc373137875 \h </w:instrText>
        </w:r>
        <w:r w:rsidR="00935CB0" w:rsidRPr="00735636">
          <w:rPr>
            <w:rFonts w:asciiTheme="minorHAnsi" w:hAnsiTheme="minorHAnsi"/>
            <w:noProof/>
            <w:webHidden/>
          </w:rPr>
        </w:r>
        <w:r w:rsidR="00935CB0" w:rsidRPr="00735636">
          <w:rPr>
            <w:rFonts w:asciiTheme="minorHAnsi" w:hAnsiTheme="minorHAnsi"/>
            <w:noProof/>
            <w:webHidden/>
          </w:rPr>
          <w:fldChar w:fldCharType="separate"/>
        </w:r>
        <w:r w:rsidR="00501FF2">
          <w:rPr>
            <w:rFonts w:asciiTheme="minorHAnsi" w:hAnsiTheme="minorHAnsi"/>
            <w:noProof/>
            <w:webHidden/>
          </w:rPr>
          <w:t>46</w:t>
        </w:r>
        <w:r w:rsidR="00935CB0" w:rsidRPr="00735636">
          <w:rPr>
            <w:rFonts w:asciiTheme="minorHAnsi" w:hAnsiTheme="minorHAnsi"/>
            <w:noProof/>
            <w:webHidden/>
          </w:rPr>
          <w:fldChar w:fldCharType="end"/>
        </w:r>
      </w:hyperlink>
    </w:p>
    <w:p w:rsidR="0043334F" w:rsidRPr="00735636" w:rsidRDefault="00C91A1D" w:rsidP="005E1675">
      <w:pPr>
        <w:pStyle w:val="TOC3"/>
        <w:tabs>
          <w:tab w:val="right" w:pos="9062"/>
        </w:tabs>
        <w:rPr>
          <w:rFonts w:asciiTheme="minorHAnsi" w:eastAsiaTheme="minorEastAsia" w:hAnsiTheme="minorHAnsi" w:cstheme="minorBidi"/>
          <w:noProof/>
          <w:sz w:val="22"/>
          <w:szCs w:val="22"/>
          <w:lang w:val="hr-HR" w:eastAsia="hr-HR"/>
        </w:rPr>
      </w:pPr>
      <w:hyperlink w:anchor="_Toc373137876" w:history="1">
        <w:r w:rsidR="0043334F" w:rsidRPr="00735636">
          <w:rPr>
            <w:rStyle w:val="Hyperlink"/>
            <w:rFonts w:asciiTheme="minorHAnsi" w:hAnsiTheme="minorHAnsi"/>
            <w:noProof/>
          </w:rPr>
          <w:t>3.3.4 IZRADA I PROVEDBA PLANA REALIZACIJE</w:t>
        </w:r>
        <w:r w:rsidR="0043334F" w:rsidRPr="00735636">
          <w:rPr>
            <w:rStyle w:val="Hyperlink"/>
            <w:rFonts w:asciiTheme="minorHAnsi" w:hAnsiTheme="minorHAnsi"/>
            <w:i/>
            <w:noProof/>
          </w:rPr>
          <w:t xml:space="preserve"> BROWNFIELD</w:t>
        </w:r>
        <w:r w:rsidR="0043334F" w:rsidRPr="00735636">
          <w:rPr>
            <w:rStyle w:val="Hyperlink"/>
            <w:rFonts w:asciiTheme="minorHAnsi" w:hAnsiTheme="minorHAnsi"/>
            <w:noProof/>
          </w:rPr>
          <w:t xml:space="preserve"> INVESTICIJA PUTEM STAVLJANJA U FUNKCIJU DRŽAVNE IMOVINE</w:t>
        </w:r>
        <w:r w:rsidR="0043334F" w:rsidRPr="00735636">
          <w:rPr>
            <w:rFonts w:asciiTheme="minorHAnsi" w:hAnsiTheme="minorHAnsi"/>
            <w:noProof/>
            <w:webHidden/>
          </w:rPr>
          <w:tab/>
        </w:r>
        <w:r w:rsidR="00935CB0" w:rsidRPr="00735636">
          <w:rPr>
            <w:rFonts w:asciiTheme="minorHAnsi" w:hAnsiTheme="minorHAnsi"/>
            <w:noProof/>
            <w:webHidden/>
          </w:rPr>
          <w:fldChar w:fldCharType="begin"/>
        </w:r>
        <w:r w:rsidR="0043334F" w:rsidRPr="00735636">
          <w:rPr>
            <w:rFonts w:asciiTheme="minorHAnsi" w:hAnsiTheme="minorHAnsi"/>
            <w:noProof/>
            <w:webHidden/>
          </w:rPr>
          <w:instrText xml:space="preserve"> PAGEREF _Toc373137876 \h </w:instrText>
        </w:r>
        <w:r w:rsidR="00935CB0" w:rsidRPr="00735636">
          <w:rPr>
            <w:rFonts w:asciiTheme="minorHAnsi" w:hAnsiTheme="minorHAnsi"/>
            <w:noProof/>
            <w:webHidden/>
          </w:rPr>
        </w:r>
        <w:r w:rsidR="00935CB0" w:rsidRPr="00735636">
          <w:rPr>
            <w:rFonts w:asciiTheme="minorHAnsi" w:hAnsiTheme="minorHAnsi"/>
            <w:noProof/>
            <w:webHidden/>
          </w:rPr>
          <w:fldChar w:fldCharType="separate"/>
        </w:r>
        <w:r w:rsidR="00501FF2">
          <w:rPr>
            <w:rFonts w:asciiTheme="minorHAnsi" w:hAnsiTheme="minorHAnsi"/>
            <w:noProof/>
            <w:webHidden/>
          </w:rPr>
          <w:t>47</w:t>
        </w:r>
        <w:r w:rsidR="00935CB0" w:rsidRPr="00735636">
          <w:rPr>
            <w:rFonts w:asciiTheme="minorHAnsi" w:hAnsiTheme="minorHAnsi"/>
            <w:noProof/>
            <w:webHidden/>
          </w:rPr>
          <w:fldChar w:fldCharType="end"/>
        </w:r>
      </w:hyperlink>
    </w:p>
    <w:p w:rsidR="0043334F" w:rsidRPr="00735636" w:rsidRDefault="00C91A1D">
      <w:pPr>
        <w:pStyle w:val="TOC3"/>
        <w:tabs>
          <w:tab w:val="right" w:pos="9062"/>
        </w:tabs>
        <w:rPr>
          <w:rFonts w:asciiTheme="minorHAnsi" w:eastAsiaTheme="minorEastAsia" w:hAnsiTheme="minorHAnsi" w:cstheme="minorBidi"/>
          <w:noProof/>
          <w:sz w:val="22"/>
          <w:szCs w:val="22"/>
          <w:lang w:val="hr-HR" w:eastAsia="hr-HR"/>
        </w:rPr>
      </w:pPr>
      <w:hyperlink w:anchor="_Toc373137877" w:history="1">
        <w:r w:rsidR="0043334F" w:rsidRPr="00735636">
          <w:rPr>
            <w:rStyle w:val="Hyperlink"/>
            <w:rFonts w:asciiTheme="minorHAnsi" w:hAnsiTheme="minorHAnsi"/>
            <w:noProof/>
          </w:rPr>
          <w:t>3.4  PRUŽANJE PODRŠKE REALIZACIJI INVESTICIJSKIH PROJEKATA</w:t>
        </w:r>
        <w:r w:rsidR="0043334F" w:rsidRPr="00735636">
          <w:rPr>
            <w:rFonts w:asciiTheme="minorHAnsi" w:hAnsiTheme="minorHAnsi"/>
            <w:noProof/>
            <w:webHidden/>
          </w:rPr>
          <w:tab/>
        </w:r>
        <w:r w:rsidR="00935CB0" w:rsidRPr="00735636">
          <w:rPr>
            <w:rFonts w:asciiTheme="minorHAnsi" w:hAnsiTheme="minorHAnsi"/>
            <w:noProof/>
            <w:webHidden/>
          </w:rPr>
          <w:fldChar w:fldCharType="begin"/>
        </w:r>
        <w:r w:rsidR="0043334F" w:rsidRPr="00735636">
          <w:rPr>
            <w:rFonts w:asciiTheme="minorHAnsi" w:hAnsiTheme="minorHAnsi"/>
            <w:noProof/>
            <w:webHidden/>
          </w:rPr>
          <w:instrText xml:space="preserve"> PAGEREF _Toc373137877 \h </w:instrText>
        </w:r>
        <w:r w:rsidR="00935CB0" w:rsidRPr="00735636">
          <w:rPr>
            <w:rFonts w:asciiTheme="minorHAnsi" w:hAnsiTheme="minorHAnsi"/>
            <w:noProof/>
            <w:webHidden/>
          </w:rPr>
        </w:r>
        <w:r w:rsidR="00935CB0" w:rsidRPr="00735636">
          <w:rPr>
            <w:rFonts w:asciiTheme="minorHAnsi" w:hAnsiTheme="minorHAnsi"/>
            <w:noProof/>
            <w:webHidden/>
          </w:rPr>
          <w:fldChar w:fldCharType="separate"/>
        </w:r>
        <w:r w:rsidR="00501FF2">
          <w:rPr>
            <w:rFonts w:asciiTheme="minorHAnsi" w:hAnsiTheme="minorHAnsi"/>
            <w:noProof/>
            <w:webHidden/>
          </w:rPr>
          <w:t>47</w:t>
        </w:r>
        <w:r w:rsidR="00935CB0" w:rsidRPr="00735636">
          <w:rPr>
            <w:rFonts w:asciiTheme="minorHAnsi" w:hAnsiTheme="minorHAnsi"/>
            <w:noProof/>
            <w:webHidden/>
          </w:rPr>
          <w:fldChar w:fldCharType="end"/>
        </w:r>
      </w:hyperlink>
    </w:p>
    <w:p w:rsidR="0043334F" w:rsidRPr="00735636" w:rsidRDefault="00C91A1D">
      <w:pPr>
        <w:pStyle w:val="TOC3"/>
        <w:tabs>
          <w:tab w:val="right" w:pos="9062"/>
        </w:tabs>
        <w:rPr>
          <w:rFonts w:asciiTheme="minorHAnsi" w:eastAsiaTheme="minorEastAsia" w:hAnsiTheme="minorHAnsi" w:cstheme="minorBidi"/>
          <w:noProof/>
          <w:sz w:val="22"/>
          <w:szCs w:val="22"/>
          <w:lang w:val="hr-HR" w:eastAsia="hr-HR"/>
        </w:rPr>
      </w:pPr>
      <w:hyperlink w:anchor="_Toc373137878" w:history="1">
        <w:r w:rsidR="0043334F" w:rsidRPr="00735636">
          <w:rPr>
            <w:rStyle w:val="Hyperlink"/>
            <w:rFonts w:asciiTheme="minorHAnsi" w:hAnsiTheme="minorHAnsi"/>
            <w:noProof/>
          </w:rPr>
          <w:t>3.4.1 PODRŠKA INVESTITORIMA U PRED-INVESTICIJSKOJ FAZI I U REALIZACIJI INVESTICIJSKIH PROJEKATA</w:t>
        </w:r>
        <w:r w:rsidR="0043334F" w:rsidRPr="00735636">
          <w:rPr>
            <w:rFonts w:asciiTheme="minorHAnsi" w:hAnsiTheme="minorHAnsi"/>
            <w:noProof/>
            <w:webHidden/>
          </w:rPr>
          <w:tab/>
        </w:r>
        <w:r w:rsidR="00935CB0" w:rsidRPr="00735636">
          <w:rPr>
            <w:rFonts w:asciiTheme="minorHAnsi" w:hAnsiTheme="minorHAnsi"/>
            <w:noProof/>
            <w:webHidden/>
          </w:rPr>
          <w:fldChar w:fldCharType="begin"/>
        </w:r>
        <w:r w:rsidR="0043334F" w:rsidRPr="00735636">
          <w:rPr>
            <w:rFonts w:asciiTheme="minorHAnsi" w:hAnsiTheme="minorHAnsi"/>
            <w:noProof/>
            <w:webHidden/>
          </w:rPr>
          <w:instrText xml:space="preserve"> PAGEREF _Toc373137878 \h </w:instrText>
        </w:r>
        <w:r w:rsidR="00935CB0" w:rsidRPr="00735636">
          <w:rPr>
            <w:rFonts w:asciiTheme="minorHAnsi" w:hAnsiTheme="minorHAnsi"/>
            <w:noProof/>
            <w:webHidden/>
          </w:rPr>
        </w:r>
        <w:r w:rsidR="00935CB0" w:rsidRPr="00735636">
          <w:rPr>
            <w:rFonts w:asciiTheme="minorHAnsi" w:hAnsiTheme="minorHAnsi"/>
            <w:noProof/>
            <w:webHidden/>
          </w:rPr>
          <w:fldChar w:fldCharType="separate"/>
        </w:r>
        <w:r w:rsidR="00501FF2">
          <w:rPr>
            <w:rFonts w:asciiTheme="minorHAnsi" w:hAnsiTheme="minorHAnsi"/>
            <w:noProof/>
            <w:webHidden/>
          </w:rPr>
          <w:t>48</w:t>
        </w:r>
        <w:r w:rsidR="00935CB0" w:rsidRPr="00735636">
          <w:rPr>
            <w:rFonts w:asciiTheme="minorHAnsi" w:hAnsiTheme="minorHAnsi"/>
            <w:noProof/>
            <w:webHidden/>
          </w:rPr>
          <w:fldChar w:fldCharType="end"/>
        </w:r>
      </w:hyperlink>
    </w:p>
    <w:p w:rsidR="0043334F" w:rsidRPr="00735636" w:rsidRDefault="00C91A1D">
      <w:pPr>
        <w:pStyle w:val="TOC3"/>
        <w:tabs>
          <w:tab w:val="right" w:pos="9062"/>
        </w:tabs>
        <w:rPr>
          <w:rFonts w:asciiTheme="minorHAnsi" w:eastAsiaTheme="minorEastAsia" w:hAnsiTheme="minorHAnsi" w:cstheme="minorBidi"/>
          <w:noProof/>
          <w:sz w:val="22"/>
          <w:szCs w:val="22"/>
          <w:lang w:val="hr-HR" w:eastAsia="hr-HR"/>
        </w:rPr>
      </w:pPr>
      <w:hyperlink w:anchor="_Toc373137879" w:history="1">
        <w:r w:rsidR="0043334F" w:rsidRPr="00735636">
          <w:rPr>
            <w:rStyle w:val="Hyperlink"/>
            <w:rFonts w:asciiTheme="minorHAnsi" w:hAnsiTheme="minorHAnsi"/>
            <w:noProof/>
          </w:rPr>
          <w:t>3.4.2 PRAĆENJE INVESTICIJA I POST-INVESTICIJSKA BRIGA</w:t>
        </w:r>
        <w:r w:rsidR="0043334F" w:rsidRPr="00735636">
          <w:rPr>
            <w:rFonts w:asciiTheme="minorHAnsi" w:hAnsiTheme="minorHAnsi"/>
            <w:noProof/>
            <w:webHidden/>
          </w:rPr>
          <w:tab/>
        </w:r>
        <w:r w:rsidR="00935CB0" w:rsidRPr="00735636">
          <w:rPr>
            <w:rFonts w:asciiTheme="minorHAnsi" w:hAnsiTheme="minorHAnsi"/>
            <w:noProof/>
            <w:webHidden/>
          </w:rPr>
          <w:fldChar w:fldCharType="begin"/>
        </w:r>
        <w:r w:rsidR="0043334F" w:rsidRPr="00735636">
          <w:rPr>
            <w:rFonts w:asciiTheme="minorHAnsi" w:hAnsiTheme="minorHAnsi"/>
            <w:noProof/>
            <w:webHidden/>
          </w:rPr>
          <w:instrText xml:space="preserve"> PAGEREF _Toc373137879 \h </w:instrText>
        </w:r>
        <w:r w:rsidR="00935CB0" w:rsidRPr="00735636">
          <w:rPr>
            <w:rFonts w:asciiTheme="minorHAnsi" w:hAnsiTheme="minorHAnsi"/>
            <w:noProof/>
            <w:webHidden/>
          </w:rPr>
        </w:r>
        <w:r w:rsidR="00935CB0" w:rsidRPr="00735636">
          <w:rPr>
            <w:rFonts w:asciiTheme="minorHAnsi" w:hAnsiTheme="minorHAnsi"/>
            <w:noProof/>
            <w:webHidden/>
          </w:rPr>
          <w:fldChar w:fldCharType="separate"/>
        </w:r>
        <w:r w:rsidR="00501FF2">
          <w:rPr>
            <w:rFonts w:asciiTheme="minorHAnsi" w:hAnsiTheme="minorHAnsi"/>
            <w:noProof/>
            <w:webHidden/>
          </w:rPr>
          <w:t>49</w:t>
        </w:r>
        <w:r w:rsidR="00935CB0" w:rsidRPr="00735636">
          <w:rPr>
            <w:rFonts w:asciiTheme="minorHAnsi" w:hAnsiTheme="minorHAnsi"/>
            <w:noProof/>
            <w:webHidden/>
          </w:rPr>
          <w:fldChar w:fldCharType="end"/>
        </w:r>
      </w:hyperlink>
    </w:p>
    <w:p w:rsidR="0043334F" w:rsidRPr="00735636" w:rsidRDefault="00C91A1D">
      <w:pPr>
        <w:pStyle w:val="TOC1"/>
        <w:rPr>
          <w:rFonts w:asciiTheme="minorHAnsi" w:eastAsiaTheme="minorEastAsia" w:hAnsiTheme="minorHAnsi" w:cstheme="minorBidi"/>
          <w:b w:val="0"/>
          <w:bCs w:val="0"/>
          <w:caps w:val="0"/>
          <w:noProof/>
          <w:sz w:val="22"/>
          <w:szCs w:val="22"/>
          <w:lang w:val="hr-HR" w:eastAsia="hr-HR"/>
        </w:rPr>
      </w:pPr>
      <w:hyperlink w:anchor="_Toc373137880" w:history="1">
        <w:r w:rsidR="00735636">
          <w:rPr>
            <w:rStyle w:val="Hyperlink"/>
            <w:rFonts w:asciiTheme="minorHAnsi" w:hAnsiTheme="minorHAnsi" w:cs="Calibri"/>
            <w:noProof/>
          </w:rPr>
          <w:t xml:space="preserve">4. </w:t>
        </w:r>
        <w:r w:rsidR="0043334F" w:rsidRPr="00735636">
          <w:rPr>
            <w:rStyle w:val="Hyperlink"/>
            <w:rFonts w:asciiTheme="minorHAnsi" w:hAnsiTheme="minorHAnsi"/>
            <w:noProof/>
          </w:rPr>
          <w:t>FINANCIJSKI OKVIR ZA PROVEDBU STRATEGIJE</w:t>
        </w:r>
        <w:r w:rsidR="0043334F" w:rsidRPr="00735636">
          <w:rPr>
            <w:rFonts w:asciiTheme="minorHAnsi" w:hAnsiTheme="minorHAnsi"/>
            <w:noProof/>
            <w:webHidden/>
          </w:rPr>
          <w:tab/>
        </w:r>
        <w:r w:rsidR="00935CB0" w:rsidRPr="00735636">
          <w:rPr>
            <w:rFonts w:asciiTheme="minorHAnsi" w:hAnsiTheme="minorHAnsi"/>
            <w:noProof/>
            <w:webHidden/>
          </w:rPr>
          <w:fldChar w:fldCharType="begin"/>
        </w:r>
        <w:r w:rsidR="0043334F" w:rsidRPr="00735636">
          <w:rPr>
            <w:rFonts w:asciiTheme="minorHAnsi" w:hAnsiTheme="minorHAnsi"/>
            <w:noProof/>
            <w:webHidden/>
          </w:rPr>
          <w:instrText xml:space="preserve"> PAGEREF _Toc373137880 \h </w:instrText>
        </w:r>
        <w:r w:rsidR="00935CB0" w:rsidRPr="00735636">
          <w:rPr>
            <w:rFonts w:asciiTheme="minorHAnsi" w:hAnsiTheme="minorHAnsi"/>
            <w:noProof/>
            <w:webHidden/>
          </w:rPr>
        </w:r>
        <w:r w:rsidR="00935CB0" w:rsidRPr="00735636">
          <w:rPr>
            <w:rFonts w:asciiTheme="minorHAnsi" w:hAnsiTheme="minorHAnsi"/>
            <w:noProof/>
            <w:webHidden/>
          </w:rPr>
          <w:fldChar w:fldCharType="separate"/>
        </w:r>
        <w:r w:rsidR="00501FF2">
          <w:rPr>
            <w:rFonts w:asciiTheme="minorHAnsi" w:hAnsiTheme="minorHAnsi"/>
            <w:noProof/>
            <w:webHidden/>
          </w:rPr>
          <w:t>50</w:t>
        </w:r>
        <w:r w:rsidR="00935CB0" w:rsidRPr="00735636">
          <w:rPr>
            <w:rFonts w:asciiTheme="minorHAnsi" w:hAnsiTheme="minorHAnsi"/>
            <w:noProof/>
            <w:webHidden/>
          </w:rPr>
          <w:fldChar w:fldCharType="end"/>
        </w:r>
      </w:hyperlink>
    </w:p>
    <w:p w:rsidR="0043334F" w:rsidRPr="00735636" w:rsidRDefault="00C91A1D">
      <w:pPr>
        <w:pStyle w:val="TOC1"/>
        <w:rPr>
          <w:rFonts w:asciiTheme="minorHAnsi" w:eastAsiaTheme="minorEastAsia" w:hAnsiTheme="minorHAnsi" w:cstheme="minorBidi"/>
          <w:b w:val="0"/>
          <w:bCs w:val="0"/>
          <w:caps w:val="0"/>
          <w:noProof/>
          <w:sz w:val="22"/>
          <w:szCs w:val="22"/>
          <w:lang w:val="hr-HR" w:eastAsia="hr-HR"/>
        </w:rPr>
      </w:pPr>
      <w:hyperlink w:anchor="_Toc373137881" w:history="1">
        <w:r w:rsidR="0043334F" w:rsidRPr="00735636">
          <w:rPr>
            <w:rStyle w:val="Hyperlink"/>
            <w:rFonts w:asciiTheme="minorHAnsi" w:hAnsiTheme="minorHAnsi"/>
            <w:noProof/>
          </w:rPr>
          <w:t>5. PRAĆENJE I VREDNOVANJE STRATEGIJE</w:t>
        </w:r>
        <w:r w:rsidR="0043334F" w:rsidRPr="00735636">
          <w:rPr>
            <w:rFonts w:asciiTheme="minorHAnsi" w:hAnsiTheme="minorHAnsi"/>
            <w:noProof/>
            <w:webHidden/>
          </w:rPr>
          <w:tab/>
        </w:r>
        <w:r w:rsidR="00935CB0" w:rsidRPr="00735636">
          <w:rPr>
            <w:rFonts w:asciiTheme="minorHAnsi" w:hAnsiTheme="minorHAnsi"/>
            <w:noProof/>
            <w:webHidden/>
          </w:rPr>
          <w:fldChar w:fldCharType="begin"/>
        </w:r>
        <w:r w:rsidR="0043334F" w:rsidRPr="00735636">
          <w:rPr>
            <w:rFonts w:asciiTheme="minorHAnsi" w:hAnsiTheme="minorHAnsi"/>
            <w:noProof/>
            <w:webHidden/>
          </w:rPr>
          <w:instrText xml:space="preserve"> PAGEREF _Toc373137881 \h </w:instrText>
        </w:r>
        <w:r w:rsidR="00935CB0" w:rsidRPr="00735636">
          <w:rPr>
            <w:rFonts w:asciiTheme="minorHAnsi" w:hAnsiTheme="minorHAnsi"/>
            <w:noProof/>
            <w:webHidden/>
          </w:rPr>
        </w:r>
        <w:r w:rsidR="00935CB0" w:rsidRPr="00735636">
          <w:rPr>
            <w:rFonts w:asciiTheme="minorHAnsi" w:hAnsiTheme="minorHAnsi"/>
            <w:noProof/>
            <w:webHidden/>
          </w:rPr>
          <w:fldChar w:fldCharType="separate"/>
        </w:r>
        <w:r w:rsidR="00501FF2">
          <w:rPr>
            <w:rFonts w:asciiTheme="minorHAnsi" w:hAnsiTheme="minorHAnsi"/>
            <w:noProof/>
            <w:webHidden/>
          </w:rPr>
          <w:t>51</w:t>
        </w:r>
        <w:r w:rsidR="00935CB0" w:rsidRPr="00735636">
          <w:rPr>
            <w:rFonts w:asciiTheme="minorHAnsi" w:hAnsiTheme="minorHAnsi"/>
            <w:noProof/>
            <w:webHidden/>
          </w:rPr>
          <w:fldChar w:fldCharType="end"/>
        </w:r>
      </w:hyperlink>
    </w:p>
    <w:p w:rsidR="0043334F" w:rsidRDefault="00C91A1D" w:rsidP="00A277F3">
      <w:pPr>
        <w:pStyle w:val="TOC1"/>
        <w:spacing w:before="0" w:after="0"/>
        <w:rPr>
          <w:rFonts w:asciiTheme="minorHAnsi" w:hAnsiTheme="minorHAnsi"/>
          <w:noProof/>
        </w:rPr>
      </w:pPr>
      <w:hyperlink w:anchor="_Toc373137882" w:history="1">
        <w:r w:rsidR="00735636">
          <w:rPr>
            <w:rStyle w:val="Hyperlink"/>
            <w:rFonts w:asciiTheme="minorHAnsi" w:hAnsiTheme="minorHAnsi"/>
            <w:noProof/>
          </w:rPr>
          <w:t xml:space="preserve">6. </w:t>
        </w:r>
        <w:r w:rsidR="0043334F" w:rsidRPr="00735636">
          <w:rPr>
            <w:rStyle w:val="Hyperlink"/>
            <w:rFonts w:asciiTheme="minorHAnsi" w:hAnsiTheme="minorHAnsi"/>
            <w:noProof/>
          </w:rPr>
          <w:t>AKCIJSKI PLAN ZA PROVEDBU STRATEGIJE</w:t>
        </w:r>
        <w:r w:rsidR="0043334F" w:rsidRPr="00735636">
          <w:rPr>
            <w:rFonts w:asciiTheme="minorHAnsi" w:hAnsiTheme="minorHAnsi"/>
            <w:noProof/>
            <w:webHidden/>
          </w:rPr>
          <w:tab/>
        </w:r>
        <w:r w:rsidR="00935CB0" w:rsidRPr="00735636">
          <w:rPr>
            <w:rFonts w:asciiTheme="minorHAnsi" w:hAnsiTheme="minorHAnsi"/>
            <w:noProof/>
            <w:webHidden/>
          </w:rPr>
          <w:fldChar w:fldCharType="begin"/>
        </w:r>
        <w:r w:rsidR="0043334F" w:rsidRPr="00735636">
          <w:rPr>
            <w:rFonts w:asciiTheme="minorHAnsi" w:hAnsiTheme="minorHAnsi"/>
            <w:noProof/>
            <w:webHidden/>
          </w:rPr>
          <w:instrText xml:space="preserve"> PAGEREF _Toc373137882 \h </w:instrText>
        </w:r>
        <w:r w:rsidR="00935CB0" w:rsidRPr="00735636">
          <w:rPr>
            <w:rFonts w:asciiTheme="minorHAnsi" w:hAnsiTheme="minorHAnsi"/>
            <w:noProof/>
            <w:webHidden/>
          </w:rPr>
        </w:r>
        <w:r w:rsidR="00935CB0" w:rsidRPr="00735636">
          <w:rPr>
            <w:rFonts w:asciiTheme="minorHAnsi" w:hAnsiTheme="minorHAnsi"/>
            <w:noProof/>
            <w:webHidden/>
          </w:rPr>
          <w:fldChar w:fldCharType="separate"/>
        </w:r>
        <w:r w:rsidR="00501FF2">
          <w:rPr>
            <w:rFonts w:asciiTheme="minorHAnsi" w:hAnsiTheme="minorHAnsi"/>
            <w:noProof/>
            <w:webHidden/>
          </w:rPr>
          <w:t>51</w:t>
        </w:r>
        <w:r w:rsidR="00935CB0" w:rsidRPr="00735636">
          <w:rPr>
            <w:rFonts w:asciiTheme="minorHAnsi" w:hAnsiTheme="minorHAnsi"/>
            <w:noProof/>
            <w:webHidden/>
          </w:rPr>
          <w:fldChar w:fldCharType="end"/>
        </w:r>
      </w:hyperlink>
    </w:p>
    <w:p w:rsidR="00A277F3" w:rsidRPr="00A277F3" w:rsidRDefault="00A277F3" w:rsidP="00A277F3">
      <w:pPr>
        <w:spacing w:after="0" w:line="240" w:lineRule="auto"/>
        <w:rPr>
          <w:rFonts w:eastAsiaTheme="minorEastAsia"/>
          <w:sz w:val="20"/>
          <w:szCs w:val="20"/>
          <w:lang w:val="en-GB" w:eastAsia="lt-LT"/>
        </w:rPr>
      </w:pPr>
      <w:r w:rsidRPr="00A277F3">
        <w:rPr>
          <w:rFonts w:eastAsiaTheme="minorEastAsia"/>
          <w:b/>
          <w:sz w:val="20"/>
          <w:szCs w:val="20"/>
          <w:lang w:val="en-GB" w:eastAsia="lt-LT"/>
        </w:rPr>
        <w:t>Dodatak 1</w:t>
      </w:r>
      <w:r>
        <w:rPr>
          <w:rFonts w:eastAsiaTheme="minorEastAsia"/>
          <w:b/>
          <w:sz w:val="20"/>
          <w:szCs w:val="20"/>
          <w:lang w:val="en-GB" w:eastAsia="lt-LT"/>
        </w:rPr>
        <w:t>.</w:t>
      </w:r>
      <w:r w:rsidRPr="00A277F3">
        <w:rPr>
          <w:rFonts w:eastAsiaTheme="minorEastAsia"/>
          <w:sz w:val="20"/>
          <w:szCs w:val="20"/>
          <w:lang w:val="en-GB" w:eastAsia="lt-LT"/>
        </w:rPr>
        <w:t xml:space="preserve"> </w:t>
      </w:r>
      <w:r w:rsidRPr="00A277F3">
        <w:rPr>
          <w:rFonts w:cs="Calibri"/>
          <w:color w:val="000000"/>
          <w:sz w:val="20"/>
          <w:szCs w:val="20"/>
        </w:rPr>
        <w:t xml:space="preserve">Akcijski plan </w:t>
      </w:r>
      <w:r w:rsidRPr="00A277F3">
        <w:rPr>
          <w:rFonts w:cs="Calibri"/>
          <w:color w:val="000000"/>
          <w:sz w:val="20"/>
          <w:szCs w:val="20"/>
          <w:lang w:val="en-GB"/>
        </w:rPr>
        <w:t>Strategije poticanja investicija Republike Hrvatske</w:t>
      </w:r>
      <w:r>
        <w:rPr>
          <w:rFonts w:cs="Calibri"/>
          <w:color w:val="000000"/>
          <w:sz w:val="20"/>
          <w:szCs w:val="20"/>
          <w:lang w:val="en-GB"/>
        </w:rPr>
        <w:t xml:space="preserve">                                                              </w:t>
      </w:r>
      <w:r w:rsidRPr="00A277F3">
        <w:rPr>
          <w:rFonts w:cs="Calibri"/>
          <w:color w:val="000000"/>
          <w:sz w:val="20"/>
          <w:szCs w:val="20"/>
          <w:lang w:val="en-GB"/>
        </w:rPr>
        <w:t>52</w:t>
      </w:r>
    </w:p>
    <w:p w:rsidR="00A277F3" w:rsidRDefault="00A277F3" w:rsidP="00A277F3">
      <w:pPr>
        <w:spacing w:after="0" w:line="240" w:lineRule="auto"/>
        <w:rPr>
          <w:bCs/>
          <w:sz w:val="20"/>
          <w:szCs w:val="20"/>
          <w:lang w:val="lt-LT" w:eastAsia="lt-LT"/>
        </w:rPr>
      </w:pPr>
      <w:r w:rsidRPr="00A277F3">
        <w:rPr>
          <w:rFonts w:eastAsiaTheme="minorEastAsia"/>
          <w:b/>
          <w:sz w:val="20"/>
          <w:szCs w:val="20"/>
          <w:lang w:val="en-GB" w:eastAsia="lt-LT"/>
        </w:rPr>
        <w:t>Dodatak 2</w:t>
      </w:r>
      <w:r>
        <w:rPr>
          <w:rFonts w:eastAsiaTheme="minorEastAsia"/>
          <w:b/>
          <w:sz w:val="20"/>
          <w:szCs w:val="20"/>
          <w:lang w:val="en-GB" w:eastAsia="lt-LT"/>
        </w:rPr>
        <w:t>.</w:t>
      </w:r>
      <w:r w:rsidRPr="00A277F3">
        <w:rPr>
          <w:b/>
          <w:bCs/>
          <w:sz w:val="20"/>
          <w:szCs w:val="20"/>
          <w:lang w:val="lt-LT" w:eastAsia="lt-LT"/>
        </w:rPr>
        <w:t xml:space="preserve"> </w:t>
      </w:r>
      <w:r w:rsidRPr="00A277F3">
        <w:rPr>
          <w:bCs/>
          <w:sz w:val="20"/>
          <w:szCs w:val="20"/>
          <w:lang w:val="lt-LT" w:eastAsia="lt-LT"/>
        </w:rPr>
        <w:t xml:space="preserve">Glavni pokazatelji praćenja uspješnosti provedbe Strategije poticanja investicija Republike Hrvatske </w:t>
      </w:r>
      <w:r>
        <w:rPr>
          <w:bCs/>
          <w:sz w:val="20"/>
          <w:szCs w:val="20"/>
          <w:lang w:val="lt-LT" w:eastAsia="lt-LT"/>
        </w:rPr>
        <w:t xml:space="preserve">           </w:t>
      </w:r>
    </w:p>
    <w:p w:rsidR="00A277F3" w:rsidRPr="00A277F3" w:rsidRDefault="00A277F3" w:rsidP="00A277F3">
      <w:pPr>
        <w:spacing w:after="0" w:line="240" w:lineRule="auto"/>
        <w:rPr>
          <w:rFonts w:eastAsiaTheme="minorEastAsia"/>
          <w:sz w:val="20"/>
          <w:szCs w:val="20"/>
          <w:lang w:val="en-GB" w:eastAsia="lt-LT"/>
        </w:rPr>
      </w:pPr>
      <w:r>
        <w:rPr>
          <w:bCs/>
          <w:sz w:val="20"/>
          <w:szCs w:val="20"/>
          <w:lang w:val="lt-LT" w:eastAsia="lt-LT"/>
        </w:rPr>
        <w:t xml:space="preserve">                                                                                                                                                                                                   58</w:t>
      </w:r>
    </w:p>
    <w:p w:rsidR="00A277F3" w:rsidRPr="00A277F3" w:rsidRDefault="00A277F3" w:rsidP="00A277F3">
      <w:pPr>
        <w:spacing w:after="0" w:line="240" w:lineRule="auto"/>
        <w:rPr>
          <w:rFonts w:eastAsiaTheme="minorEastAsia"/>
          <w:sz w:val="20"/>
          <w:szCs w:val="20"/>
          <w:lang w:val="en-GB" w:eastAsia="lt-LT"/>
        </w:rPr>
      </w:pPr>
      <w:r w:rsidRPr="00A277F3">
        <w:rPr>
          <w:rFonts w:eastAsiaTheme="minorEastAsia"/>
          <w:b/>
          <w:sz w:val="20"/>
          <w:szCs w:val="20"/>
          <w:lang w:val="en-GB" w:eastAsia="lt-LT"/>
        </w:rPr>
        <w:t>Dodatak 3</w:t>
      </w:r>
      <w:r>
        <w:rPr>
          <w:rFonts w:eastAsiaTheme="minorEastAsia"/>
          <w:b/>
          <w:sz w:val="20"/>
          <w:szCs w:val="20"/>
          <w:lang w:val="en-GB" w:eastAsia="lt-LT"/>
        </w:rPr>
        <w:t>.</w:t>
      </w:r>
      <w:r w:rsidRPr="00A277F3">
        <w:rPr>
          <w:bCs/>
          <w:sz w:val="20"/>
          <w:szCs w:val="20"/>
          <w:lang w:val="lt-LT" w:eastAsia="lt-LT"/>
        </w:rPr>
        <w:t xml:space="preserve"> Grafički prikaz Strategije </w:t>
      </w:r>
      <w:r>
        <w:rPr>
          <w:bCs/>
          <w:sz w:val="20"/>
          <w:szCs w:val="20"/>
          <w:lang w:val="lt-LT" w:eastAsia="lt-LT"/>
        </w:rPr>
        <w:t xml:space="preserve">                                                                                                                                  </w:t>
      </w:r>
      <w:r w:rsidRPr="00A277F3">
        <w:rPr>
          <w:bCs/>
          <w:sz w:val="20"/>
          <w:szCs w:val="20"/>
          <w:lang w:val="lt-LT" w:eastAsia="lt-LT"/>
        </w:rPr>
        <w:t>62</w:t>
      </w:r>
    </w:p>
    <w:p w:rsidR="00A277F3" w:rsidRPr="00A277F3" w:rsidRDefault="00A277F3" w:rsidP="00A277F3">
      <w:pPr>
        <w:spacing w:after="0" w:line="240" w:lineRule="auto"/>
        <w:rPr>
          <w:rFonts w:eastAsiaTheme="minorEastAsia"/>
          <w:sz w:val="20"/>
          <w:szCs w:val="20"/>
          <w:lang w:val="en-GB" w:eastAsia="lt-LT"/>
        </w:rPr>
      </w:pPr>
      <w:r w:rsidRPr="00A277F3">
        <w:rPr>
          <w:rFonts w:eastAsiaTheme="minorEastAsia"/>
          <w:b/>
          <w:sz w:val="20"/>
          <w:szCs w:val="20"/>
          <w:lang w:val="en-GB" w:eastAsia="lt-LT"/>
        </w:rPr>
        <w:t>Dodatak 4</w:t>
      </w:r>
      <w:r>
        <w:rPr>
          <w:rFonts w:eastAsiaTheme="minorEastAsia"/>
          <w:b/>
          <w:sz w:val="20"/>
          <w:szCs w:val="20"/>
          <w:lang w:val="en-GB" w:eastAsia="lt-LT"/>
        </w:rPr>
        <w:t>.</w:t>
      </w:r>
      <w:r w:rsidRPr="00A277F3">
        <w:rPr>
          <w:b/>
          <w:bCs/>
          <w:sz w:val="20"/>
          <w:szCs w:val="20"/>
          <w:lang w:eastAsia="lt-LT"/>
        </w:rPr>
        <w:t xml:space="preserve"> </w:t>
      </w:r>
      <w:r w:rsidRPr="00A277F3">
        <w:rPr>
          <w:bCs/>
          <w:sz w:val="20"/>
          <w:szCs w:val="20"/>
          <w:lang w:eastAsia="lt-LT"/>
        </w:rPr>
        <w:t xml:space="preserve">Prikaz lokacijskih determinanti za privlačenje investicija </w:t>
      </w:r>
      <w:r>
        <w:rPr>
          <w:bCs/>
          <w:sz w:val="20"/>
          <w:szCs w:val="20"/>
          <w:lang w:eastAsia="lt-LT"/>
        </w:rPr>
        <w:t xml:space="preserve">                                                                    </w:t>
      </w:r>
      <w:r w:rsidRPr="00A277F3">
        <w:rPr>
          <w:rFonts w:eastAsiaTheme="minorEastAsia"/>
          <w:b/>
          <w:sz w:val="20"/>
          <w:szCs w:val="20"/>
          <w:lang w:val="en-GB" w:eastAsia="lt-LT"/>
        </w:rPr>
        <w:t>Dodatak 5</w:t>
      </w:r>
      <w:r>
        <w:rPr>
          <w:rFonts w:eastAsiaTheme="minorEastAsia"/>
          <w:b/>
          <w:sz w:val="20"/>
          <w:szCs w:val="20"/>
          <w:lang w:val="en-GB" w:eastAsia="lt-LT"/>
        </w:rPr>
        <w:t>.</w:t>
      </w:r>
      <w:r w:rsidRPr="00A277F3">
        <w:rPr>
          <w:rFonts w:eastAsiaTheme="minorEastAsia"/>
          <w:sz w:val="20"/>
          <w:szCs w:val="20"/>
          <w:lang w:val="en-GB" w:eastAsia="lt-LT"/>
        </w:rPr>
        <w:t xml:space="preserve"> </w:t>
      </w:r>
      <w:r w:rsidRPr="00A277F3">
        <w:rPr>
          <w:bCs/>
          <w:sz w:val="20"/>
          <w:szCs w:val="20"/>
        </w:rPr>
        <w:t xml:space="preserve">Mjesto koje </w:t>
      </w:r>
      <w:r>
        <w:rPr>
          <w:bCs/>
          <w:sz w:val="20"/>
          <w:szCs w:val="20"/>
        </w:rPr>
        <w:t>RH</w:t>
      </w:r>
      <w:r w:rsidRPr="00A277F3">
        <w:rPr>
          <w:bCs/>
          <w:sz w:val="20"/>
          <w:szCs w:val="20"/>
        </w:rPr>
        <w:t xml:space="preserve"> zauzima na ljestvici </w:t>
      </w:r>
      <w:r w:rsidRPr="00A277F3">
        <w:rPr>
          <w:bCs/>
          <w:i/>
          <w:sz w:val="20"/>
          <w:szCs w:val="20"/>
        </w:rPr>
        <w:t xml:space="preserve">Lakoće poslovanja </w:t>
      </w:r>
      <w:r w:rsidRPr="00A277F3">
        <w:rPr>
          <w:bCs/>
          <w:sz w:val="20"/>
          <w:szCs w:val="20"/>
        </w:rPr>
        <w:t xml:space="preserve">za </w:t>
      </w:r>
      <w:r w:rsidR="00202C5E">
        <w:rPr>
          <w:bCs/>
          <w:sz w:val="20"/>
          <w:szCs w:val="20"/>
        </w:rPr>
        <w:t>2013.</w:t>
      </w:r>
      <w:r w:rsidRPr="00A277F3">
        <w:rPr>
          <w:bCs/>
          <w:sz w:val="20"/>
          <w:szCs w:val="20"/>
        </w:rPr>
        <w:t xml:space="preserve"> godinu</w:t>
      </w:r>
      <w:r>
        <w:rPr>
          <w:bCs/>
          <w:sz w:val="20"/>
          <w:szCs w:val="20"/>
        </w:rPr>
        <w:t xml:space="preserve"> </w:t>
      </w:r>
      <w:r w:rsidR="00202C5E">
        <w:rPr>
          <w:bCs/>
          <w:sz w:val="20"/>
          <w:szCs w:val="20"/>
        </w:rPr>
        <w:t xml:space="preserve"> </w:t>
      </w:r>
      <w:r>
        <w:rPr>
          <w:bCs/>
          <w:sz w:val="20"/>
          <w:szCs w:val="20"/>
        </w:rPr>
        <w:t xml:space="preserve">                                            </w:t>
      </w:r>
      <w:r w:rsidRPr="00A277F3">
        <w:rPr>
          <w:bCs/>
          <w:sz w:val="20"/>
          <w:szCs w:val="20"/>
        </w:rPr>
        <w:t xml:space="preserve"> 6</w:t>
      </w:r>
      <w:r>
        <w:rPr>
          <w:bCs/>
          <w:sz w:val="20"/>
          <w:szCs w:val="20"/>
        </w:rPr>
        <w:t>6</w:t>
      </w:r>
    </w:p>
    <w:p w:rsidR="000C1520" w:rsidRDefault="00935CB0">
      <w:r w:rsidRPr="00735636">
        <w:rPr>
          <w:rFonts w:asciiTheme="minorHAnsi" w:hAnsiTheme="minorHAnsi"/>
        </w:rPr>
        <w:fldChar w:fldCharType="end"/>
      </w:r>
    </w:p>
    <w:p w:rsidR="000C1520" w:rsidRDefault="000C1520" w:rsidP="00A01687">
      <w:pPr>
        <w:spacing w:after="0" w:line="240" w:lineRule="auto"/>
        <w:jc w:val="both"/>
        <w:rPr>
          <w:b/>
        </w:rPr>
      </w:pPr>
      <w:bookmarkStart w:id="0" w:name="_Toc351127583"/>
    </w:p>
    <w:p w:rsidR="000C1520" w:rsidRPr="00A01687" w:rsidRDefault="000C1520" w:rsidP="00A01687">
      <w:pPr>
        <w:spacing w:after="0" w:line="240" w:lineRule="auto"/>
        <w:jc w:val="both"/>
        <w:rPr>
          <w:rFonts w:cs="Calibri"/>
          <w:b/>
        </w:rPr>
      </w:pPr>
      <w:r w:rsidRPr="00A01687">
        <w:rPr>
          <w:b/>
        </w:rPr>
        <w:t>PREDGO</w:t>
      </w:r>
      <w:bookmarkEnd w:id="0"/>
      <w:r w:rsidRPr="00A01687">
        <w:rPr>
          <w:b/>
        </w:rPr>
        <w:t>VOR</w:t>
      </w:r>
    </w:p>
    <w:p w:rsidR="000C1520" w:rsidRDefault="000C1520" w:rsidP="00AA38E5">
      <w:pPr>
        <w:spacing w:after="0" w:line="240" w:lineRule="auto"/>
        <w:jc w:val="both"/>
        <w:rPr>
          <w:rFonts w:cs="Calibri"/>
          <w:b/>
        </w:rPr>
      </w:pPr>
    </w:p>
    <w:p w:rsidR="00177115" w:rsidRPr="00F30680" w:rsidRDefault="000C1520" w:rsidP="00F0426D">
      <w:pPr>
        <w:spacing w:line="360" w:lineRule="auto"/>
        <w:jc w:val="both"/>
        <w:rPr>
          <w:rFonts w:cs="Calibri"/>
        </w:rPr>
      </w:pPr>
      <w:bookmarkStart w:id="1" w:name="_Toc351127584"/>
      <w:r w:rsidRPr="00F30680">
        <w:rPr>
          <w:rFonts w:cs="Calibri"/>
        </w:rPr>
        <w:t>Trendovi u svijetu ukazuju na to da su tehnološki napredak, znanje, obrazovanje i stručno osposobljavanje kao i drugi čimbenici kvalitete postali generatori rasta koji uzrokuju stalne promjene na putu razvoja i podizanja nacionalne konkurentnosti i poticanja investicija. U okviru primarnih ciljeva gospodarske politike Vlade Republike Hrvatske posebno mjesto zauzimaju investicije koje imaju veliku važnost za budući razvitak zemlje i daljnje restrukturiranje, modernizaciju i jačanje konkuren</w:t>
      </w:r>
      <w:r>
        <w:rPr>
          <w:rFonts w:cs="Calibri"/>
        </w:rPr>
        <w:t xml:space="preserve">tnosti hrvatskog gospodarstva. </w:t>
      </w:r>
      <w:r w:rsidRPr="00F30680">
        <w:rPr>
          <w:rFonts w:cs="Calibri"/>
        </w:rPr>
        <w:t>Pri tom</w:t>
      </w:r>
      <w:r>
        <w:rPr>
          <w:rFonts w:cs="Calibri"/>
        </w:rPr>
        <w:t>e je potrebno</w:t>
      </w:r>
      <w:r w:rsidRPr="00F30680">
        <w:rPr>
          <w:rFonts w:cs="Calibri"/>
        </w:rPr>
        <w:t xml:space="preserve"> naglasiti da je ključ poticanja investicija, osim dobrog zakonodavnog okvira i stabilne makroekonomske politike, stvaranje pozitivne investicijske klime i podizanje konkurentnosti potencijalnih investicijskih lokacija u Republici Hrvatskoj</w:t>
      </w:r>
      <w:r>
        <w:rPr>
          <w:rFonts w:cs="Calibri"/>
        </w:rPr>
        <w:t xml:space="preserve"> (RH)</w:t>
      </w:r>
      <w:r w:rsidRPr="00F30680">
        <w:rPr>
          <w:rFonts w:cs="Calibri"/>
        </w:rPr>
        <w:t>, a to znači djelovanje na nizu područj</w:t>
      </w:r>
      <w:r w:rsidR="008D1B7C">
        <w:rPr>
          <w:rFonts w:cs="Calibri"/>
        </w:rPr>
        <w:t xml:space="preserve">a </w:t>
      </w:r>
      <w:r w:rsidR="00177115" w:rsidRPr="005F07EA">
        <w:rPr>
          <w:rFonts w:cs="Calibri"/>
        </w:rPr>
        <w:t>od razvoja regionalne infrastrukture, obrazovanja, istraživačkih aktivnosti i komercijalizacije inovacija, jačanje poduzetništva do pružanja podrške razvoju sektora, koji zahvaljujući svom teritorijalnom kapitalu imaju potencijal da budu konkurentni na globalnom tržištu.</w:t>
      </w:r>
    </w:p>
    <w:p w:rsidR="000C1520" w:rsidRDefault="000C1520" w:rsidP="00F0426D">
      <w:pPr>
        <w:spacing w:line="360" w:lineRule="auto"/>
        <w:jc w:val="both"/>
        <w:rPr>
          <w:rFonts w:cs="Calibri"/>
        </w:rPr>
      </w:pPr>
      <w:r>
        <w:rPr>
          <w:rFonts w:cs="Calibri"/>
        </w:rPr>
        <w:t>Republika Hrvatska ističe se</w:t>
      </w:r>
      <w:r w:rsidRPr="00F30680">
        <w:rPr>
          <w:rFonts w:cs="Calibri"/>
        </w:rPr>
        <w:t xml:space="preserve"> među </w:t>
      </w:r>
      <w:r>
        <w:rPr>
          <w:rFonts w:cs="Calibri"/>
        </w:rPr>
        <w:t xml:space="preserve">tranzicijskim </w:t>
      </w:r>
      <w:r w:rsidRPr="00F30680">
        <w:rPr>
          <w:rFonts w:cs="Calibri"/>
        </w:rPr>
        <w:t>zem</w:t>
      </w:r>
      <w:r>
        <w:rPr>
          <w:rFonts w:cs="Calibri"/>
        </w:rPr>
        <w:t>ljama</w:t>
      </w:r>
      <w:r w:rsidRPr="00F30680">
        <w:rPr>
          <w:rFonts w:cs="Calibri"/>
        </w:rPr>
        <w:t xml:space="preserve"> kao zemlja s relativno najvećim iznosom  izravnih </w:t>
      </w:r>
      <w:r>
        <w:rPr>
          <w:rFonts w:cs="Calibri"/>
        </w:rPr>
        <w:t>stranih investicija</w:t>
      </w:r>
      <w:r w:rsidRPr="00F30680">
        <w:rPr>
          <w:rFonts w:cs="Calibri"/>
        </w:rPr>
        <w:t>. Ipak, unatoč relativno visokoj razini</w:t>
      </w:r>
      <w:r>
        <w:rPr>
          <w:rFonts w:cs="Calibri"/>
        </w:rPr>
        <w:t xml:space="preserve"> izravnih stranih investicija, izostao je uobičajeni pozitiv</w:t>
      </w:r>
      <w:r w:rsidRPr="00F30680">
        <w:rPr>
          <w:rFonts w:cs="Calibri"/>
        </w:rPr>
        <w:t>n</w:t>
      </w:r>
      <w:r>
        <w:rPr>
          <w:rFonts w:cs="Calibri"/>
        </w:rPr>
        <w:t>i učinak</w:t>
      </w:r>
      <w:r w:rsidRPr="00F30680">
        <w:rPr>
          <w:rFonts w:cs="Calibri"/>
        </w:rPr>
        <w:t xml:space="preserve"> na domaće gospodarstvo</w:t>
      </w:r>
      <w:r>
        <w:rPr>
          <w:rFonts w:cs="Calibri"/>
        </w:rPr>
        <w:t>,</w:t>
      </w:r>
      <w:r w:rsidRPr="00F30680">
        <w:rPr>
          <w:rFonts w:cs="Calibri"/>
        </w:rPr>
        <w:t xml:space="preserve"> uslijed nepovoljne strukture ulaganja. Naime, tek </w:t>
      </w:r>
      <w:r>
        <w:rPr>
          <w:rFonts w:cs="Calibri"/>
        </w:rPr>
        <w:t xml:space="preserve">se </w:t>
      </w:r>
      <w:r w:rsidRPr="00F30680">
        <w:rPr>
          <w:rFonts w:cs="Calibri"/>
        </w:rPr>
        <w:t>otprilike 20% ukupnih stranih ulaganja odnosi</w:t>
      </w:r>
      <w:r>
        <w:rPr>
          <w:rFonts w:cs="Calibri"/>
        </w:rPr>
        <w:t xml:space="preserve">lo </w:t>
      </w:r>
      <w:r w:rsidR="002954F0">
        <w:rPr>
          <w:rFonts w:cs="Calibri"/>
        </w:rPr>
        <w:t xml:space="preserve">na </w:t>
      </w:r>
      <w:proofErr w:type="spellStart"/>
      <w:r w:rsidRPr="00C3056D">
        <w:rPr>
          <w:rFonts w:cs="Calibri"/>
          <w:i/>
        </w:rPr>
        <w:t>greenfield</w:t>
      </w:r>
      <w:proofErr w:type="spellEnd"/>
      <w:r w:rsidRPr="00F30680">
        <w:rPr>
          <w:rFonts w:cs="Calibri"/>
        </w:rPr>
        <w:t xml:space="preserve"> ulaganja dok se ostatak odnosi</w:t>
      </w:r>
      <w:r>
        <w:rPr>
          <w:rFonts w:cs="Calibri"/>
        </w:rPr>
        <w:t>o</w:t>
      </w:r>
      <w:r w:rsidRPr="00F30680">
        <w:rPr>
          <w:rFonts w:cs="Calibri"/>
        </w:rPr>
        <w:t xml:space="preserve"> na privatizaciju, preuzimanja i ostale oblike ulaganja. Navedeno je rezultat nedostatka strateškog okvira usmjerenog na provedbu mjera i politika za učinkovito poticanje investicija. Strategija poticanja investicija RH uzima u obzir postoje</w:t>
      </w:r>
      <w:r>
        <w:rPr>
          <w:rFonts w:cs="Calibri"/>
        </w:rPr>
        <w:t>će stanje vezano uz investicije i</w:t>
      </w:r>
      <w:r w:rsidRPr="00F30680">
        <w:rPr>
          <w:rFonts w:cs="Calibri"/>
        </w:rPr>
        <w:t xml:space="preserve"> prednosti koje RH može ponuditi investitori</w:t>
      </w:r>
      <w:r>
        <w:rPr>
          <w:rFonts w:cs="Calibri"/>
        </w:rPr>
        <w:t>ma u odnosu na konkurentne zemlje</w:t>
      </w:r>
      <w:r w:rsidRPr="00F30680">
        <w:rPr>
          <w:rFonts w:cs="Calibri"/>
        </w:rPr>
        <w:t>, ali i definira slabosti koje se moraju anulirati i mogućnosti koje se moraju iskoristiti kako bi se</w:t>
      </w:r>
      <w:r>
        <w:rPr>
          <w:rFonts w:cs="Calibri"/>
        </w:rPr>
        <w:t xml:space="preserve"> povećala količina i kakvoća</w:t>
      </w:r>
      <w:r w:rsidRPr="00F30680">
        <w:rPr>
          <w:rFonts w:cs="Calibri"/>
        </w:rPr>
        <w:t xml:space="preserve"> domaćih i stranih investicija</w:t>
      </w:r>
      <w:r>
        <w:rPr>
          <w:rFonts w:cs="Calibri"/>
        </w:rPr>
        <w:t>.</w:t>
      </w:r>
    </w:p>
    <w:p w:rsidR="000C1520" w:rsidRPr="00303E67" w:rsidRDefault="000C1520" w:rsidP="00F0426D">
      <w:pPr>
        <w:spacing w:line="360" w:lineRule="auto"/>
        <w:jc w:val="both"/>
        <w:rPr>
          <w:rFonts w:cs="Calibri"/>
        </w:rPr>
      </w:pPr>
      <w:r>
        <w:rPr>
          <w:rFonts w:cs="Calibri"/>
        </w:rPr>
        <w:t xml:space="preserve"> </w:t>
      </w:r>
      <w:r w:rsidRPr="00F30680">
        <w:rPr>
          <w:rFonts w:cs="Calibri"/>
        </w:rPr>
        <w:t>Ova Strategija odraz je razine ekonomskog razvoja RH i nje</w:t>
      </w:r>
      <w:r>
        <w:rPr>
          <w:rFonts w:cs="Calibri"/>
        </w:rPr>
        <w:t>zi</w:t>
      </w:r>
      <w:r w:rsidRPr="00F30680">
        <w:rPr>
          <w:rFonts w:cs="Calibri"/>
        </w:rPr>
        <w:t xml:space="preserve">nih strateških razvojnih odrednica. Ona nastoji dati razvojnu dimenziju i potaknuti </w:t>
      </w:r>
      <w:proofErr w:type="spellStart"/>
      <w:r w:rsidRPr="00F30680">
        <w:rPr>
          <w:rFonts w:cs="Calibri"/>
        </w:rPr>
        <w:t>proaktivni</w:t>
      </w:r>
      <w:proofErr w:type="spellEnd"/>
      <w:r w:rsidRPr="00F30680">
        <w:rPr>
          <w:rFonts w:cs="Calibri"/>
        </w:rPr>
        <w:t xml:space="preserve"> pristup u poticanju investicija u izvozno-orijentirane sektore i u sektore s visokim tehnologijama, osiguravajući tako pretpostavke za kvalitetan i dugoročno održiv gospodarski razvoj zemlje. Također, Strategija daje smjernice vezane uz poticanje investic</w:t>
      </w:r>
      <w:r>
        <w:rPr>
          <w:rFonts w:cs="Calibri"/>
        </w:rPr>
        <w:t>ija u sektorima</w:t>
      </w:r>
      <w:r w:rsidRPr="00F30680">
        <w:rPr>
          <w:rFonts w:cs="Calibri"/>
        </w:rPr>
        <w:t xml:space="preserve"> od prioritetnog značaja za Republiku Hrvatsku, ispunjavajući praznine u postojećem lancu vrijednosti, primjenj</w:t>
      </w:r>
      <w:r>
        <w:rPr>
          <w:rFonts w:cs="Calibri"/>
        </w:rPr>
        <w:t>ujući nove tehnologije i znanja te</w:t>
      </w:r>
      <w:r w:rsidRPr="00F30680">
        <w:rPr>
          <w:rFonts w:cs="Calibri"/>
        </w:rPr>
        <w:t xml:space="preserve"> pridonoseći horizontalnoj i vertikalnoj integraciji hrvatskog gospodarstva na svjetsko tržište. </w:t>
      </w:r>
    </w:p>
    <w:p w:rsidR="000C1520" w:rsidRDefault="000C1520" w:rsidP="00F0426D">
      <w:pPr>
        <w:spacing w:line="360" w:lineRule="auto"/>
        <w:jc w:val="both"/>
        <w:rPr>
          <w:rStyle w:val="Heading2Char"/>
          <w:sz w:val="20"/>
        </w:rPr>
      </w:pPr>
      <w:r w:rsidRPr="00F30680">
        <w:rPr>
          <w:rFonts w:cs="Calibri"/>
        </w:rPr>
        <w:lastRenderedPageBreak/>
        <w:t xml:space="preserve">Ciljevi i prioritetna područja definirani u okviru Strategije poticanja investicija samo su dio </w:t>
      </w:r>
      <w:r>
        <w:rPr>
          <w:rFonts w:cs="Calibri"/>
        </w:rPr>
        <w:t>sve</w:t>
      </w:r>
      <w:r w:rsidRPr="00F30680">
        <w:rPr>
          <w:rFonts w:cs="Calibri"/>
        </w:rPr>
        <w:t>ukupnog spektra mjera gospodarske politike RH poput mjera industrijske i inovacijske politike, politike razvoja turizma, politike razvoja malog i srednjeg poduzet</w:t>
      </w:r>
      <w:r>
        <w:rPr>
          <w:rFonts w:cs="Calibri"/>
        </w:rPr>
        <w:t>ništva te</w:t>
      </w:r>
      <w:r w:rsidRPr="00F30680">
        <w:rPr>
          <w:rFonts w:cs="Calibri"/>
        </w:rPr>
        <w:t xml:space="preserve"> politike pametne specijalizacije.</w:t>
      </w:r>
    </w:p>
    <w:p w:rsidR="002954F0" w:rsidRDefault="002954F0" w:rsidP="00D74ECD">
      <w:pPr>
        <w:pStyle w:val="Heading3"/>
        <w:rPr>
          <w:rStyle w:val="Heading2Char"/>
          <w:b/>
          <w:sz w:val="22"/>
          <w:szCs w:val="22"/>
        </w:rPr>
      </w:pPr>
      <w:bookmarkStart w:id="2" w:name="_Toc373137850"/>
    </w:p>
    <w:p w:rsidR="000C1520" w:rsidRPr="00D74ECD" w:rsidRDefault="000C1520" w:rsidP="00D74ECD">
      <w:pPr>
        <w:pStyle w:val="Heading3"/>
        <w:rPr>
          <w:rStyle w:val="Heading2Char"/>
          <w:b/>
          <w:sz w:val="22"/>
          <w:szCs w:val="22"/>
        </w:rPr>
      </w:pPr>
      <w:r>
        <w:rPr>
          <w:rStyle w:val="Heading2Char"/>
          <w:b/>
          <w:sz w:val="22"/>
          <w:szCs w:val="22"/>
        </w:rPr>
        <w:t>POPIS TAB</w:t>
      </w:r>
      <w:r w:rsidRPr="00D74ECD">
        <w:rPr>
          <w:rStyle w:val="Heading2Char"/>
          <w:b/>
          <w:sz w:val="22"/>
          <w:szCs w:val="22"/>
        </w:rPr>
        <w:t>L</w:t>
      </w:r>
      <w:r>
        <w:rPr>
          <w:rStyle w:val="Heading2Char"/>
          <w:b/>
          <w:sz w:val="22"/>
          <w:szCs w:val="22"/>
        </w:rPr>
        <w:t>IC</w:t>
      </w:r>
      <w:r w:rsidRPr="00D74ECD">
        <w:rPr>
          <w:rStyle w:val="Heading2Char"/>
          <w:b/>
          <w:sz w:val="22"/>
          <w:szCs w:val="22"/>
        </w:rPr>
        <w:t>A</w:t>
      </w:r>
      <w:bookmarkEnd w:id="1"/>
      <w:bookmarkEnd w:id="2"/>
    </w:p>
    <w:p w:rsidR="000C1520" w:rsidRPr="007E08EB" w:rsidRDefault="000C1520" w:rsidP="009C0EBF">
      <w:pPr>
        <w:pStyle w:val="Heading3"/>
        <w:jc w:val="both"/>
      </w:pPr>
      <w:r w:rsidRPr="00636499">
        <w:rPr>
          <w:rStyle w:val="Heading2Char"/>
          <w:sz w:val="20"/>
        </w:rPr>
        <w:tab/>
      </w:r>
      <w:r w:rsidRPr="00636499">
        <w:tab/>
      </w:r>
      <w:r w:rsidRPr="00636499">
        <w:tab/>
      </w:r>
      <w:r w:rsidRPr="00636499">
        <w:tab/>
      </w:r>
      <w:r w:rsidRPr="00636499">
        <w:tab/>
      </w:r>
      <w:r w:rsidRPr="00636499">
        <w:tab/>
      </w:r>
      <w:r w:rsidRPr="00636499">
        <w:tab/>
      </w:r>
      <w:r w:rsidRPr="00636499">
        <w:tab/>
      </w:r>
      <w:r w:rsidRPr="00636499">
        <w:tab/>
      </w:r>
      <w:r w:rsidRPr="00636499">
        <w:tab/>
        <w:t xml:space="preserve">     </w:t>
      </w:r>
    </w:p>
    <w:p w:rsidR="000C1520" w:rsidRDefault="000C1520" w:rsidP="009C0EBF">
      <w:pPr>
        <w:spacing w:after="0" w:line="240" w:lineRule="auto"/>
        <w:jc w:val="both"/>
        <w:rPr>
          <w:i/>
        </w:rPr>
      </w:pPr>
      <w:r w:rsidRPr="00F9383D">
        <w:rPr>
          <w:b/>
          <w:i/>
        </w:rPr>
        <w:t>Tablica 1.</w:t>
      </w:r>
      <w:r w:rsidRPr="00F9383D">
        <w:rPr>
          <w:i/>
        </w:rPr>
        <w:t xml:space="preserve"> Ukupna kretanja izravnih stranih investicija na globalnom tržištu i projekcija </w:t>
      </w:r>
      <w:r w:rsidRPr="00F9383D">
        <w:rPr>
          <w:i/>
        </w:rPr>
        <w:tab/>
      </w:r>
    </w:p>
    <w:p w:rsidR="000C1520" w:rsidRPr="00F9383D" w:rsidRDefault="000C1520" w:rsidP="009C0EBF">
      <w:pPr>
        <w:spacing w:after="0" w:line="240" w:lineRule="auto"/>
        <w:jc w:val="both"/>
        <w:rPr>
          <w:i/>
        </w:rPr>
      </w:pPr>
      <w:r w:rsidRPr="00F9383D">
        <w:rPr>
          <w:i/>
        </w:rPr>
        <w:tab/>
      </w:r>
    </w:p>
    <w:p w:rsidR="000C1520" w:rsidRPr="00F9383D" w:rsidRDefault="000C1520" w:rsidP="009C0EBF">
      <w:pPr>
        <w:spacing w:after="0" w:line="240" w:lineRule="auto"/>
        <w:jc w:val="both"/>
        <w:rPr>
          <w:i/>
        </w:rPr>
      </w:pPr>
      <w:r>
        <w:rPr>
          <w:b/>
          <w:i/>
        </w:rPr>
        <w:t>Tablica 2</w:t>
      </w:r>
      <w:r w:rsidRPr="00F9383D">
        <w:rPr>
          <w:b/>
          <w:i/>
        </w:rPr>
        <w:t>.</w:t>
      </w:r>
      <w:r w:rsidRPr="00F9383D">
        <w:rPr>
          <w:i/>
        </w:rPr>
        <w:t xml:space="preserve"> Kretanja izravnih stranih investicija po sektorima</w:t>
      </w:r>
      <w:r w:rsidRPr="00F9383D">
        <w:rPr>
          <w:i/>
        </w:rPr>
        <w:tab/>
      </w:r>
      <w:r w:rsidRPr="00F9383D">
        <w:rPr>
          <w:i/>
        </w:rPr>
        <w:tab/>
      </w:r>
      <w:r w:rsidRPr="00F9383D">
        <w:rPr>
          <w:i/>
        </w:rPr>
        <w:tab/>
      </w:r>
      <w:r w:rsidRPr="00F9383D">
        <w:rPr>
          <w:i/>
        </w:rPr>
        <w:tab/>
      </w:r>
      <w:r w:rsidRPr="00F9383D">
        <w:rPr>
          <w:i/>
        </w:rPr>
        <w:tab/>
      </w:r>
    </w:p>
    <w:p w:rsidR="000C1520" w:rsidRPr="00F9383D" w:rsidRDefault="000C1520" w:rsidP="009C0EBF">
      <w:pPr>
        <w:spacing w:after="0" w:line="240" w:lineRule="auto"/>
        <w:jc w:val="both"/>
        <w:rPr>
          <w:i/>
        </w:rPr>
      </w:pPr>
    </w:p>
    <w:p w:rsidR="009C0EBF" w:rsidRDefault="000C1520" w:rsidP="009C0EBF">
      <w:pPr>
        <w:spacing w:after="0" w:line="240" w:lineRule="auto"/>
        <w:jc w:val="both"/>
        <w:rPr>
          <w:rFonts w:cs="Calibri"/>
          <w:i/>
        </w:rPr>
      </w:pPr>
      <w:r>
        <w:rPr>
          <w:rFonts w:cs="TimesNewRomanPSMT"/>
          <w:b/>
          <w:i/>
          <w:szCs w:val="20"/>
        </w:rPr>
        <w:t>Tablica 3</w:t>
      </w:r>
      <w:r w:rsidRPr="00F9383D">
        <w:rPr>
          <w:rFonts w:cs="TimesNewRomanPSMT"/>
          <w:b/>
          <w:i/>
          <w:szCs w:val="20"/>
        </w:rPr>
        <w:t>.</w:t>
      </w:r>
      <w:r w:rsidRPr="003351C8">
        <w:rPr>
          <w:rFonts w:cs="Calibri"/>
          <w:b/>
          <w:i/>
        </w:rPr>
        <w:t xml:space="preserve"> </w:t>
      </w:r>
      <w:r w:rsidRPr="003351C8">
        <w:rPr>
          <w:rFonts w:cs="Calibri"/>
          <w:i/>
        </w:rPr>
        <w:t>Izravne strane investicije u Re</w:t>
      </w:r>
      <w:r>
        <w:rPr>
          <w:rFonts w:cs="Calibri"/>
          <w:i/>
        </w:rPr>
        <w:t>publici Hrvatskoj od 1993. do drugog</w:t>
      </w:r>
      <w:r w:rsidRPr="003351C8">
        <w:rPr>
          <w:rFonts w:cs="Calibri"/>
          <w:i/>
        </w:rPr>
        <w:t xml:space="preserve"> tromjesečja  2013. </w:t>
      </w:r>
    </w:p>
    <w:p w:rsidR="000C1520" w:rsidRPr="00923D77" w:rsidRDefault="009C0EBF" w:rsidP="009C0EBF">
      <w:pPr>
        <w:spacing w:after="0" w:line="240" w:lineRule="auto"/>
        <w:jc w:val="both"/>
        <w:rPr>
          <w:rFonts w:cs="Calibri"/>
          <w:i/>
        </w:rPr>
      </w:pPr>
      <w:r>
        <w:rPr>
          <w:rFonts w:cs="Calibri"/>
          <w:i/>
        </w:rPr>
        <w:t xml:space="preserve">                 (</w:t>
      </w:r>
      <w:r w:rsidR="000C1520">
        <w:rPr>
          <w:rFonts w:cs="Calibri"/>
          <w:i/>
        </w:rPr>
        <w:t>u milijunima eura</w:t>
      </w:r>
      <w:r w:rsidR="000C1520" w:rsidRPr="003351C8">
        <w:rPr>
          <w:rFonts w:cs="Calibri"/>
          <w:i/>
        </w:rPr>
        <w:t>)</w:t>
      </w:r>
    </w:p>
    <w:p w:rsidR="000C1520" w:rsidRPr="00F9383D" w:rsidRDefault="000C1520" w:rsidP="009C0EBF">
      <w:pPr>
        <w:tabs>
          <w:tab w:val="left" w:pos="2685"/>
        </w:tabs>
        <w:spacing w:after="0" w:line="240" w:lineRule="auto"/>
        <w:jc w:val="both"/>
        <w:rPr>
          <w:rFonts w:cs="TimesNewRomanPSMT"/>
          <w:i/>
          <w:szCs w:val="20"/>
        </w:rPr>
      </w:pPr>
      <w:r w:rsidRPr="00F9383D">
        <w:rPr>
          <w:rFonts w:cs="TimesNewRomanPSMT"/>
          <w:i/>
          <w:szCs w:val="20"/>
        </w:rPr>
        <w:tab/>
      </w:r>
      <w:r>
        <w:rPr>
          <w:rFonts w:cs="TimesNewRomanPSMT"/>
          <w:i/>
          <w:szCs w:val="20"/>
        </w:rPr>
        <w:t xml:space="preserve">                                                                                                                      </w:t>
      </w:r>
    </w:p>
    <w:p w:rsidR="000C1520" w:rsidRPr="00F9383D" w:rsidRDefault="000C1520" w:rsidP="009C0EBF">
      <w:pPr>
        <w:spacing w:after="0" w:line="240" w:lineRule="auto"/>
        <w:jc w:val="both"/>
        <w:rPr>
          <w:rFonts w:cs="Calibri"/>
          <w:i/>
        </w:rPr>
      </w:pPr>
      <w:r>
        <w:rPr>
          <w:rFonts w:cs="Calibri"/>
          <w:b/>
          <w:i/>
        </w:rPr>
        <w:t>Tablica 4</w:t>
      </w:r>
      <w:r w:rsidRPr="00F9383D">
        <w:rPr>
          <w:rFonts w:cs="Calibri"/>
          <w:b/>
          <w:i/>
        </w:rPr>
        <w:t>.</w:t>
      </w:r>
      <w:r w:rsidRPr="00F9383D">
        <w:rPr>
          <w:rFonts w:cs="Calibri"/>
          <w:i/>
        </w:rPr>
        <w:t xml:space="preserve"> Izravne strane investicije po vrst</w:t>
      </w:r>
      <w:r>
        <w:rPr>
          <w:rFonts w:cs="Calibri"/>
          <w:i/>
        </w:rPr>
        <w:t>i investicija (2005.- drugo tromjesečje 2012., u milijunima eura)</w:t>
      </w:r>
      <w:r w:rsidRPr="00F9383D">
        <w:rPr>
          <w:rFonts w:cs="Calibri"/>
          <w:i/>
        </w:rPr>
        <w:tab/>
      </w:r>
      <w:r w:rsidRPr="00F9383D">
        <w:rPr>
          <w:rFonts w:cs="Calibri"/>
          <w:i/>
        </w:rPr>
        <w:tab/>
      </w:r>
    </w:p>
    <w:p w:rsidR="000C1520" w:rsidRPr="00F9383D" w:rsidRDefault="000C1520" w:rsidP="009C0EBF">
      <w:pPr>
        <w:spacing w:after="0" w:line="240" w:lineRule="auto"/>
        <w:jc w:val="both"/>
        <w:rPr>
          <w:i/>
        </w:rPr>
      </w:pPr>
    </w:p>
    <w:p w:rsidR="000C1520" w:rsidRDefault="000C1520" w:rsidP="009C0EBF">
      <w:pPr>
        <w:spacing w:after="0" w:line="240" w:lineRule="auto"/>
        <w:jc w:val="both"/>
        <w:rPr>
          <w:i/>
        </w:rPr>
      </w:pPr>
      <w:r>
        <w:rPr>
          <w:b/>
          <w:i/>
        </w:rPr>
        <w:t>Tablica 5</w:t>
      </w:r>
      <w:r w:rsidRPr="00F9383D">
        <w:rPr>
          <w:b/>
          <w:i/>
        </w:rPr>
        <w:t>.</w:t>
      </w:r>
      <w:r>
        <w:rPr>
          <w:i/>
        </w:rPr>
        <w:t xml:space="preserve"> Udio i</w:t>
      </w:r>
      <w:r w:rsidRPr="00F9383D">
        <w:rPr>
          <w:i/>
        </w:rPr>
        <w:t>zravnih stranih investicija u BDP-u RH</w:t>
      </w:r>
      <w:r w:rsidRPr="00F9383D">
        <w:rPr>
          <w:i/>
        </w:rPr>
        <w:tab/>
      </w:r>
      <w:r w:rsidRPr="00F9383D">
        <w:rPr>
          <w:i/>
        </w:rPr>
        <w:tab/>
      </w:r>
    </w:p>
    <w:p w:rsidR="000C1520" w:rsidRPr="00F9383D" w:rsidRDefault="000C1520" w:rsidP="009C0EBF">
      <w:pPr>
        <w:spacing w:after="0" w:line="240" w:lineRule="auto"/>
        <w:jc w:val="both"/>
        <w:rPr>
          <w:bCs/>
          <w:i/>
        </w:rPr>
      </w:pPr>
      <w:r w:rsidRPr="00F9383D">
        <w:rPr>
          <w:i/>
        </w:rPr>
        <w:tab/>
      </w:r>
      <w:r w:rsidRPr="00F9383D">
        <w:rPr>
          <w:i/>
        </w:rPr>
        <w:tab/>
      </w:r>
      <w:r w:rsidRPr="00F9383D">
        <w:rPr>
          <w:i/>
        </w:rPr>
        <w:tab/>
      </w:r>
      <w:r w:rsidRPr="00F9383D">
        <w:rPr>
          <w:i/>
        </w:rPr>
        <w:tab/>
      </w:r>
    </w:p>
    <w:p w:rsidR="000C1520" w:rsidRDefault="000C1520" w:rsidP="009C0EBF">
      <w:pPr>
        <w:jc w:val="both"/>
        <w:rPr>
          <w:i/>
        </w:rPr>
      </w:pPr>
      <w:bookmarkStart w:id="3" w:name="_Toc351127585"/>
      <w:r>
        <w:rPr>
          <w:b/>
          <w:i/>
        </w:rPr>
        <w:t>Tablica 6</w:t>
      </w:r>
      <w:r w:rsidRPr="00F9383D">
        <w:rPr>
          <w:b/>
          <w:i/>
        </w:rPr>
        <w:t>.</w:t>
      </w:r>
      <w:r w:rsidRPr="00F9383D">
        <w:rPr>
          <w:i/>
        </w:rPr>
        <w:t xml:space="preserve"> </w:t>
      </w:r>
      <w:r>
        <w:rPr>
          <w:i/>
        </w:rPr>
        <w:t>Strateški pokazatelji uspješnosti poticanja investicija u RH</w:t>
      </w:r>
    </w:p>
    <w:p w:rsidR="000C1520" w:rsidRDefault="000C1520" w:rsidP="00F90A88">
      <w:pPr>
        <w:rPr>
          <w:rStyle w:val="Heading2Char"/>
          <w:sz w:val="20"/>
        </w:rPr>
      </w:pPr>
    </w:p>
    <w:p w:rsidR="009C0EBF" w:rsidRDefault="000C1520" w:rsidP="00D74ECD">
      <w:pPr>
        <w:pStyle w:val="Heading3"/>
      </w:pPr>
      <w:bookmarkStart w:id="4" w:name="_Toc373137851"/>
      <w:r w:rsidRPr="00D74ECD">
        <w:rPr>
          <w:rStyle w:val="Heading2Char"/>
          <w:b/>
          <w:sz w:val="22"/>
          <w:szCs w:val="22"/>
        </w:rPr>
        <w:t>POPIS GRAFI</w:t>
      </w:r>
      <w:bookmarkEnd w:id="3"/>
      <w:r>
        <w:rPr>
          <w:rStyle w:val="Heading2Char"/>
          <w:b/>
          <w:sz w:val="22"/>
          <w:szCs w:val="22"/>
        </w:rPr>
        <w:t>ČKIH PRIKAZA</w:t>
      </w:r>
      <w:bookmarkEnd w:id="4"/>
      <w:r w:rsidRPr="00D74ECD">
        <w:tab/>
      </w:r>
    </w:p>
    <w:p w:rsidR="000C1520" w:rsidRPr="00D74ECD" w:rsidRDefault="000C1520" w:rsidP="00D74ECD">
      <w:pPr>
        <w:pStyle w:val="Heading3"/>
      </w:pPr>
      <w:r w:rsidRPr="00D74ECD">
        <w:tab/>
      </w:r>
      <w:r w:rsidRPr="00D74ECD">
        <w:tab/>
      </w:r>
      <w:r w:rsidRPr="00D74ECD">
        <w:tab/>
      </w:r>
      <w:r w:rsidRPr="00D74ECD">
        <w:tab/>
      </w:r>
      <w:r w:rsidRPr="00D74ECD">
        <w:tab/>
      </w:r>
      <w:r w:rsidRPr="00D74ECD">
        <w:tab/>
      </w:r>
      <w:r w:rsidRPr="00D74ECD">
        <w:tab/>
      </w:r>
      <w:r w:rsidRPr="00D74ECD">
        <w:tab/>
        <w:t xml:space="preserve">     </w:t>
      </w:r>
    </w:p>
    <w:p w:rsidR="000C1520" w:rsidRPr="009C0EBF" w:rsidRDefault="000C1520" w:rsidP="001314FB">
      <w:pPr>
        <w:rPr>
          <w:i/>
        </w:rPr>
      </w:pPr>
      <w:r w:rsidRPr="009C0EBF">
        <w:rPr>
          <w:b/>
          <w:i/>
        </w:rPr>
        <w:t>Grafički prikaz 1</w:t>
      </w:r>
      <w:r w:rsidRPr="009C0EBF">
        <w:rPr>
          <w:i/>
        </w:rPr>
        <w:t>. Kretanje izravnih stranih investicija u zemljama u okruženju (u milijunima eura)</w:t>
      </w:r>
    </w:p>
    <w:p w:rsidR="000C1520" w:rsidRPr="009C0EBF" w:rsidRDefault="000C1520" w:rsidP="001314FB">
      <w:pPr>
        <w:rPr>
          <w:i/>
        </w:rPr>
      </w:pPr>
      <w:r w:rsidRPr="009C0EBF">
        <w:rPr>
          <w:b/>
          <w:i/>
        </w:rPr>
        <w:t>Grafički prikaz 2.</w:t>
      </w:r>
      <w:r w:rsidRPr="009C0EBF">
        <w:rPr>
          <w:i/>
        </w:rPr>
        <w:t xml:space="preserve"> Ukupni iznos izravnih stranih investicija u zemljama u okruženju po stanovniku (u dolarima)</w:t>
      </w:r>
    </w:p>
    <w:p w:rsidR="000C1520" w:rsidRPr="009C0EBF" w:rsidRDefault="000C1520" w:rsidP="001314FB">
      <w:pPr>
        <w:rPr>
          <w:i/>
        </w:rPr>
      </w:pPr>
      <w:r w:rsidRPr="009C0EBF">
        <w:rPr>
          <w:b/>
          <w:i/>
        </w:rPr>
        <w:t>Grafički prikaz 3.</w:t>
      </w:r>
      <w:r w:rsidRPr="009C0EBF">
        <w:rPr>
          <w:i/>
        </w:rPr>
        <w:t xml:space="preserve"> Vrijednost </w:t>
      </w:r>
      <w:proofErr w:type="spellStart"/>
      <w:r w:rsidRPr="009C0EBF">
        <w:rPr>
          <w:i/>
        </w:rPr>
        <w:t>greenfield</w:t>
      </w:r>
      <w:proofErr w:type="spellEnd"/>
      <w:r w:rsidRPr="009C0EBF">
        <w:rPr>
          <w:i/>
        </w:rPr>
        <w:t xml:space="preserve"> investicija u zemljama u okruženju (u milijunima dolara)</w:t>
      </w:r>
    </w:p>
    <w:p w:rsidR="000C1520" w:rsidRPr="009C0EBF" w:rsidRDefault="000C1520" w:rsidP="001314FB">
      <w:pPr>
        <w:rPr>
          <w:i/>
        </w:rPr>
      </w:pPr>
      <w:r w:rsidRPr="009C0EBF">
        <w:rPr>
          <w:b/>
          <w:i/>
        </w:rPr>
        <w:t>Grafički prikaz  4.</w:t>
      </w:r>
      <w:r w:rsidRPr="009C0EBF">
        <w:rPr>
          <w:rFonts w:cs="Calibri"/>
          <w:i/>
        </w:rPr>
        <w:t xml:space="preserve"> Izravne strane investicije u razdoblju od 2005. do polovice 2012. po zemljama (u milijunima eura)</w:t>
      </w:r>
    </w:p>
    <w:p w:rsidR="000C1520" w:rsidRPr="009C0EBF" w:rsidRDefault="000C1520" w:rsidP="00BF4FE0">
      <w:pPr>
        <w:spacing w:after="0" w:line="240" w:lineRule="auto"/>
        <w:rPr>
          <w:rFonts w:cs="Calibri"/>
          <w:i/>
        </w:rPr>
      </w:pPr>
      <w:r w:rsidRPr="009C0EBF">
        <w:rPr>
          <w:b/>
          <w:i/>
        </w:rPr>
        <w:t>Grafički prikaz 5.</w:t>
      </w:r>
      <w:r w:rsidRPr="009C0EBF">
        <w:rPr>
          <w:rFonts w:cs="Calibri"/>
          <w:i/>
        </w:rPr>
        <w:t xml:space="preserve"> Struktura investicija 2005.- prvo i drugo tromjesečje 2013.</w:t>
      </w:r>
    </w:p>
    <w:p w:rsidR="000C1520" w:rsidRPr="009C0EBF" w:rsidRDefault="000C1520" w:rsidP="00BF4FE0">
      <w:pPr>
        <w:spacing w:after="0" w:line="240" w:lineRule="auto"/>
        <w:rPr>
          <w:b/>
          <w:i/>
        </w:rPr>
      </w:pPr>
    </w:p>
    <w:p w:rsidR="000C1520" w:rsidRPr="009C0EBF" w:rsidRDefault="000C1520" w:rsidP="0018333D">
      <w:pPr>
        <w:spacing w:after="0" w:line="240" w:lineRule="auto"/>
        <w:rPr>
          <w:rFonts w:cs="Calibri"/>
          <w:i/>
        </w:rPr>
      </w:pPr>
      <w:r w:rsidRPr="009C0EBF">
        <w:rPr>
          <w:b/>
          <w:i/>
        </w:rPr>
        <w:t>Grafički prikaz 6</w:t>
      </w:r>
      <w:r w:rsidRPr="009C0EBF">
        <w:rPr>
          <w:i/>
        </w:rPr>
        <w:t>.</w:t>
      </w:r>
      <w:r w:rsidRPr="009C0EBF">
        <w:rPr>
          <w:rFonts w:cs="Calibri"/>
          <w:bCs/>
          <w:i/>
          <w:lang w:eastAsia="zh-CN"/>
        </w:rPr>
        <w:t xml:space="preserve"> </w:t>
      </w:r>
      <w:r w:rsidRPr="009C0EBF">
        <w:rPr>
          <w:rFonts w:cs="Calibri"/>
          <w:i/>
        </w:rPr>
        <w:t>Županije s najviše FDI u razdoblju od 2005. do polovice 2013.</w:t>
      </w:r>
    </w:p>
    <w:p w:rsidR="000C1520" w:rsidRPr="009C0EBF" w:rsidRDefault="000C1520" w:rsidP="0018333D">
      <w:pPr>
        <w:spacing w:after="0" w:line="240" w:lineRule="auto"/>
        <w:rPr>
          <w:rFonts w:cs="Calibri"/>
          <w:i/>
        </w:rPr>
      </w:pPr>
    </w:p>
    <w:p w:rsidR="000C1520" w:rsidRPr="009C0EBF" w:rsidRDefault="000C1520" w:rsidP="00F90A88">
      <w:pPr>
        <w:spacing w:after="0" w:line="240" w:lineRule="auto"/>
        <w:jc w:val="both"/>
        <w:rPr>
          <w:rFonts w:cs="Calibri"/>
          <w:i/>
        </w:rPr>
      </w:pPr>
      <w:r w:rsidRPr="009C0EBF">
        <w:rPr>
          <w:b/>
          <w:i/>
        </w:rPr>
        <w:t>Grafički prikaz 7.</w:t>
      </w:r>
      <w:r w:rsidRPr="009C0EBF">
        <w:rPr>
          <w:i/>
        </w:rPr>
        <w:t xml:space="preserve"> </w:t>
      </w:r>
      <w:r w:rsidRPr="009C0EBF">
        <w:rPr>
          <w:rFonts w:cs="Calibri"/>
          <w:i/>
        </w:rPr>
        <w:t xml:space="preserve">BDP po glavi stanovnika prema </w:t>
      </w:r>
      <w:proofErr w:type="spellStart"/>
      <w:r w:rsidRPr="009C0EBF">
        <w:rPr>
          <w:rFonts w:cs="Calibri"/>
          <w:i/>
        </w:rPr>
        <w:t>Purchasing</w:t>
      </w:r>
      <w:proofErr w:type="spellEnd"/>
      <w:r w:rsidRPr="009C0EBF">
        <w:rPr>
          <w:rFonts w:cs="Calibri"/>
          <w:i/>
        </w:rPr>
        <w:t xml:space="preserve"> Power </w:t>
      </w:r>
      <w:proofErr w:type="spellStart"/>
      <w:r w:rsidRPr="009C0EBF">
        <w:rPr>
          <w:rFonts w:cs="Calibri"/>
          <w:i/>
        </w:rPr>
        <w:t>Standards</w:t>
      </w:r>
      <w:proofErr w:type="spellEnd"/>
      <w:r w:rsidRPr="009C0EBF">
        <w:rPr>
          <w:rFonts w:cs="Calibri"/>
          <w:i/>
        </w:rPr>
        <w:t xml:space="preserve"> (PPS) u 2010. (EU27 = 100)</w:t>
      </w:r>
      <w:r w:rsidRPr="009C0EBF">
        <w:rPr>
          <w:rFonts w:cs="Calibri"/>
          <w:i/>
        </w:rPr>
        <w:tab/>
      </w:r>
      <w:r w:rsidRPr="009C0EBF">
        <w:rPr>
          <w:rFonts w:cs="Calibri"/>
          <w:i/>
        </w:rPr>
        <w:tab/>
      </w:r>
    </w:p>
    <w:p w:rsidR="000C1520" w:rsidRPr="009C0EBF" w:rsidRDefault="000C1520" w:rsidP="00F90A88">
      <w:pPr>
        <w:spacing w:after="0" w:line="240" w:lineRule="auto"/>
        <w:jc w:val="both"/>
        <w:rPr>
          <w:rFonts w:cs="Calibri"/>
          <w:i/>
        </w:rPr>
      </w:pPr>
    </w:p>
    <w:p w:rsidR="000C1520" w:rsidRDefault="000C1520" w:rsidP="00F90A88">
      <w:pPr>
        <w:spacing w:after="0" w:line="240" w:lineRule="auto"/>
        <w:jc w:val="both"/>
        <w:rPr>
          <w:rFonts w:cs="Calibri"/>
          <w:i/>
        </w:rPr>
      </w:pPr>
    </w:p>
    <w:p w:rsidR="000C1520" w:rsidRDefault="000C1520" w:rsidP="00F90A88">
      <w:pPr>
        <w:spacing w:after="0" w:line="240" w:lineRule="auto"/>
        <w:jc w:val="both"/>
        <w:rPr>
          <w:rFonts w:cs="Calibri"/>
          <w:i/>
        </w:rPr>
      </w:pPr>
    </w:p>
    <w:p w:rsidR="000C1520" w:rsidRPr="00636499" w:rsidRDefault="000C1520" w:rsidP="00D74ECD">
      <w:pPr>
        <w:pStyle w:val="Heading3"/>
      </w:pPr>
      <w:bookmarkStart w:id="5" w:name="_Toc351127586"/>
      <w:bookmarkStart w:id="6" w:name="_Toc373137852"/>
      <w:r w:rsidRPr="00636499">
        <w:lastRenderedPageBreak/>
        <w:t>POPIS KRATICA</w:t>
      </w:r>
      <w:bookmarkEnd w:id="5"/>
      <w:bookmarkEnd w:id="6"/>
    </w:p>
    <w:p w:rsidR="000C1520" w:rsidRPr="00636499" w:rsidRDefault="000C1520" w:rsidP="00B45E79">
      <w:pPr>
        <w:pStyle w:val="NoSpacing"/>
        <w:rPr>
          <w:rFonts w:cs="Calibri"/>
          <w:b/>
          <w:bCs/>
          <w:lang w:val="hr-HR"/>
        </w:rPr>
      </w:pPr>
    </w:p>
    <w:p w:rsidR="000C1520" w:rsidRPr="00636499" w:rsidRDefault="000C1520" w:rsidP="00B45E79">
      <w:pPr>
        <w:pStyle w:val="NoSpacing"/>
        <w:rPr>
          <w:rFonts w:cs="Calibri"/>
          <w:bCs/>
          <w:lang w:val="hr-HR"/>
        </w:rPr>
      </w:pPr>
      <w:r w:rsidRPr="00636499">
        <w:rPr>
          <w:rFonts w:cs="Calibri"/>
          <w:b/>
          <w:bCs/>
          <w:lang w:val="hr-HR"/>
        </w:rPr>
        <w:t>AIK</w:t>
      </w:r>
      <w:r w:rsidRPr="00636499">
        <w:rPr>
          <w:rFonts w:cs="Calibri"/>
          <w:bCs/>
          <w:lang w:val="hr-HR"/>
        </w:rPr>
        <w:t xml:space="preserve"> </w:t>
      </w:r>
      <w:r>
        <w:rPr>
          <w:rFonts w:cs="Calibri"/>
          <w:bCs/>
          <w:lang w:val="hr-HR"/>
        </w:rPr>
        <w:t>–</w:t>
      </w:r>
      <w:r w:rsidRPr="00636499">
        <w:rPr>
          <w:rFonts w:cs="Calibri"/>
          <w:bCs/>
          <w:lang w:val="hr-HR"/>
        </w:rPr>
        <w:t>Agencija za investicije i konkurentnost</w:t>
      </w:r>
    </w:p>
    <w:p w:rsidR="000C1520" w:rsidRPr="00636499" w:rsidRDefault="000C1520" w:rsidP="00B45E79">
      <w:pPr>
        <w:pStyle w:val="NoSpacing"/>
        <w:rPr>
          <w:lang w:val="hr-HR"/>
        </w:rPr>
      </w:pPr>
      <w:r w:rsidRPr="00636499">
        <w:rPr>
          <w:b/>
          <w:lang w:val="hr-HR"/>
        </w:rPr>
        <w:t>ASOO</w:t>
      </w:r>
      <w:r>
        <w:rPr>
          <w:b/>
          <w:lang w:val="hr-HR"/>
        </w:rPr>
        <w:t>O</w:t>
      </w:r>
      <w:r w:rsidRPr="00636499">
        <w:rPr>
          <w:b/>
          <w:lang w:val="hr-HR"/>
        </w:rPr>
        <w:t xml:space="preserve"> – </w:t>
      </w:r>
      <w:r w:rsidRPr="00636499">
        <w:rPr>
          <w:lang w:val="hr-HR"/>
        </w:rPr>
        <w:t>Agencija za strukovno obrazovanje i obrazovanje odraslih</w:t>
      </w:r>
    </w:p>
    <w:p w:rsidR="000C1520" w:rsidRPr="00636499" w:rsidRDefault="000C1520" w:rsidP="00B45E79">
      <w:pPr>
        <w:pStyle w:val="NoSpacing"/>
        <w:rPr>
          <w:lang w:val="hr-HR"/>
        </w:rPr>
      </w:pPr>
      <w:r w:rsidRPr="00636499">
        <w:rPr>
          <w:b/>
          <w:lang w:val="hr-HR"/>
        </w:rPr>
        <w:t xml:space="preserve">BDP </w:t>
      </w:r>
      <w:r w:rsidRPr="00636499">
        <w:rPr>
          <w:lang w:val="hr-HR"/>
        </w:rPr>
        <w:t>– Bruto društveni proizvod</w:t>
      </w:r>
    </w:p>
    <w:p w:rsidR="000C1520" w:rsidRPr="00636499" w:rsidRDefault="000C1520" w:rsidP="00B45E79">
      <w:pPr>
        <w:pStyle w:val="NoSpacing"/>
        <w:rPr>
          <w:rFonts w:cs="Calibri"/>
          <w:lang w:val="hr-HR"/>
        </w:rPr>
      </w:pPr>
      <w:r w:rsidRPr="00636499">
        <w:rPr>
          <w:rFonts w:cs="Calibri"/>
          <w:b/>
          <w:lang w:val="hr-HR"/>
        </w:rPr>
        <w:t>BDV</w:t>
      </w:r>
      <w:r>
        <w:rPr>
          <w:rFonts w:cs="Calibri"/>
          <w:b/>
          <w:lang w:val="hr-HR"/>
        </w:rPr>
        <w:t xml:space="preserve"> </w:t>
      </w:r>
      <w:r>
        <w:rPr>
          <w:rFonts w:cs="Calibri"/>
          <w:lang w:val="hr-HR"/>
        </w:rPr>
        <w:t>–</w:t>
      </w:r>
      <w:r w:rsidRPr="00636499">
        <w:rPr>
          <w:rFonts w:cs="Calibri"/>
          <w:lang w:val="hr-HR"/>
        </w:rPr>
        <w:t xml:space="preserve"> Bruto dodana vrijednost</w:t>
      </w:r>
    </w:p>
    <w:p w:rsidR="000C1520" w:rsidRPr="00636499" w:rsidRDefault="000C1520" w:rsidP="00B45E79">
      <w:pPr>
        <w:pStyle w:val="NoSpacing"/>
        <w:rPr>
          <w:rStyle w:val="st"/>
          <w:lang w:val="hr-HR"/>
        </w:rPr>
      </w:pPr>
      <w:r w:rsidRPr="00636499">
        <w:rPr>
          <w:rFonts w:cs="Calibri"/>
          <w:b/>
          <w:lang w:val="hr-HR"/>
        </w:rPr>
        <w:t xml:space="preserve">BERD – </w:t>
      </w:r>
      <w:proofErr w:type="spellStart"/>
      <w:r>
        <w:rPr>
          <w:rFonts w:cs="Calibri"/>
          <w:lang w:val="hr-HR"/>
        </w:rPr>
        <w:t>eng</w:t>
      </w:r>
      <w:proofErr w:type="spellEnd"/>
      <w:r w:rsidRPr="00636499">
        <w:rPr>
          <w:rFonts w:cs="Calibri"/>
          <w:lang w:val="hr-HR"/>
        </w:rPr>
        <w:t xml:space="preserve">. </w:t>
      </w:r>
      <w:proofErr w:type="spellStart"/>
      <w:r>
        <w:rPr>
          <w:rStyle w:val="st"/>
          <w:lang w:val="hr-HR"/>
        </w:rPr>
        <w:t>Business</w:t>
      </w:r>
      <w:proofErr w:type="spellEnd"/>
      <w:r>
        <w:rPr>
          <w:rStyle w:val="st"/>
          <w:lang w:val="hr-HR"/>
        </w:rPr>
        <w:t xml:space="preserve"> Enterprise </w:t>
      </w:r>
      <w:proofErr w:type="spellStart"/>
      <w:r>
        <w:rPr>
          <w:rStyle w:val="st"/>
          <w:lang w:val="hr-HR"/>
        </w:rPr>
        <w:t>Expenditure</w:t>
      </w:r>
      <w:proofErr w:type="spellEnd"/>
      <w:r>
        <w:rPr>
          <w:rStyle w:val="st"/>
          <w:lang w:val="hr-HR"/>
        </w:rPr>
        <w:t xml:space="preserve"> on </w:t>
      </w:r>
      <w:proofErr w:type="spellStart"/>
      <w:r>
        <w:rPr>
          <w:rStyle w:val="st"/>
          <w:lang w:val="hr-HR"/>
        </w:rPr>
        <w:t>Research</w:t>
      </w:r>
      <w:proofErr w:type="spellEnd"/>
      <w:r>
        <w:rPr>
          <w:rStyle w:val="st"/>
          <w:lang w:val="hr-HR"/>
        </w:rPr>
        <w:t xml:space="preserve"> </w:t>
      </w:r>
      <w:proofErr w:type="spellStart"/>
      <w:r>
        <w:rPr>
          <w:rStyle w:val="st"/>
          <w:lang w:val="hr-HR"/>
        </w:rPr>
        <w:t>and</w:t>
      </w:r>
      <w:proofErr w:type="spellEnd"/>
      <w:r>
        <w:rPr>
          <w:rStyle w:val="st"/>
          <w:lang w:val="hr-HR"/>
        </w:rPr>
        <w:t xml:space="preserve"> </w:t>
      </w:r>
      <w:proofErr w:type="spellStart"/>
      <w:r>
        <w:rPr>
          <w:rStyle w:val="st"/>
          <w:lang w:val="hr-HR"/>
        </w:rPr>
        <w:t>D</w:t>
      </w:r>
      <w:r w:rsidRPr="00636499">
        <w:rPr>
          <w:rStyle w:val="st"/>
          <w:lang w:val="hr-HR"/>
        </w:rPr>
        <w:t>evelopment</w:t>
      </w:r>
      <w:proofErr w:type="spellEnd"/>
      <w:r w:rsidRPr="00636499">
        <w:rPr>
          <w:rStyle w:val="st"/>
          <w:lang w:val="hr-HR"/>
        </w:rPr>
        <w:t xml:space="preserve">  </w:t>
      </w:r>
    </w:p>
    <w:p w:rsidR="00A346D5" w:rsidRPr="00636499" w:rsidRDefault="000C1520" w:rsidP="00B45E79">
      <w:pPr>
        <w:pStyle w:val="NoSpacing"/>
        <w:rPr>
          <w:rFonts w:cs="Calibri"/>
          <w:lang w:val="hr-HR"/>
        </w:rPr>
      </w:pPr>
      <w:r w:rsidRPr="00636499">
        <w:rPr>
          <w:rFonts w:cs="Calibri"/>
          <w:b/>
          <w:lang w:val="hr-HR"/>
        </w:rPr>
        <w:t xml:space="preserve">BICRO – </w:t>
      </w:r>
      <w:r w:rsidRPr="00636499">
        <w:rPr>
          <w:rFonts w:cs="Calibri"/>
          <w:lang w:val="hr-HR"/>
        </w:rPr>
        <w:t>Poslovno-inovacijska agencija Republike Hrvatske</w:t>
      </w:r>
    </w:p>
    <w:p w:rsidR="00A346D5" w:rsidRDefault="000C1520" w:rsidP="00B45E79">
      <w:pPr>
        <w:pStyle w:val="NoSpacing"/>
        <w:rPr>
          <w:szCs w:val="20"/>
          <w:lang w:val="hr-HR"/>
        </w:rPr>
      </w:pPr>
      <w:r w:rsidRPr="00636499">
        <w:rPr>
          <w:b/>
          <w:szCs w:val="20"/>
          <w:lang w:val="hr-HR"/>
        </w:rPr>
        <w:t xml:space="preserve">CEI – </w:t>
      </w:r>
      <w:r w:rsidRPr="00636499">
        <w:rPr>
          <w:szCs w:val="20"/>
          <w:lang w:val="hr-HR"/>
        </w:rPr>
        <w:t>Centar za praćenje poslovanja energetskog sektora i investicija</w:t>
      </w:r>
    </w:p>
    <w:p w:rsidR="00A346D5" w:rsidRPr="00A346D5" w:rsidRDefault="00A346D5" w:rsidP="00B45E79">
      <w:pPr>
        <w:pStyle w:val="NoSpacing"/>
        <w:rPr>
          <w:b/>
          <w:szCs w:val="20"/>
          <w:lang w:val="hr-HR"/>
        </w:rPr>
      </w:pPr>
      <w:r>
        <w:rPr>
          <w:b/>
          <w:szCs w:val="20"/>
          <w:lang w:val="hr-HR"/>
        </w:rPr>
        <w:t xml:space="preserve">CERP – </w:t>
      </w:r>
      <w:r w:rsidRPr="00A346D5">
        <w:rPr>
          <w:szCs w:val="20"/>
          <w:lang w:val="hr-HR"/>
        </w:rPr>
        <w:t>Centar za restrukturiranje i prodaju</w:t>
      </w:r>
    </w:p>
    <w:p w:rsidR="000C1520" w:rsidRPr="00636499" w:rsidRDefault="000C1520" w:rsidP="00B45E79">
      <w:pPr>
        <w:pStyle w:val="NoSpacing"/>
        <w:rPr>
          <w:rFonts w:cs="Calibri"/>
          <w:lang w:val="hr-HR"/>
        </w:rPr>
      </w:pPr>
      <w:r w:rsidRPr="00636499">
        <w:rPr>
          <w:rFonts w:cs="Calibri"/>
          <w:b/>
          <w:lang w:val="hr-HR"/>
        </w:rPr>
        <w:t>CPI</w:t>
      </w:r>
      <w:r w:rsidRPr="00636499">
        <w:rPr>
          <w:rFonts w:cs="Calibri"/>
          <w:lang w:val="hr-HR"/>
        </w:rPr>
        <w:t xml:space="preserve"> </w:t>
      </w:r>
      <w:r>
        <w:rPr>
          <w:rFonts w:cs="Calibri"/>
          <w:lang w:val="hr-HR"/>
        </w:rPr>
        <w:t xml:space="preserve">– </w:t>
      </w:r>
      <w:r w:rsidRPr="00636499">
        <w:rPr>
          <w:rFonts w:cs="Calibri"/>
          <w:lang w:val="hr-HR"/>
        </w:rPr>
        <w:t>Indeks potrošačkih cijena</w:t>
      </w:r>
    </w:p>
    <w:p w:rsidR="000C1520" w:rsidRPr="00636499" w:rsidRDefault="000C1520" w:rsidP="00B45E79">
      <w:pPr>
        <w:pStyle w:val="NoSpacing"/>
        <w:rPr>
          <w:b/>
          <w:szCs w:val="20"/>
          <w:lang w:val="hr-HR"/>
        </w:rPr>
      </w:pPr>
      <w:r>
        <w:rPr>
          <w:b/>
          <w:szCs w:val="20"/>
          <w:lang w:val="hr-HR"/>
        </w:rPr>
        <w:t>DU</w:t>
      </w:r>
      <w:r w:rsidR="00A346D5">
        <w:rPr>
          <w:b/>
          <w:szCs w:val="20"/>
          <w:lang w:val="hr-HR"/>
        </w:rPr>
        <w:t>U</w:t>
      </w:r>
      <w:r w:rsidRPr="00636499">
        <w:rPr>
          <w:b/>
          <w:szCs w:val="20"/>
          <w:lang w:val="hr-HR"/>
        </w:rPr>
        <w:t xml:space="preserve">DI – </w:t>
      </w:r>
      <w:r w:rsidRPr="00636499">
        <w:rPr>
          <w:rStyle w:val="st"/>
          <w:lang w:val="hr-HR"/>
        </w:rPr>
        <w:t>Državni ured za upravljanje državnom imovinom</w:t>
      </w:r>
    </w:p>
    <w:p w:rsidR="000C1520" w:rsidRPr="00636499" w:rsidRDefault="000C1520" w:rsidP="00B45E79">
      <w:pPr>
        <w:pStyle w:val="NoSpacing"/>
        <w:rPr>
          <w:i/>
          <w:szCs w:val="20"/>
          <w:lang w:val="hr-HR"/>
        </w:rPr>
      </w:pPr>
      <w:r w:rsidRPr="00636499">
        <w:rPr>
          <w:b/>
          <w:szCs w:val="20"/>
          <w:lang w:val="hr-HR"/>
        </w:rPr>
        <w:t xml:space="preserve">EIZ – </w:t>
      </w:r>
      <w:r w:rsidRPr="00636499">
        <w:rPr>
          <w:rStyle w:val="Emphasis"/>
          <w:i w:val="0"/>
          <w:iCs/>
          <w:lang w:val="hr-HR"/>
        </w:rPr>
        <w:t>Ekonomski institut Zagreb</w:t>
      </w:r>
    </w:p>
    <w:p w:rsidR="000C1520" w:rsidRPr="00636499" w:rsidRDefault="000C1520" w:rsidP="00B45E79">
      <w:pPr>
        <w:pStyle w:val="NoSpacing"/>
        <w:rPr>
          <w:lang w:val="hr-HR"/>
        </w:rPr>
      </w:pPr>
      <w:r w:rsidRPr="00636499">
        <w:rPr>
          <w:b/>
          <w:lang w:val="hr-HR"/>
        </w:rPr>
        <w:t xml:space="preserve">EK – </w:t>
      </w:r>
      <w:r w:rsidRPr="00636499">
        <w:rPr>
          <w:lang w:val="hr-HR"/>
        </w:rPr>
        <w:t>Europska komisija</w:t>
      </w:r>
    </w:p>
    <w:p w:rsidR="000C1520" w:rsidRPr="00636499" w:rsidRDefault="000C1520" w:rsidP="00B45E79">
      <w:pPr>
        <w:pStyle w:val="NoSpacing"/>
        <w:rPr>
          <w:rFonts w:cs="Calibri"/>
          <w:b/>
          <w:lang w:val="hr-HR"/>
        </w:rPr>
      </w:pPr>
      <w:r w:rsidRPr="00636499">
        <w:rPr>
          <w:rFonts w:cs="Calibri"/>
          <w:b/>
          <w:lang w:val="hr-HR"/>
        </w:rPr>
        <w:t xml:space="preserve">ERA – </w:t>
      </w:r>
      <w:proofErr w:type="spellStart"/>
      <w:r>
        <w:rPr>
          <w:rFonts w:cs="Calibri"/>
          <w:lang w:val="hr-HR"/>
        </w:rPr>
        <w:t>eng</w:t>
      </w:r>
      <w:proofErr w:type="spellEnd"/>
      <w:r w:rsidRPr="00636499">
        <w:rPr>
          <w:rFonts w:cs="Calibri"/>
          <w:lang w:val="hr-HR"/>
        </w:rPr>
        <w:t xml:space="preserve">. </w:t>
      </w:r>
      <w:proofErr w:type="spellStart"/>
      <w:r>
        <w:rPr>
          <w:rStyle w:val="Emphasis"/>
          <w:i w:val="0"/>
          <w:iCs/>
          <w:lang w:val="hr-HR"/>
        </w:rPr>
        <w:t>European</w:t>
      </w:r>
      <w:proofErr w:type="spellEnd"/>
      <w:r>
        <w:rPr>
          <w:rStyle w:val="Emphasis"/>
          <w:i w:val="0"/>
          <w:iCs/>
          <w:lang w:val="hr-HR"/>
        </w:rPr>
        <w:t xml:space="preserve"> </w:t>
      </w:r>
      <w:proofErr w:type="spellStart"/>
      <w:r>
        <w:rPr>
          <w:rStyle w:val="Emphasis"/>
          <w:i w:val="0"/>
          <w:iCs/>
          <w:lang w:val="hr-HR"/>
        </w:rPr>
        <w:t>Research</w:t>
      </w:r>
      <w:proofErr w:type="spellEnd"/>
      <w:r>
        <w:rPr>
          <w:rStyle w:val="Emphasis"/>
          <w:i w:val="0"/>
          <w:iCs/>
          <w:lang w:val="hr-HR"/>
        </w:rPr>
        <w:t xml:space="preserve"> </w:t>
      </w:r>
      <w:proofErr w:type="spellStart"/>
      <w:r>
        <w:rPr>
          <w:rStyle w:val="Emphasis"/>
          <w:i w:val="0"/>
          <w:iCs/>
          <w:lang w:val="hr-HR"/>
        </w:rPr>
        <w:t>A</w:t>
      </w:r>
      <w:r w:rsidRPr="00636499">
        <w:rPr>
          <w:rStyle w:val="Emphasis"/>
          <w:i w:val="0"/>
          <w:iCs/>
          <w:lang w:val="hr-HR"/>
        </w:rPr>
        <w:t>rea</w:t>
      </w:r>
      <w:proofErr w:type="spellEnd"/>
      <w:r w:rsidRPr="00636499">
        <w:rPr>
          <w:rStyle w:val="Emphasis"/>
          <w:i w:val="0"/>
          <w:iCs/>
          <w:lang w:val="hr-HR"/>
        </w:rPr>
        <w:t xml:space="preserve"> </w:t>
      </w:r>
      <w:r w:rsidRPr="00636499">
        <w:rPr>
          <w:rStyle w:val="Emphasis"/>
          <w:iCs/>
          <w:lang w:val="hr-HR"/>
        </w:rPr>
        <w:t xml:space="preserve"> </w:t>
      </w:r>
    </w:p>
    <w:p w:rsidR="000C1520" w:rsidRPr="00636499" w:rsidRDefault="000C1520" w:rsidP="00B45E79">
      <w:pPr>
        <w:pStyle w:val="NoSpacing"/>
        <w:rPr>
          <w:lang w:val="hr-HR"/>
        </w:rPr>
      </w:pPr>
      <w:r w:rsidRPr="00636499">
        <w:rPr>
          <w:rFonts w:cs="TimesNewRomanPS-ItalicMT"/>
          <w:b/>
          <w:iCs/>
          <w:szCs w:val="20"/>
          <w:lang w:val="hr-HR"/>
        </w:rPr>
        <w:t xml:space="preserve">FDI </w:t>
      </w:r>
      <w:r>
        <w:rPr>
          <w:rFonts w:cs="TimesNewRomanPS-ItalicMT"/>
          <w:iCs/>
          <w:szCs w:val="20"/>
          <w:lang w:val="hr-HR"/>
        </w:rPr>
        <w:t xml:space="preserve">– </w:t>
      </w:r>
      <w:proofErr w:type="spellStart"/>
      <w:r>
        <w:rPr>
          <w:rFonts w:cs="TimesNewRomanPS-ItalicMT"/>
          <w:iCs/>
          <w:szCs w:val="20"/>
          <w:lang w:val="hr-HR"/>
        </w:rPr>
        <w:t>eng</w:t>
      </w:r>
      <w:proofErr w:type="spellEnd"/>
      <w:r w:rsidRPr="00636499">
        <w:rPr>
          <w:rFonts w:cs="TimesNewRomanPS-ItalicMT"/>
          <w:iCs/>
          <w:szCs w:val="20"/>
          <w:lang w:val="hr-HR"/>
        </w:rPr>
        <w:t xml:space="preserve">. </w:t>
      </w:r>
      <w:proofErr w:type="spellStart"/>
      <w:r w:rsidRPr="00636499">
        <w:rPr>
          <w:rFonts w:cs="TimesNewRomanPS-ItalicMT"/>
          <w:iCs/>
          <w:szCs w:val="20"/>
          <w:lang w:val="hr-HR"/>
        </w:rPr>
        <w:t>Foreign</w:t>
      </w:r>
      <w:proofErr w:type="spellEnd"/>
      <w:r w:rsidRPr="00636499">
        <w:rPr>
          <w:rFonts w:cs="TimesNewRomanPS-ItalicMT"/>
          <w:iCs/>
          <w:szCs w:val="20"/>
          <w:lang w:val="hr-HR"/>
        </w:rPr>
        <w:t xml:space="preserve"> </w:t>
      </w:r>
      <w:proofErr w:type="spellStart"/>
      <w:r w:rsidRPr="00636499">
        <w:rPr>
          <w:rFonts w:cs="TimesNewRomanPS-ItalicMT"/>
          <w:iCs/>
          <w:szCs w:val="20"/>
          <w:lang w:val="hr-HR"/>
        </w:rPr>
        <w:t>Direct</w:t>
      </w:r>
      <w:proofErr w:type="spellEnd"/>
      <w:r w:rsidRPr="00636499">
        <w:rPr>
          <w:rFonts w:cs="TimesNewRomanPS-ItalicMT"/>
          <w:iCs/>
          <w:szCs w:val="20"/>
          <w:lang w:val="hr-HR"/>
        </w:rPr>
        <w:t xml:space="preserve"> </w:t>
      </w:r>
      <w:proofErr w:type="spellStart"/>
      <w:r w:rsidRPr="00636499">
        <w:rPr>
          <w:rFonts w:cs="TimesNewRomanPS-ItalicMT"/>
          <w:iCs/>
          <w:szCs w:val="20"/>
          <w:lang w:val="hr-HR"/>
        </w:rPr>
        <w:t>Investments</w:t>
      </w:r>
      <w:proofErr w:type="spellEnd"/>
      <w:r w:rsidRPr="00636499">
        <w:rPr>
          <w:rFonts w:cs="TimesNewRomanPS-ItalicMT"/>
          <w:iCs/>
          <w:szCs w:val="20"/>
          <w:lang w:val="hr-HR"/>
        </w:rPr>
        <w:t xml:space="preserve"> </w:t>
      </w:r>
    </w:p>
    <w:p w:rsidR="000C1520" w:rsidRPr="00636499" w:rsidRDefault="000C1520" w:rsidP="00B45E79">
      <w:pPr>
        <w:pStyle w:val="NoSpacing"/>
        <w:rPr>
          <w:rStyle w:val="st"/>
          <w:lang w:val="hr-HR"/>
        </w:rPr>
      </w:pPr>
      <w:r w:rsidRPr="00636499">
        <w:rPr>
          <w:b/>
          <w:lang w:val="hr-HR"/>
        </w:rPr>
        <w:t xml:space="preserve">FINA </w:t>
      </w:r>
      <w:r>
        <w:rPr>
          <w:b/>
          <w:lang w:val="hr-HR"/>
        </w:rPr>
        <w:t>–</w:t>
      </w:r>
      <w:r w:rsidRPr="00636499">
        <w:rPr>
          <w:b/>
          <w:lang w:val="hr-HR"/>
        </w:rPr>
        <w:t xml:space="preserve"> </w:t>
      </w:r>
      <w:r w:rsidRPr="00636499">
        <w:rPr>
          <w:lang w:val="hr-HR"/>
        </w:rPr>
        <w:t>Financijska agencija</w:t>
      </w:r>
      <w:r w:rsidRPr="00636499">
        <w:rPr>
          <w:rStyle w:val="st"/>
          <w:lang w:val="hr-HR"/>
        </w:rPr>
        <w:t xml:space="preserve"> </w:t>
      </w:r>
    </w:p>
    <w:p w:rsidR="000C1520" w:rsidRPr="00636499" w:rsidRDefault="000C1520" w:rsidP="00B45E79">
      <w:pPr>
        <w:pStyle w:val="NoSpacing"/>
        <w:rPr>
          <w:rFonts w:cs="Calibri"/>
          <w:lang w:val="hr-HR"/>
        </w:rPr>
      </w:pPr>
      <w:r w:rsidRPr="00636499">
        <w:rPr>
          <w:rFonts w:cs="Calibri"/>
          <w:b/>
          <w:lang w:val="hr-HR"/>
        </w:rPr>
        <w:t>GCI</w:t>
      </w:r>
      <w:r w:rsidRPr="00636499">
        <w:rPr>
          <w:rFonts w:cs="Calibri"/>
          <w:lang w:val="hr-HR"/>
        </w:rPr>
        <w:t xml:space="preserve"> </w:t>
      </w:r>
      <w:r>
        <w:rPr>
          <w:rFonts w:cs="Calibri"/>
          <w:lang w:val="hr-HR"/>
        </w:rPr>
        <w:t xml:space="preserve">– </w:t>
      </w:r>
      <w:r w:rsidRPr="00636499">
        <w:rPr>
          <w:rFonts w:cs="Calibri"/>
          <w:lang w:val="hr-HR"/>
        </w:rPr>
        <w:t>Globalni indeks konkurentnosti</w:t>
      </w:r>
    </w:p>
    <w:p w:rsidR="000C1520" w:rsidRPr="00636499" w:rsidRDefault="000C1520" w:rsidP="00B45E79">
      <w:pPr>
        <w:pStyle w:val="NoSpacing"/>
        <w:rPr>
          <w:rFonts w:cs="Calibri"/>
          <w:lang w:val="hr-HR"/>
        </w:rPr>
      </w:pPr>
      <w:r w:rsidRPr="00636499">
        <w:rPr>
          <w:rFonts w:cs="Calibri"/>
          <w:b/>
          <w:lang w:val="hr-HR"/>
        </w:rPr>
        <w:t>GCR</w:t>
      </w:r>
      <w:r>
        <w:rPr>
          <w:rFonts w:cs="Calibri"/>
          <w:b/>
          <w:lang w:val="hr-HR"/>
        </w:rPr>
        <w:t xml:space="preserve"> </w:t>
      </w:r>
      <w:r>
        <w:rPr>
          <w:rFonts w:cs="Calibri"/>
          <w:lang w:val="hr-HR"/>
        </w:rPr>
        <w:t>–</w:t>
      </w:r>
      <w:r w:rsidRPr="00636499">
        <w:rPr>
          <w:rFonts w:cs="Calibri"/>
          <w:lang w:val="hr-HR"/>
        </w:rPr>
        <w:t xml:space="preserve"> Izvješće o globalnoj konkurentnosti</w:t>
      </w:r>
    </w:p>
    <w:p w:rsidR="000C1520" w:rsidRPr="00636499" w:rsidRDefault="000C1520" w:rsidP="00B45E79">
      <w:pPr>
        <w:pStyle w:val="NoSpacing"/>
        <w:rPr>
          <w:rFonts w:cs="Calibri"/>
          <w:lang w:val="hr-HR"/>
        </w:rPr>
      </w:pPr>
      <w:r w:rsidRPr="00636499">
        <w:rPr>
          <w:rFonts w:cs="Calibri"/>
          <w:b/>
          <w:lang w:val="hr-HR"/>
        </w:rPr>
        <w:t>GEM</w:t>
      </w:r>
      <w:r>
        <w:rPr>
          <w:rFonts w:cs="Calibri"/>
          <w:b/>
          <w:lang w:val="hr-HR"/>
        </w:rPr>
        <w:t xml:space="preserve"> </w:t>
      </w:r>
      <w:r>
        <w:rPr>
          <w:rFonts w:cs="Calibri"/>
          <w:lang w:val="hr-HR"/>
        </w:rPr>
        <w:t>–</w:t>
      </w:r>
      <w:r w:rsidRPr="00636499">
        <w:rPr>
          <w:rFonts w:cs="Calibri"/>
          <w:lang w:val="hr-HR"/>
        </w:rPr>
        <w:t xml:space="preserve"> Global </w:t>
      </w:r>
      <w:proofErr w:type="spellStart"/>
      <w:r w:rsidRPr="00636499">
        <w:rPr>
          <w:rFonts w:cs="Calibri"/>
          <w:lang w:val="hr-HR"/>
        </w:rPr>
        <w:t>Entrepreneurship</w:t>
      </w:r>
      <w:proofErr w:type="spellEnd"/>
      <w:r w:rsidRPr="00636499">
        <w:rPr>
          <w:rFonts w:cs="Calibri"/>
          <w:lang w:val="hr-HR"/>
        </w:rPr>
        <w:t xml:space="preserve"> Monitor</w:t>
      </w:r>
    </w:p>
    <w:p w:rsidR="000C1520" w:rsidRPr="00636499" w:rsidRDefault="000C1520" w:rsidP="00B45E79">
      <w:pPr>
        <w:pStyle w:val="NoSpacing"/>
        <w:rPr>
          <w:rFonts w:cs="Calibri"/>
          <w:lang w:val="hr-HR"/>
        </w:rPr>
      </w:pPr>
      <w:r w:rsidRPr="00636499">
        <w:rPr>
          <w:rFonts w:cs="Calibri"/>
          <w:b/>
          <w:lang w:val="hr-HR"/>
        </w:rPr>
        <w:t xml:space="preserve">GERD – </w:t>
      </w:r>
      <w:proofErr w:type="spellStart"/>
      <w:r>
        <w:rPr>
          <w:rFonts w:cs="Calibri"/>
          <w:lang w:val="hr-HR"/>
        </w:rPr>
        <w:t>eng</w:t>
      </w:r>
      <w:proofErr w:type="spellEnd"/>
      <w:r>
        <w:rPr>
          <w:rFonts w:cs="Calibri"/>
          <w:lang w:val="hr-HR"/>
        </w:rPr>
        <w:t xml:space="preserve">. </w:t>
      </w:r>
      <w:proofErr w:type="spellStart"/>
      <w:r>
        <w:rPr>
          <w:rFonts w:cs="Calibri"/>
          <w:lang w:val="hr-HR"/>
        </w:rPr>
        <w:t>Gross</w:t>
      </w:r>
      <w:proofErr w:type="spellEnd"/>
      <w:r>
        <w:rPr>
          <w:rFonts w:cs="Calibri"/>
          <w:lang w:val="hr-HR"/>
        </w:rPr>
        <w:t xml:space="preserve"> </w:t>
      </w:r>
      <w:proofErr w:type="spellStart"/>
      <w:r>
        <w:rPr>
          <w:rFonts w:cs="Calibri"/>
          <w:lang w:val="hr-HR"/>
        </w:rPr>
        <w:t>Domestic</w:t>
      </w:r>
      <w:proofErr w:type="spellEnd"/>
      <w:r>
        <w:rPr>
          <w:rFonts w:cs="Calibri"/>
          <w:lang w:val="hr-HR"/>
        </w:rPr>
        <w:t xml:space="preserve"> </w:t>
      </w:r>
      <w:proofErr w:type="spellStart"/>
      <w:r>
        <w:rPr>
          <w:rFonts w:cs="Calibri"/>
          <w:lang w:val="hr-HR"/>
        </w:rPr>
        <w:t>Expenditure</w:t>
      </w:r>
      <w:proofErr w:type="spellEnd"/>
      <w:r>
        <w:rPr>
          <w:rFonts w:cs="Calibri"/>
          <w:lang w:val="hr-HR"/>
        </w:rPr>
        <w:t xml:space="preserve"> on </w:t>
      </w:r>
      <w:proofErr w:type="spellStart"/>
      <w:r>
        <w:rPr>
          <w:rFonts w:cs="Calibri"/>
          <w:lang w:val="hr-HR"/>
        </w:rPr>
        <w:t>Research</w:t>
      </w:r>
      <w:proofErr w:type="spellEnd"/>
      <w:r>
        <w:rPr>
          <w:rFonts w:cs="Calibri"/>
          <w:lang w:val="hr-HR"/>
        </w:rPr>
        <w:t xml:space="preserve"> </w:t>
      </w:r>
      <w:proofErr w:type="spellStart"/>
      <w:r>
        <w:rPr>
          <w:rFonts w:cs="Calibri"/>
          <w:lang w:val="hr-HR"/>
        </w:rPr>
        <w:t>and</w:t>
      </w:r>
      <w:proofErr w:type="spellEnd"/>
      <w:r>
        <w:rPr>
          <w:rFonts w:cs="Calibri"/>
          <w:lang w:val="hr-HR"/>
        </w:rPr>
        <w:t xml:space="preserve"> </w:t>
      </w:r>
      <w:proofErr w:type="spellStart"/>
      <w:r>
        <w:rPr>
          <w:rFonts w:cs="Calibri"/>
          <w:lang w:val="hr-HR"/>
        </w:rPr>
        <w:t>D</w:t>
      </w:r>
      <w:r w:rsidRPr="00636499">
        <w:rPr>
          <w:rFonts w:cs="Calibri"/>
          <w:lang w:val="hr-HR"/>
        </w:rPr>
        <w:t>evelopment</w:t>
      </w:r>
      <w:proofErr w:type="spellEnd"/>
      <w:r w:rsidRPr="00636499">
        <w:rPr>
          <w:rFonts w:cs="Calibri"/>
          <w:lang w:val="hr-HR"/>
        </w:rPr>
        <w:t xml:space="preserve"> </w:t>
      </w:r>
    </w:p>
    <w:p w:rsidR="000C1520" w:rsidRPr="00636499" w:rsidRDefault="000C1520" w:rsidP="00B45E79">
      <w:pPr>
        <w:pStyle w:val="NoSpacing"/>
        <w:rPr>
          <w:rFonts w:cs="Calibri"/>
          <w:bCs/>
          <w:lang w:val="hr-HR"/>
        </w:rPr>
      </w:pPr>
      <w:r w:rsidRPr="00636499">
        <w:rPr>
          <w:rFonts w:cs="Calibri"/>
          <w:b/>
          <w:bCs/>
          <w:lang w:val="hr-HR"/>
        </w:rPr>
        <w:t>HAMAG INVEST</w:t>
      </w:r>
      <w:r>
        <w:rPr>
          <w:rFonts w:cs="Calibri"/>
          <w:b/>
          <w:bCs/>
          <w:lang w:val="hr-HR"/>
        </w:rPr>
        <w:t xml:space="preserve"> </w:t>
      </w:r>
      <w:r>
        <w:rPr>
          <w:rFonts w:cs="Calibri"/>
          <w:bCs/>
          <w:lang w:val="hr-HR"/>
        </w:rPr>
        <w:t>–</w:t>
      </w:r>
      <w:r w:rsidRPr="00636499">
        <w:rPr>
          <w:rFonts w:cs="Calibri"/>
          <w:bCs/>
          <w:lang w:val="hr-HR"/>
        </w:rPr>
        <w:t xml:space="preserve"> Hrvatska agencija za malo gospodarstvo</w:t>
      </w:r>
      <w:r>
        <w:rPr>
          <w:rFonts w:cs="Calibri"/>
          <w:bCs/>
          <w:lang w:val="hr-HR"/>
        </w:rPr>
        <w:t xml:space="preserve"> i</w:t>
      </w:r>
      <w:r w:rsidRPr="00636499">
        <w:rPr>
          <w:rFonts w:cs="Calibri"/>
          <w:bCs/>
          <w:lang w:val="hr-HR"/>
        </w:rPr>
        <w:t xml:space="preserve"> investicije </w:t>
      </w:r>
    </w:p>
    <w:p w:rsidR="000C1520" w:rsidRPr="00636499" w:rsidRDefault="000C1520" w:rsidP="00B45E79">
      <w:pPr>
        <w:pStyle w:val="NoSpacing"/>
        <w:rPr>
          <w:szCs w:val="20"/>
          <w:lang w:val="hr-HR"/>
        </w:rPr>
      </w:pPr>
      <w:r w:rsidRPr="00636499">
        <w:rPr>
          <w:b/>
          <w:szCs w:val="20"/>
          <w:lang w:val="hr-HR"/>
        </w:rPr>
        <w:t xml:space="preserve">HEP – </w:t>
      </w:r>
      <w:r w:rsidRPr="00636499">
        <w:rPr>
          <w:szCs w:val="20"/>
          <w:lang w:val="hr-HR"/>
        </w:rPr>
        <w:t>Hrvatska elektroprivreda</w:t>
      </w:r>
    </w:p>
    <w:p w:rsidR="000C1520" w:rsidRPr="00055152" w:rsidRDefault="000C1520" w:rsidP="00B45E79">
      <w:pPr>
        <w:pStyle w:val="NoSpacing"/>
        <w:rPr>
          <w:rFonts w:asciiTheme="minorHAnsi" w:hAnsiTheme="minorHAnsi" w:cs="Arial"/>
          <w:lang w:val="hr-HR"/>
        </w:rPr>
      </w:pPr>
      <w:r w:rsidRPr="00055152">
        <w:rPr>
          <w:rFonts w:asciiTheme="minorHAnsi" w:hAnsiTheme="minorHAnsi" w:cs="Arial"/>
          <w:b/>
          <w:lang w:val="hr-HR"/>
        </w:rPr>
        <w:t xml:space="preserve">HGK – </w:t>
      </w:r>
      <w:r w:rsidRPr="00055152">
        <w:rPr>
          <w:rFonts w:asciiTheme="minorHAnsi" w:hAnsiTheme="minorHAnsi" w:cs="Arial"/>
          <w:lang w:val="hr-HR"/>
        </w:rPr>
        <w:t>Hrvatska gospodarska komora</w:t>
      </w:r>
    </w:p>
    <w:p w:rsidR="000C1520" w:rsidRPr="00055152" w:rsidRDefault="000C1520" w:rsidP="00B45E79">
      <w:pPr>
        <w:pStyle w:val="NoSpacing"/>
        <w:rPr>
          <w:rFonts w:asciiTheme="minorHAnsi" w:hAnsiTheme="minorHAnsi"/>
          <w:lang w:val="hr-HR"/>
        </w:rPr>
      </w:pPr>
      <w:r w:rsidRPr="00055152">
        <w:rPr>
          <w:rFonts w:asciiTheme="minorHAnsi" w:hAnsiTheme="minorHAnsi"/>
          <w:b/>
          <w:lang w:val="hr-HR"/>
        </w:rPr>
        <w:t>HNB</w:t>
      </w:r>
      <w:r w:rsidRPr="00055152">
        <w:rPr>
          <w:rFonts w:asciiTheme="minorHAnsi" w:hAnsiTheme="minorHAnsi"/>
          <w:lang w:val="hr-HR"/>
        </w:rPr>
        <w:t xml:space="preserve"> – Hrvatska narodna banka</w:t>
      </w:r>
    </w:p>
    <w:p w:rsidR="000C1520" w:rsidRPr="00055152" w:rsidRDefault="000C1520" w:rsidP="00B45E79">
      <w:pPr>
        <w:pStyle w:val="NoSpacing"/>
        <w:rPr>
          <w:rFonts w:asciiTheme="minorHAnsi" w:hAnsiTheme="minorHAnsi" w:cs="Arial"/>
          <w:b/>
          <w:lang w:val="hr-HR"/>
        </w:rPr>
      </w:pPr>
      <w:r w:rsidRPr="00055152">
        <w:rPr>
          <w:rFonts w:asciiTheme="minorHAnsi" w:hAnsiTheme="minorHAnsi" w:cs="Arial"/>
          <w:b/>
          <w:lang w:val="hr-HR"/>
        </w:rPr>
        <w:t xml:space="preserve">HTZ – </w:t>
      </w:r>
      <w:r w:rsidRPr="00055152">
        <w:rPr>
          <w:rFonts w:asciiTheme="minorHAnsi" w:hAnsiTheme="minorHAnsi" w:cs="Arial"/>
          <w:lang w:val="hr-HR"/>
        </w:rPr>
        <w:t>Hrvatska turistička zajednica</w:t>
      </w:r>
    </w:p>
    <w:p w:rsidR="000C1520" w:rsidRPr="00636499" w:rsidRDefault="000C1520" w:rsidP="00B45E79">
      <w:pPr>
        <w:pStyle w:val="NoSpacing"/>
        <w:rPr>
          <w:szCs w:val="20"/>
          <w:lang w:val="hr-HR"/>
        </w:rPr>
      </w:pPr>
      <w:r w:rsidRPr="00636499">
        <w:rPr>
          <w:b/>
          <w:szCs w:val="20"/>
          <w:lang w:val="hr-HR"/>
        </w:rPr>
        <w:t xml:space="preserve">HUP – </w:t>
      </w:r>
      <w:r w:rsidRPr="00636499">
        <w:rPr>
          <w:szCs w:val="20"/>
          <w:lang w:val="hr-HR"/>
        </w:rPr>
        <w:t>Hrvatska udruga poslodavaca</w:t>
      </w:r>
    </w:p>
    <w:p w:rsidR="000C1520" w:rsidRPr="00636499" w:rsidRDefault="000C1520" w:rsidP="00B45E79">
      <w:pPr>
        <w:pStyle w:val="NoSpacing"/>
        <w:rPr>
          <w:lang w:val="hr-HR"/>
        </w:rPr>
      </w:pPr>
      <w:r w:rsidRPr="00636499">
        <w:rPr>
          <w:b/>
          <w:lang w:val="hr-HR"/>
        </w:rPr>
        <w:t xml:space="preserve">HZZ – </w:t>
      </w:r>
      <w:r w:rsidRPr="00636499">
        <w:rPr>
          <w:lang w:val="hr-HR"/>
        </w:rPr>
        <w:t>Hrvatski zavod za zapošljavanje</w:t>
      </w:r>
    </w:p>
    <w:p w:rsidR="000C1520" w:rsidRPr="00636499" w:rsidRDefault="000C1520" w:rsidP="00B45E79">
      <w:pPr>
        <w:pStyle w:val="NoSpacing"/>
        <w:rPr>
          <w:lang w:val="hr-HR"/>
        </w:rPr>
      </w:pPr>
      <w:r w:rsidRPr="00636499">
        <w:rPr>
          <w:rFonts w:cs="Calibri"/>
          <w:b/>
          <w:color w:val="000000"/>
          <w:lang w:val="hr-HR"/>
        </w:rPr>
        <w:t>ICPR</w:t>
      </w:r>
      <w:r w:rsidRPr="00636499">
        <w:rPr>
          <w:rFonts w:cs="Calibri"/>
          <w:color w:val="000000"/>
          <w:lang w:val="hr-HR"/>
        </w:rPr>
        <w:t xml:space="preserve"> </w:t>
      </w:r>
      <w:r>
        <w:rPr>
          <w:rFonts w:cs="Calibri"/>
          <w:color w:val="000000"/>
          <w:lang w:val="hr-HR"/>
        </w:rPr>
        <w:t xml:space="preserve">– </w:t>
      </w:r>
      <w:r w:rsidRPr="00636499">
        <w:rPr>
          <w:rFonts w:cs="Calibri"/>
          <w:color w:val="000000"/>
          <w:lang w:val="hr-HR"/>
        </w:rPr>
        <w:t>Program certificiranja regija za ulaganja</w:t>
      </w:r>
    </w:p>
    <w:p w:rsidR="000C1520" w:rsidRPr="00636499" w:rsidRDefault="000C1520" w:rsidP="00B45E79">
      <w:pPr>
        <w:pStyle w:val="NoSpacing"/>
        <w:rPr>
          <w:rStyle w:val="st"/>
          <w:lang w:val="hr-HR"/>
        </w:rPr>
      </w:pPr>
      <w:r w:rsidRPr="00636499">
        <w:rPr>
          <w:rStyle w:val="st"/>
          <w:b/>
          <w:lang w:val="hr-HR"/>
        </w:rPr>
        <w:t xml:space="preserve">ISI </w:t>
      </w:r>
      <w:r w:rsidRPr="00636499">
        <w:rPr>
          <w:rStyle w:val="st"/>
          <w:lang w:val="hr-HR"/>
        </w:rPr>
        <w:t>– Izravne strane investicije</w:t>
      </w:r>
    </w:p>
    <w:p w:rsidR="000C1520" w:rsidRPr="00636499" w:rsidRDefault="000C1520" w:rsidP="00B45E79">
      <w:pPr>
        <w:pStyle w:val="NoSpacing"/>
        <w:rPr>
          <w:rFonts w:cs="Calibri"/>
          <w:b/>
          <w:lang w:val="hr-HR"/>
        </w:rPr>
      </w:pPr>
      <w:r w:rsidRPr="00636499">
        <w:rPr>
          <w:rFonts w:cs="Calibri"/>
          <w:b/>
          <w:lang w:val="hr-HR"/>
        </w:rPr>
        <w:t xml:space="preserve">JLS/JRS – </w:t>
      </w:r>
      <w:r w:rsidRPr="00636499">
        <w:rPr>
          <w:rFonts w:cs="Calibri"/>
          <w:lang w:val="hr-HR"/>
        </w:rPr>
        <w:t>Jedinice lokalne/regionalne samouprave</w:t>
      </w:r>
    </w:p>
    <w:p w:rsidR="000C1520" w:rsidRPr="00636499" w:rsidRDefault="000C1520" w:rsidP="00B45E79">
      <w:pPr>
        <w:pStyle w:val="NoSpacing"/>
        <w:rPr>
          <w:lang w:val="hr-HR"/>
        </w:rPr>
      </w:pPr>
      <w:r w:rsidRPr="00636499">
        <w:rPr>
          <w:b/>
          <w:lang w:val="hr-HR"/>
        </w:rPr>
        <w:t xml:space="preserve">KET tehnologija – </w:t>
      </w:r>
      <w:r w:rsidRPr="00636499">
        <w:rPr>
          <w:lang w:val="hr-HR"/>
        </w:rPr>
        <w:t xml:space="preserve">engl. </w:t>
      </w:r>
      <w:proofErr w:type="spellStart"/>
      <w:r w:rsidRPr="00636499">
        <w:rPr>
          <w:lang w:val="hr-HR"/>
        </w:rPr>
        <w:t>Key</w:t>
      </w:r>
      <w:proofErr w:type="spellEnd"/>
      <w:r w:rsidRPr="00636499">
        <w:rPr>
          <w:lang w:val="hr-HR"/>
        </w:rPr>
        <w:t xml:space="preserve"> </w:t>
      </w:r>
      <w:proofErr w:type="spellStart"/>
      <w:r w:rsidRPr="00636499">
        <w:rPr>
          <w:lang w:val="hr-HR"/>
        </w:rPr>
        <w:t>Enabling</w:t>
      </w:r>
      <w:proofErr w:type="spellEnd"/>
      <w:r w:rsidRPr="00636499">
        <w:rPr>
          <w:lang w:val="hr-HR"/>
        </w:rPr>
        <w:t xml:space="preserve"> Tech</w:t>
      </w:r>
      <w:r w:rsidR="006D2356">
        <w:rPr>
          <w:lang w:val="hr-HR"/>
        </w:rPr>
        <w:t>n</w:t>
      </w:r>
      <w:r w:rsidRPr="00636499">
        <w:rPr>
          <w:lang w:val="hr-HR"/>
        </w:rPr>
        <w:t xml:space="preserve">ologies </w:t>
      </w:r>
    </w:p>
    <w:p w:rsidR="000C1520" w:rsidRPr="00636499" w:rsidRDefault="000C1520" w:rsidP="00B45E79">
      <w:pPr>
        <w:pStyle w:val="NoSpacing"/>
        <w:rPr>
          <w:rFonts w:cs="Calibri"/>
          <w:bCs/>
          <w:lang w:val="hr-HR"/>
        </w:rPr>
      </w:pPr>
      <w:r w:rsidRPr="00636499">
        <w:rPr>
          <w:b/>
          <w:lang w:val="hr-HR"/>
        </w:rPr>
        <w:t>M&amp;A</w:t>
      </w:r>
      <w:r w:rsidRPr="00636499">
        <w:rPr>
          <w:lang w:val="hr-HR"/>
        </w:rPr>
        <w:t xml:space="preserve"> – </w:t>
      </w:r>
      <w:proofErr w:type="spellStart"/>
      <w:r w:rsidRPr="00636499">
        <w:rPr>
          <w:lang w:val="hr-HR"/>
        </w:rPr>
        <w:t>eng</w:t>
      </w:r>
      <w:proofErr w:type="spellEnd"/>
      <w:r w:rsidRPr="00636499">
        <w:rPr>
          <w:lang w:val="hr-HR"/>
        </w:rPr>
        <w:t xml:space="preserve">. </w:t>
      </w:r>
      <w:proofErr w:type="spellStart"/>
      <w:r>
        <w:rPr>
          <w:lang w:val="hr-HR"/>
        </w:rPr>
        <w:t>Mergers</w:t>
      </w:r>
      <w:proofErr w:type="spellEnd"/>
      <w:r>
        <w:rPr>
          <w:lang w:val="hr-HR"/>
        </w:rPr>
        <w:t>&amp;</w:t>
      </w:r>
      <w:proofErr w:type="spellStart"/>
      <w:r w:rsidRPr="00636499">
        <w:rPr>
          <w:lang w:val="hr-HR"/>
        </w:rPr>
        <w:t>Acquisitions</w:t>
      </w:r>
      <w:proofErr w:type="spellEnd"/>
    </w:p>
    <w:p w:rsidR="000C1520" w:rsidRPr="00636499" w:rsidRDefault="000C1520" w:rsidP="00B45E79">
      <w:pPr>
        <w:pStyle w:val="NoSpacing"/>
        <w:rPr>
          <w:b/>
          <w:szCs w:val="20"/>
          <w:lang w:val="hr-HR"/>
        </w:rPr>
      </w:pPr>
      <w:r w:rsidRPr="00636499">
        <w:rPr>
          <w:b/>
          <w:szCs w:val="20"/>
          <w:lang w:val="hr-HR"/>
        </w:rPr>
        <w:t xml:space="preserve">MINGO – </w:t>
      </w:r>
      <w:r w:rsidRPr="00636499">
        <w:rPr>
          <w:szCs w:val="20"/>
          <w:lang w:val="hr-HR"/>
        </w:rPr>
        <w:t>Ministarstvo gospodarstva</w:t>
      </w:r>
    </w:p>
    <w:p w:rsidR="000C1520" w:rsidRPr="00636499" w:rsidRDefault="000C1520" w:rsidP="00B45E79">
      <w:pPr>
        <w:pStyle w:val="NoSpacing"/>
        <w:rPr>
          <w:szCs w:val="20"/>
          <w:lang w:val="hr-HR"/>
        </w:rPr>
      </w:pPr>
      <w:r w:rsidRPr="00636499">
        <w:rPr>
          <w:b/>
          <w:szCs w:val="20"/>
          <w:lang w:val="hr-HR"/>
        </w:rPr>
        <w:t xml:space="preserve">MINPO – </w:t>
      </w:r>
      <w:r w:rsidRPr="00636499">
        <w:rPr>
          <w:szCs w:val="20"/>
          <w:lang w:val="hr-HR"/>
        </w:rPr>
        <w:t>Ministarstvo poduzetništva i obrta</w:t>
      </w:r>
    </w:p>
    <w:p w:rsidR="000C1520" w:rsidRPr="00636499" w:rsidRDefault="000C1520" w:rsidP="00B45E79">
      <w:pPr>
        <w:pStyle w:val="NoSpacing"/>
        <w:rPr>
          <w:szCs w:val="20"/>
          <w:lang w:val="hr-HR"/>
        </w:rPr>
      </w:pPr>
      <w:r w:rsidRPr="00636499">
        <w:rPr>
          <w:b/>
          <w:szCs w:val="20"/>
          <w:lang w:val="hr-HR"/>
        </w:rPr>
        <w:t xml:space="preserve">MRMS – </w:t>
      </w:r>
      <w:r w:rsidRPr="00636499">
        <w:rPr>
          <w:szCs w:val="20"/>
          <w:lang w:val="hr-HR"/>
        </w:rPr>
        <w:t>Ministarstvo rada i mirovinskog sustava</w:t>
      </w:r>
    </w:p>
    <w:p w:rsidR="000C1520" w:rsidRPr="00636499" w:rsidRDefault="000C1520" w:rsidP="00B45E79">
      <w:pPr>
        <w:pStyle w:val="NoSpacing"/>
        <w:rPr>
          <w:szCs w:val="20"/>
          <w:lang w:val="hr-HR"/>
        </w:rPr>
      </w:pPr>
      <w:r w:rsidRPr="00636499">
        <w:rPr>
          <w:b/>
          <w:szCs w:val="20"/>
          <w:lang w:val="hr-HR"/>
        </w:rPr>
        <w:t xml:space="preserve">MRRFEU – </w:t>
      </w:r>
      <w:r w:rsidRPr="00636499">
        <w:rPr>
          <w:szCs w:val="20"/>
          <w:lang w:val="hr-HR"/>
        </w:rPr>
        <w:t>Ministarstvo regionalnoga razvoja i fondova E</w:t>
      </w:r>
      <w:r>
        <w:rPr>
          <w:szCs w:val="20"/>
          <w:lang w:val="hr-HR"/>
        </w:rPr>
        <w:t xml:space="preserve">uropske </w:t>
      </w:r>
      <w:r w:rsidR="006D2356">
        <w:rPr>
          <w:szCs w:val="20"/>
          <w:lang w:val="hr-HR"/>
        </w:rPr>
        <w:t>u</w:t>
      </w:r>
      <w:r>
        <w:rPr>
          <w:szCs w:val="20"/>
          <w:lang w:val="hr-HR"/>
        </w:rPr>
        <w:t>nije</w:t>
      </w:r>
    </w:p>
    <w:p w:rsidR="000C1520" w:rsidRPr="00636499" w:rsidRDefault="000C1520" w:rsidP="00B45E79">
      <w:pPr>
        <w:pStyle w:val="NoSpacing"/>
        <w:rPr>
          <w:rFonts w:cs="Calibri"/>
          <w:lang w:val="hr-HR"/>
        </w:rPr>
      </w:pPr>
      <w:r w:rsidRPr="00636499">
        <w:rPr>
          <w:rFonts w:cs="Calibri"/>
          <w:b/>
          <w:lang w:val="hr-HR"/>
        </w:rPr>
        <w:t>MSP</w:t>
      </w:r>
      <w:r>
        <w:rPr>
          <w:rFonts w:cs="Calibri"/>
          <w:b/>
          <w:lang w:val="hr-HR"/>
        </w:rPr>
        <w:t xml:space="preserve"> </w:t>
      </w:r>
      <w:r>
        <w:rPr>
          <w:rFonts w:cs="Calibri"/>
          <w:lang w:val="hr-HR"/>
        </w:rPr>
        <w:t>–</w:t>
      </w:r>
      <w:r w:rsidRPr="00636499">
        <w:rPr>
          <w:rFonts w:cs="Calibri"/>
          <w:lang w:val="hr-HR"/>
        </w:rPr>
        <w:t xml:space="preserve"> Mala i srednja poduzeća</w:t>
      </w:r>
    </w:p>
    <w:p w:rsidR="000C1520" w:rsidRPr="00636499" w:rsidRDefault="000C1520" w:rsidP="00B45E79">
      <w:pPr>
        <w:pStyle w:val="NoSpacing"/>
        <w:rPr>
          <w:b/>
          <w:szCs w:val="20"/>
          <w:lang w:val="hr-HR"/>
        </w:rPr>
      </w:pPr>
      <w:r w:rsidRPr="00636499">
        <w:rPr>
          <w:b/>
          <w:szCs w:val="20"/>
          <w:lang w:val="hr-HR"/>
        </w:rPr>
        <w:t xml:space="preserve">MT – </w:t>
      </w:r>
      <w:r w:rsidRPr="00636499">
        <w:rPr>
          <w:szCs w:val="20"/>
          <w:lang w:val="hr-HR"/>
        </w:rPr>
        <w:t>Ministarstvo turizma</w:t>
      </w:r>
    </w:p>
    <w:p w:rsidR="000C1520" w:rsidRPr="00636499" w:rsidRDefault="000C1520" w:rsidP="00B45E79">
      <w:pPr>
        <w:pStyle w:val="NoSpacing"/>
        <w:rPr>
          <w:szCs w:val="20"/>
          <w:lang w:val="hr-HR"/>
        </w:rPr>
      </w:pPr>
      <w:r w:rsidRPr="00636499">
        <w:rPr>
          <w:b/>
          <w:szCs w:val="20"/>
          <w:lang w:val="hr-HR"/>
        </w:rPr>
        <w:t xml:space="preserve">MVEP – </w:t>
      </w:r>
      <w:r w:rsidRPr="00636499">
        <w:rPr>
          <w:szCs w:val="20"/>
          <w:lang w:val="hr-HR"/>
        </w:rPr>
        <w:t>Ministarstvo vanjskih i europskih poslova</w:t>
      </w:r>
    </w:p>
    <w:p w:rsidR="000C1520" w:rsidRPr="00636499" w:rsidRDefault="000C1520" w:rsidP="00B45E79">
      <w:pPr>
        <w:pStyle w:val="NoSpacing"/>
        <w:rPr>
          <w:b/>
          <w:szCs w:val="20"/>
          <w:lang w:val="hr-HR"/>
        </w:rPr>
      </w:pPr>
      <w:r w:rsidRPr="00636499">
        <w:rPr>
          <w:b/>
          <w:szCs w:val="20"/>
          <w:lang w:val="hr-HR"/>
        </w:rPr>
        <w:t xml:space="preserve">MZOS – </w:t>
      </w:r>
      <w:r w:rsidRPr="00636499">
        <w:rPr>
          <w:szCs w:val="20"/>
          <w:lang w:val="hr-HR"/>
        </w:rPr>
        <w:t>Ministarstvo znanosti, obrazovanja i sporta</w:t>
      </w:r>
    </w:p>
    <w:p w:rsidR="000C1520" w:rsidRPr="00636499" w:rsidRDefault="000C1520" w:rsidP="00B45E79">
      <w:pPr>
        <w:pStyle w:val="NoSpacing"/>
        <w:rPr>
          <w:lang w:val="hr-HR"/>
        </w:rPr>
      </w:pPr>
      <w:r w:rsidRPr="00636499">
        <w:rPr>
          <w:b/>
          <w:lang w:val="hr-HR"/>
        </w:rPr>
        <w:t xml:space="preserve">OECD </w:t>
      </w:r>
      <w:r>
        <w:rPr>
          <w:lang w:val="hr-HR"/>
        </w:rPr>
        <w:t xml:space="preserve">– </w:t>
      </w:r>
      <w:proofErr w:type="spellStart"/>
      <w:r>
        <w:rPr>
          <w:lang w:val="hr-HR"/>
        </w:rPr>
        <w:t>eng</w:t>
      </w:r>
      <w:proofErr w:type="spellEnd"/>
      <w:r w:rsidRPr="00636499">
        <w:rPr>
          <w:lang w:val="hr-HR"/>
        </w:rPr>
        <w:t xml:space="preserve">. </w:t>
      </w:r>
      <w:proofErr w:type="spellStart"/>
      <w:r w:rsidRPr="00636499">
        <w:rPr>
          <w:lang w:val="hr-HR"/>
        </w:rPr>
        <w:t>Organisation</w:t>
      </w:r>
      <w:proofErr w:type="spellEnd"/>
      <w:r w:rsidRPr="00636499">
        <w:rPr>
          <w:lang w:val="hr-HR"/>
        </w:rPr>
        <w:t xml:space="preserve"> for </w:t>
      </w:r>
      <w:proofErr w:type="spellStart"/>
      <w:r w:rsidRPr="00636499">
        <w:rPr>
          <w:lang w:val="hr-HR"/>
        </w:rPr>
        <w:t>Economic</w:t>
      </w:r>
      <w:proofErr w:type="spellEnd"/>
      <w:r w:rsidRPr="00636499">
        <w:rPr>
          <w:lang w:val="hr-HR"/>
        </w:rPr>
        <w:t xml:space="preserve"> </w:t>
      </w:r>
      <w:proofErr w:type="spellStart"/>
      <w:r w:rsidRPr="00636499">
        <w:rPr>
          <w:lang w:val="hr-HR"/>
        </w:rPr>
        <w:t>Cooperation</w:t>
      </w:r>
      <w:proofErr w:type="spellEnd"/>
      <w:r w:rsidRPr="00636499">
        <w:rPr>
          <w:lang w:val="hr-HR"/>
        </w:rPr>
        <w:t xml:space="preserve"> </w:t>
      </w:r>
      <w:proofErr w:type="spellStart"/>
      <w:r w:rsidRPr="00636499">
        <w:rPr>
          <w:lang w:val="hr-HR"/>
        </w:rPr>
        <w:t>and</w:t>
      </w:r>
      <w:proofErr w:type="spellEnd"/>
      <w:r w:rsidRPr="00636499">
        <w:rPr>
          <w:lang w:val="hr-HR"/>
        </w:rPr>
        <w:t xml:space="preserve"> </w:t>
      </w:r>
      <w:proofErr w:type="spellStart"/>
      <w:r w:rsidRPr="00636499">
        <w:rPr>
          <w:lang w:val="hr-HR"/>
        </w:rPr>
        <w:t>Development</w:t>
      </w:r>
      <w:proofErr w:type="spellEnd"/>
      <w:r w:rsidRPr="00636499">
        <w:rPr>
          <w:lang w:val="hr-HR"/>
        </w:rPr>
        <w:t xml:space="preserve"> </w:t>
      </w:r>
      <w:r w:rsidRPr="00636499">
        <w:rPr>
          <w:rFonts w:cs="Calibri"/>
          <w:lang w:val="hr-HR"/>
        </w:rPr>
        <w:t xml:space="preserve"> </w:t>
      </w:r>
    </w:p>
    <w:p w:rsidR="000C1520" w:rsidRPr="00376FA1" w:rsidRDefault="000C1520" w:rsidP="00B45E79">
      <w:pPr>
        <w:pStyle w:val="NoSpacing"/>
        <w:rPr>
          <w:rStyle w:val="st"/>
          <w:szCs w:val="20"/>
          <w:lang w:val="hr-HR"/>
        </w:rPr>
      </w:pPr>
      <w:r w:rsidRPr="00636499">
        <w:rPr>
          <w:b/>
          <w:szCs w:val="20"/>
          <w:lang w:val="hr-HR"/>
        </w:rPr>
        <w:t>TDU –</w:t>
      </w:r>
      <w:r w:rsidRPr="00636499">
        <w:rPr>
          <w:szCs w:val="20"/>
          <w:lang w:val="hr-HR"/>
        </w:rPr>
        <w:t xml:space="preserve"> Tijela državne uprave</w:t>
      </w:r>
    </w:p>
    <w:p w:rsidR="000C1520" w:rsidRDefault="000C1520" w:rsidP="00376FA1">
      <w:pPr>
        <w:pStyle w:val="NoSpacing"/>
        <w:rPr>
          <w:lang w:val="hr-HR"/>
        </w:rPr>
      </w:pPr>
      <w:r w:rsidRPr="00636499">
        <w:rPr>
          <w:b/>
          <w:lang w:val="hr-HR"/>
        </w:rPr>
        <w:t xml:space="preserve">ŽRA </w:t>
      </w:r>
      <w:r>
        <w:rPr>
          <w:b/>
          <w:lang w:val="hr-HR"/>
        </w:rPr>
        <w:t>–</w:t>
      </w:r>
      <w:r w:rsidRPr="00636499">
        <w:rPr>
          <w:b/>
          <w:lang w:val="hr-HR"/>
        </w:rPr>
        <w:t xml:space="preserve"> </w:t>
      </w:r>
      <w:r w:rsidRPr="00636499">
        <w:rPr>
          <w:lang w:val="hr-HR"/>
        </w:rPr>
        <w:t>Županijska razvojna agencij</w:t>
      </w:r>
      <w:bookmarkStart w:id="7" w:name="_Toc348951825"/>
      <w:bookmarkStart w:id="8" w:name="_Toc351127587"/>
      <w:r>
        <w:rPr>
          <w:lang w:val="hr-HR"/>
        </w:rPr>
        <w:t>a</w:t>
      </w:r>
    </w:p>
    <w:p w:rsidR="000C1520" w:rsidRDefault="000C1520" w:rsidP="003E142A">
      <w:pPr>
        <w:pStyle w:val="NoSpacing"/>
        <w:spacing w:after="200" w:line="360" w:lineRule="auto"/>
        <w:rPr>
          <w:b/>
          <w:sz w:val="24"/>
          <w:szCs w:val="24"/>
          <w:lang w:eastAsia="lt-LT"/>
        </w:rPr>
      </w:pPr>
    </w:p>
    <w:p w:rsidR="00677BA1" w:rsidRDefault="00677BA1" w:rsidP="003E142A">
      <w:pPr>
        <w:pStyle w:val="NoSpacing"/>
        <w:spacing w:after="200" w:line="360" w:lineRule="auto"/>
        <w:rPr>
          <w:b/>
          <w:sz w:val="24"/>
          <w:szCs w:val="24"/>
          <w:lang w:eastAsia="lt-LT"/>
        </w:rPr>
      </w:pPr>
    </w:p>
    <w:p w:rsidR="00807D24" w:rsidRDefault="00807D24" w:rsidP="003E142A">
      <w:pPr>
        <w:pStyle w:val="NoSpacing"/>
        <w:spacing w:after="200" w:line="360" w:lineRule="auto"/>
        <w:rPr>
          <w:b/>
          <w:sz w:val="24"/>
          <w:szCs w:val="24"/>
          <w:lang w:eastAsia="lt-LT"/>
        </w:rPr>
      </w:pPr>
    </w:p>
    <w:p w:rsidR="000C1520" w:rsidRDefault="000C1520" w:rsidP="003E142A">
      <w:pPr>
        <w:pStyle w:val="NoSpacing"/>
        <w:spacing w:after="200" w:line="360" w:lineRule="auto"/>
        <w:rPr>
          <w:lang w:val="hr-HR"/>
        </w:rPr>
      </w:pPr>
      <w:r w:rsidRPr="006F23EB">
        <w:rPr>
          <w:b/>
          <w:sz w:val="24"/>
          <w:szCs w:val="24"/>
          <w:lang w:eastAsia="lt-LT"/>
        </w:rPr>
        <w:lastRenderedPageBreak/>
        <w:t>POJMOVNIK</w:t>
      </w:r>
    </w:p>
    <w:p w:rsidR="005F07EA" w:rsidRPr="00177115" w:rsidRDefault="005F07EA" w:rsidP="005F07EA">
      <w:pPr>
        <w:autoSpaceDE w:val="0"/>
        <w:autoSpaceDN w:val="0"/>
        <w:adjustRightInd w:val="0"/>
        <w:spacing w:line="360" w:lineRule="auto"/>
        <w:jc w:val="both"/>
        <w:rPr>
          <w:rFonts w:cs="Arial"/>
          <w:color w:val="FF0000"/>
        </w:rPr>
      </w:pPr>
      <w:r w:rsidRPr="00177115">
        <w:rPr>
          <w:b/>
          <w:i/>
          <w:color w:val="943634"/>
        </w:rPr>
        <w:t>BROWNFIELD</w:t>
      </w:r>
      <w:r w:rsidRPr="00177115">
        <w:rPr>
          <w:b/>
          <w:color w:val="943634"/>
        </w:rPr>
        <w:t xml:space="preserve"> INVESTICIJE</w:t>
      </w:r>
      <w:r w:rsidRPr="00177115">
        <w:rPr>
          <w:color w:val="943634"/>
        </w:rPr>
        <w:t xml:space="preserve"> </w:t>
      </w:r>
      <w:r w:rsidRPr="00177115">
        <w:rPr>
          <w:rFonts w:cs="Arial"/>
          <w:color w:val="943634"/>
        </w:rPr>
        <w:t xml:space="preserve"> </w:t>
      </w:r>
      <w:r w:rsidRPr="00177115">
        <w:rPr>
          <w:rFonts w:cs="Arial"/>
        </w:rPr>
        <w:t xml:space="preserve">Kupnja ili preuzimanje postojećih postrojenja i poduzeća u svrhu pokretanja novog proizvoda ili nove proizvodne djelatnosti. </w:t>
      </w:r>
    </w:p>
    <w:p w:rsidR="00177115" w:rsidRPr="00177115" w:rsidRDefault="00177115" w:rsidP="00177115">
      <w:pPr>
        <w:autoSpaceDE w:val="0"/>
        <w:autoSpaceDN w:val="0"/>
        <w:adjustRightInd w:val="0"/>
        <w:spacing w:line="360" w:lineRule="auto"/>
        <w:jc w:val="both"/>
        <w:rPr>
          <w:rFonts w:cs="Arial"/>
          <w:color w:val="FF0000"/>
        </w:rPr>
      </w:pPr>
      <w:r w:rsidRPr="00177115">
        <w:rPr>
          <w:rFonts w:cs="Arial"/>
          <w:b/>
          <w:i/>
          <w:color w:val="943634" w:themeColor="accent2" w:themeShade="BF"/>
        </w:rPr>
        <w:t>GREENFIELD</w:t>
      </w:r>
      <w:r w:rsidRPr="00177115">
        <w:rPr>
          <w:rFonts w:cs="Arial"/>
          <w:b/>
          <w:color w:val="943634" w:themeColor="accent2" w:themeShade="BF"/>
        </w:rPr>
        <w:t xml:space="preserve"> INVESTICIJE</w:t>
      </w:r>
      <w:r w:rsidRPr="00177115">
        <w:rPr>
          <w:rFonts w:cs="Arial"/>
          <w:color w:val="943634" w:themeColor="accent2" w:themeShade="BF"/>
        </w:rPr>
        <w:t xml:space="preserve"> </w:t>
      </w:r>
      <w:r w:rsidRPr="00177115">
        <w:rPr>
          <w:rFonts w:cs="Arial"/>
        </w:rPr>
        <w:t xml:space="preserve">Izrazom </w:t>
      </w:r>
      <w:proofErr w:type="spellStart"/>
      <w:r w:rsidRPr="00177115">
        <w:rPr>
          <w:rFonts w:cs="Arial"/>
          <w:i/>
        </w:rPr>
        <w:t>greenfield</w:t>
      </w:r>
      <w:proofErr w:type="spellEnd"/>
      <w:r w:rsidRPr="00177115">
        <w:rPr>
          <w:rFonts w:cs="Arial"/>
        </w:rPr>
        <w:t xml:space="preserve"> investicije označavaju se izravne investicije, u pravilu stranog kapitala. Riječ je o ulaganju kapitala koje rezidenti jedne države ostvaruju u inozemstvu. To može biti ulaganje u osnivanje vlastite tvrtke (primjerice novog trgovačkog društva), ulaganje u osnivanje zajedničke tvrtke (primjerice osnivanje mješovitog društva) ili osnivanje, odnosno otvaranje podružnice (filijale). Obilježje takvog ulaganja je da ulagač stječe kontrolu i aktivno je provodi te upravlja tvrtkom u koju je uložio. Po tome se izravne investicije razlikuju od takozvanih </w:t>
      </w:r>
      <w:proofErr w:type="spellStart"/>
      <w:r w:rsidRPr="00177115">
        <w:rPr>
          <w:rFonts w:cs="Arial"/>
        </w:rPr>
        <w:t>portfolio</w:t>
      </w:r>
      <w:proofErr w:type="spellEnd"/>
      <w:r w:rsidRPr="00177115">
        <w:rPr>
          <w:rFonts w:cs="Arial"/>
        </w:rPr>
        <w:t xml:space="preserve"> investicija.  </w:t>
      </w:r>
    </w:p>
    <w:p w:rsidR="000C1520" w:rsidRPr="005822A7" w:rsidRDefault="000C1520" w:rsidP="003E142A">
      <w:pPr>
        <w:autoSpaceDE w:val="0"/>
        <w:autoSpaceDN w:val="0"/>
        <w:adjustRightInd w:val="0"/>
        <w:spacing w:line="360" w:lineRule="auto"/>
        <w:jc w:val="both"/>
        <w:rPr>
          <w:rFonts w:cs="ECSquareSansPro-Regular"/>
          <w:color w:val="000000"/>
        </w:rPr>
      </w:pPr>
      <w:r>
        <w:rPr>
          <w:rFonts w:cs="ECSquareSansPro-Regular"/>
          <w:b/>
          <w:color w:val="943634"/>
        </w:rPr>
        <w:t>INDUSTRIJE U NASTAJANJU (</w:t>
      </w:r>
      <w:proofErr w:type="spellStart"/>
      <w:r>
        <w:rPr>
          <w:rFonts w:cs="ECSquareSansPro-Regular"/>
          <w:b/>
          <w:color w:val="943634"/>
        </w:rPr>
        <w:t>eng</w:t>
      </w:r>
      <w:proofErr w:type="spellEnd"/>
      <w:r>
        <w:rPr>
          <w:rFonts w:cs="ECSquareSansPro-Regular"/>
          <w:b/>
          <w:color w:val="943634"/>
        </w:rPr>
        <w:t xml:space="preserve">. </w:t>
      </w:r>
      <w:proofErr w:type="spellStart"/>
      <w:r>
        <w:rPr>
          <w:rFonts w:cs="ECSquareSansPro-Regular"/>
          <w:b/>
          <w:color w:val="943634"/>
        </w:rPr>
        <w:t>e</w:t>
      </w:r>
      <w:r w:rsidRPr="00D1226E">
        <w:rPr>
          <w:rFonts w:cs="ECSquareSansPro-Regular"/>
          <w:b/>
          <w:color w:val="943634"/>
        </w:rPr>
        <w:t>merging</w:t>
      </w:r>
      <w:proofErr w:type="spellEnd"/>
      <w:r w:rsidRPr="00D1226E">
        <w:rPr>
          <w:rFonts w:cs="ECSquareSansPro-Regular"/>
          <w:b/>
          <w:color w:val="943634"/>
        </w:rPr>
        <w:t xml:space="preserve"> </w:t>
      </w:r>
      <w:proofErr w:type="spellStart"/>
      <w:r w:rsidRPr="00D1226E">
        <w:rPr>
          <w:rFonts w:cs="ECSquareSansPro-Regular"/>
          <w:b/>
          <w:color w:val="943634"/>
        </w:rPr>
        <w:t>industries</w:t>
      </w:r>
      <w:proofErr w:type="spellEnd"/>
      <w:r w:rsidRPr="00D1226E">
        <w:rPr>
          <w:rFonts w:cs="ECSquareSansPro-Regular"/>
          <w:b/>
          <w:color w:val="943634"/>
        </w:rPr>
        <w:t>)</w:t>
      </w:r>
      <w:r w:rsidRPr="00D1226E">
        <w:rPr>
          <w:rFonts w:cs="ECSquareSansPro-Regular"/>
          <w:color w:val="943634"/>
        </w:rPr>
        <w:t xml:space="preserve"> </w:t>
      </w:r>
      <w:r w:rsidRPr="005822A7">
        <w:rPr>
          <w:rFonts w:cs="ECSquareSansPro-Regular"/>
          <w:color w:val="000000"/>
        </w:rPr>
        <w:t xml:space="preserve">Pojam industrija u nastajanju može obuhvatiti nove industrijske sektore ili postojeće industrijske sektore u razvoju ili u procesu spajanja u nove industrije. Najčešće ih pokreću KET tehnologije, novi modeli poslovanja </w:t>
      </w:r>
      <w:r w:rsidR="008D1B7C">
        <w:rPr>
          <w:rFonts w:cs="ECSquareSansPro-Regular"/>
          <w:color w:val="000000"/>
        </w:rPr>
        <w:t>kao što su koncepti</w:t>
      </w:r>
      <w:r>
        <w:rPr>
          <w:rFonts w:cs="ECSquareSansPro-Regular"/>
          <w:color w:val="000000"/>
        </w:rPr>
        <w:t xml:space="preserve"> inovativnih usluga i društvenih </w:t>
      </w:r>
      <w:r w:rsidRPr="008D1B7C">
        <w:rPr>
          <w:rFonts w:cs="ECSquareSansPro-Regular"/>
          <w:color w:val="000000"/>
        </w:rPr>
        <w:t>izazova poput zahtjeva</w:t>
      </w:r>
      <w:r w:rsidRPr="005822A7">
        <w:rPr>
          <w:rFonts w:cs="ECSquareSansPro-Regular"/>
          <w:color w:val="000000"/>
        </w:rPr>
        <w:t xml:space="preserve"> za održivošću koje i</w:t>
      </w:r>
      <w:r>
        <w:rPr>
          <w:rFonts w:cs="ECSquareSansPro-Regular"/>
          <w:color w:val="000000"/>
        </w:rPr>
        <w:t>ndustrija mora obuhvatiti. Mnogim industrijama</w:t>
      </w:r>
      <w:r w:rsidRPr="005822A7">
        <w:rPr>
          <w:rFonts w:cs="ECSquareSansPro-Regular"/>
          <w:color w:val="000000"/>
        </w:rPr>
        <w:t xml:space="preserve"> u nastajanju poput kreativnih industrija, mobilne industrije i industrije mobilnosti ili e</w:t>
      </w:r>
      <w:r>
        <w:rPr>
          <w:rFonts w:cs="ECSquareSansPro-Regular"/>
          <w:color w:val="000000"/>
        </w:rPr>
        <w:t xml:space="preserve">ko-inovativnih industrija </w:t>
      </w:r>
      <w:r w:rsidRPr="005822A7">
        <w:rPr>
          <w:rFonts w:cs="ECSquareSansPro-Regular"/>
          <w:color w:val="000000"/>
        </w:rPr>
        <w:t>zajedničko</w:t>
      </w:r>
      <w:r>
        <w:rPr>
          <w:rFonts w:cs="ECSquareSansPro-Regular"/>
          <w:color w:val="000000"/>
        </w:rPr>
        <w:t xml:space="preserve"> je to</w:t>
      </w:r>
      <w:r w:rsidRPr="005822A7">
        <w:rPr>
          <w:rFonts w:cs="ECSquareSansPro-Regular"/>
          <w:color w:val="000000"/>
        </w:rPr>
        <w:t xml:space="preserve"> da izrastaju iz v</w:t>
      </w:r>
      <w:r>
        <w:rPr>
          <w:rFonts w:cs="ECSquareSansPro-Regular"/>
          <w:color w:val="000000"/>
        </w:rPr>
        <w:t>eć postojećih industrija. Na taj način</w:t>
      </w:r>
      <w:r w:rsidRPr="005822A7">
        <w:rPr>
          <w:rFonts w:cs="ECSquareSansPro-Regular"/>
          <w:color w:val="000000"/>
        </w:rPr>
        <w:t xml:space="preserve"> prožimaju različite tradicionalno definirane sektore u stvaranju novih industrijskih područja i vrijednosnih lanaca koji integriraju međusektorske nadležnosti i povezanost.     </w:t>
      </w:r>
    </w:p>
    <w:p w:rsidR="00177115" w:rsidRPr="00177115" w:rsidRDefault="00177115" w:rsidP="00177115">
      <w:pPr>
        <w:autoSpaceDE w:val="0"/>
        <w:autoSpaceDN w:val="0"/>
        <w:adjustRightInd w:val="0"/>
        <w:spacing w:line="360" w:lineRule="auto"/>
        <w:jc w:val="both"/>
        <w:rPr>
          <w:rFonts w:cs="Arial"/>
          <w:i/>
          <w:color w:val="000000"/>
        </w:rPr>
      </w:pPr>
      <w:r w:rsidRPr="00177115">
        <w:rPr>
          <w:rFonts w:cs="Arial"/>
          <w:b/>
          <w:color w:val="943634"/>
        </w:rPr>
        <w:t xml:space="preserve">INOVACIJA </w:t>
      </w:r>
      <w:r w:rsidRPr="00177115">
        <w:rPr>
          <w:rFonts w:cs="Arial"/>
          <w:color w:val="000000"/>
        </w:rPr>
        <w:t>Pojam inovacija koristi se za opisivanje različitih pojava, od znanstvenih otkrića do jednostavnog „</w:t>
      </w:r>
      <w:r w:rsidRPr="00177115">
        <w:rPr>
          <w:rFonts w:cs="Arial"/>
        </w:rPr>
        <w:t xml:space="preserve">razmišljanja izvan </w:t>
      </w:r>
      <w:r w:rsidRPr="005F07EA">
        <w:rPr>
          <w:rFonts w:cs="Arial"/>
        </w:rPr>
        <w:t>okvira</w:t>
      </w:r>
      <w:r w:rsidRPr="00177115">
        <w:rPr>
          <w:rFonts w:cs="Arial"/>
        </w:rPr>
        <w:t xml:space="preserve">“, </w:t>
      </w:r>
      <w:r w:rsidRPr="005F07EA">
        <w:rPr>
          <w:rFonts w:cs="Arial"/>
        </w:rPr>
        <w:t>kroz kreativnost</w:t>
      </w:r>
      <w:r w:rsidRPr="00177115">
        <w:rPr>
          <w:rFonts w:cs="Arial"/>
        </w:rPr>
        <w:t xml:space="preserve"> </w:t>
      </w:r>
      <w:r w:rsidRPr="005F07EA">
        <w:rPr>
          <w:rFonts w:cs="Arial"/>
        </w:rPr>
        <w:t>i dizajn</w:t>
      </w:r>
      <w:r w:rsidRPr="00177115">
        <w:rPr>
          <w:rFonts w:cs="Arial"/>
        </w:rPr>
        <w:t xml:space="preserve">. OECD </w:t>
      </w:r>
      <w:r w:rsidRPr="005F07EA">
        <w:rPr>
          <w:rFonts w:cs="Arial"/>
        </w:rPr>
        <w:t>prepoznaje</w:t>
      </w:r>
      <w:r w:rsidRPr="00177115">
        <w:rPr>
          <w:rFonts w:cs="Arial"/>
        </w:rPr>
        <w:t xml:space="preserve"> </w:t>
      </w:r>
      <w:r w:rsidRPr="005F07EA">
        <w:rPr>
          <w:rFonts w:cs="Arial"/>
        </w:rPr>
        <w:t>četiri</w:t>
      </w:r>
      <w:r w:rsidRPr="00177115">
        <w:rPr>
          <w:rFonts w:cs="Arial"/>
        </w:rPr>
        <w:t xml:space="preserve"> </w:t>
      </w:r>
      <w:r w:rsidRPr="005F07EA">
        <w:rPr>
          <w:rFonts w:cs="Arial"/>
        </w:rPr>
        <w:t>vrste</w:t>
      </w:r>
      <w:r w:rsidRPr="00177115">
        <w:rPr>
          <w:rFonts w:cs="Arial"/>
        </w:rPr>
        <w:t xml:space="preserve"> </w:t>
      </w:r>
      <w:r w:rsidRPr="005F07EA">
        <w:rPr>
          <w:rFonts w:cs="Arial"/>
        </w:rPr>
        <w:t>inovacija</w:t>
      </w:r>
      <w:r w:rsidRPr="00177115">
        <w:rPr>
          <w:rFonts w:cs="Arial"/>
        </w:rPr>
        <w:t xml:space="preserve"> </w:t>
      </w:r>
      <w:r w:rsidRPr="005F07EA">
        <w:rPr>
          <w:rFonts w:cs="Arial"/>
        </w:rPr>
        <w:t>u</w:t>
      </w:r>
      <w:r w:rsidRPr="00177115">
        <w:rPr>
          <w:rFonts w:cs="Arial"/>
        </w:rPr>
        <w:t xml:space="preserve"> </w:t>
      </w:r>
      <w:r w:rsidRPr="005F07EA">
        <w:rPr>
          <w:rFonts w:cs="Arial"/>
        </w:rPr>
        <w:t>tvrtkama</w:t>
      </w:r>
      <w:r w:rsidRPr="00177115">
        <w:rPr>
          <w:rFonts w:cs="Arial"/>
        </w:rPr>
        <w:t xml:space="preserve">: </w:t>
      </w:r>
      <w:r w:rsidRPr="005F07EA">
        <w:rPr>
          <w:rFonts w:cs="Arial"/>
        </w:rPr>
        <w:t>tehnološke inovacije</w:t>
      </w:r>
      <w:r w:rsidRPr="00177115">
        <w:rPr>
          <w:rFonts w:cs="Arial"/>
        </w:rPr>
        <w:t xml:space="preserve"> (inovacije proizvoda, </w:t>
      </w:r>
      <w:r w:rsidRPr="005F07EA">
        <w:rPr>
          <w:rFonts w:cs="Arial"/>
        </w:rPr>
        <w:t>inovacije procesa)</w:t>
      </w:r>
      <w:r w:rsidRPr="00177115">
        <w:rPr>
          <w:rFonts w:cs="Arial"/>
        </w:rPr>
        <w:t xml:space="preserve"> i </w:t>
      </w:r>
      <w:r w:rsidRPr="005F07EA">
        <w:rPr>
          <w:rFonts w:cs="Arial"/>
        </w:rPr>
        <w:t>ne-</w:t>
      </w:r>
      <w:r w:rsidRPr="00177115">
        <w:rPr>
          <w:rFonts w:cs="Arial"/>
        </w:rPr>
        <w:t xml:space="preserve">tehnološke inovacije </w:t>
      </w:r>
      <w:r w:rsidRPr="005F07EA">
        <w:rPr>
          <w:rFonts w:cs="Arial"/>
        </w:rPr>
        <w:t>(</w:t>
      </w:r>
      <w:r w:rsidRPr="00177115">
        <w:rPr>
          <w:rFonts w:cs="Arial"/>
        </w:rPr>
        <w:t xml:space="preserve">marketinške inovacije </w:t>
      </w:r>
      <w:r w:rsidRPr="005F07EA">
        <w:rPr>
          <w:rFonts w:cs="Arial"/>
        </w:rPr>
        <w:t>i organizacijske inovacije</w:t>
      </w:r>
      <w:r w:rsidRPr="00177115">
        <w:rPr>
          <w:rFonts w:cs="Arial"/>
        </w:rPr>
        <w:t xml:space="preserve">). </w:t>
      </w:r>
      <w:r w:rsidRPr="005F07EA">
        <w:rPr>
          <w:rFonts w:cs="Arial"/>
        </w:rPr>
        <w:t>Potrebno je imati na umu da</w:t>
      </w:r>
      <w:r w:rsidRPr="00177115">
        <w:rPr>
          <w:rFonts w:cs="Arial"/>
        </w:rPr>
        <w:t xml:space="preserve"> </w:t>
      </w:r>
      <w:r w:rsidRPr="005F07EA">
        <w:rPr>
          <w:rFonts w:cs="Arial"/>
        </w:rPr>
        <w:t>inovacije</w:t>
      </w:r>
      <w:r w:rsidRPr="00177115">
        <w:rPr>
          <w:rFonts w:cs="Arial"/>
        </w:rPr>
        <w:t xml:space="preserve"> </w:t>
      </w:r>
      <w:r w:rsidRPr="005F07EA">
        <w:rPr>
          <w:rFonts w:cs="Arial"/>
        </w:rPr>
        <w:t>mogu</w:t>
      </w:r>
      <w:r w:rsidRPr="00177115">
        <w:rPr>
          <w:rFonts w:cs="Arial"/>
        </w:rPr>
        <w:t xml:space="preserve"> </w:t>
      </w:r>
      <w:r w:rsidRPr="005F07EA">
        <w:rPr>
          <w:rFonts w:cs="Arial"/>
        </w:rPr>
        <w:t>imati različite</w:t>
      </w:r>
      <w:r w:rsidRPr="00177115">
        <w:rPr>
          <w:rFonts w:cs="Arial"/>
        </w:rPr>
        <w:t xml:space="preserve"> </w:t>
      </w:r>
      <w:r w:rsidRPr="005F07EA">
        <w:rPr>
          <w:rFonts w:cs="Arial"/>
        </w:rPr>
        <w:t>stupnjeve</w:t>
      </w:r>
      <w:r w:rsidRPr="00177115">
        <w:rPr>
          <w:rFonts w:cs="Arial"/>
        </w:rPr>
        <w:t xml:space="preserve"> </w:t>
      </w:r>
      <w:r w:rsidRPr="005F07EA">
        <w:rPr>
          <w:rFonts w:cs="Arial"/>
        </w:rPr>
        <w:t>noviteta</w:t>
      </w:r>
      <w:r w:rsidRPr="00177115">
        <w:rPr>
          <w:rFonts w:cs="Arial"/>
        </w:rPr>
        <w:t xml:space="preserve">. </w:t>
      </w:r>
      <w:r w:rsidRPr="005F07EA">
        <w:rPr>
          <w:rFonts w:cs="Arial"/>
        </w:rPr>
        <w:t>To</w:t>
      </w:r>
      <w:r w:rsidRPr="00177115">
        <w:rPr>
          <w:rFonts w:cs="Arial"/>
        </w:rPr>
        <w:t xml:space="preserve"> </w:t>
      </w:r>
      <w:r w:rsidRPr="005F07EA">
        <w:rPr>
          <w:rFonts w:cs="Arial"/>
        </w:rPr>
        <w:t>ne mora</w:t>
      </w:r>
      <w:r w:rsidRPr="00177115">
        <w:rPr>
          <w:rFonts w:cs="Arial"/>
        </w:rPr>
        <w:t xml:space="preserve"> </w:t>
      </w:r>
      <w:r w:rsidRPr="005F07EA">
        <w:rPr>
          <w:rFonts w:cs="Arial"/>
        </w:rPr>
        <w:t>biti</w:t>
      </w:r>
      <w:r w:rsidRPr="00177115">
        <w:rPr>
          <w:rFonts w:cs="Arial"/>
        </w:rPr>
        <w:t xml:space="preserve"> </w:t>
      </w:r>
      <w:r w:rsidRPr="005F07EA">
        <w:rPr>
          <w:rFonts w:cs="Arial"/>
        </w:rPr>
        <w:t>novo svijetu</w:t>
      </w:r>
      <w:r w:rsidRPr="00177115">
        <w:rPr>
          <w:rFonts w:cs="Arial"/>
        </w:rPr>
        <w:t xml:space="preserve">; to </w:t>
      </w:r>
      <w:r w:rsidRPr="005F07EA">
        <w:rPr>
          <w:rFonts w:cs="Arial"/>
        </w:rPr>
        <w:t>može</w:t>
      </w:r>
      <w:r w:rsidRPr="00177115">
        <w:rPr>
          <w:rFonts w:cs="Arial"/>
        </w:rPr>
        <w:t xml:space="preserve"> </w:t>
      </w:r>
      <w:r w:rsidRPr="005F07EA">
        <w:rPr>
          <w:rFonts w:cs="Arial"/>
        </w:rPr>
        <w:t>biti novo</w:t>
      </w:r>
      <w:r w:rsidRPr="00177115">
        <w:rPr>
          <w:rFonts w:cs="Arial"/>
        </w:rPr>
        <w:t xml:space="preserve"> </w:t>
      </w:r>
      <w:r w:rsidRPr="005F07EA">
        <w:rPr>
          <w:rFonts w:cs="Arial"/>
        </w:rPr>
        <w:t>tržištu/sektoru</w:t>
      </w:r>
      <w:r w:rsidRPr="00177115">
        <w:rPr>
          <w:rFonts w:cs="Arial"/>
        </w:rPr>
        <w:t xml:space="preserve"> </w:t>
      </w:r>
      <w:r w:rsidRPr="005F07EA">
        <w:rPr>
          <w:rFonts w:cs="Arial"/>
        </w:rPr>
        <w:t>ili jednostavno</w:t>
      </w:r>
      <w:r w:rsidRPr="00177115">
        <w:rPr>
          <w:rFonts w:cs="Arial"/>
        </w:rPr>
        <w:t xml:space="preserve"> </w:t>
      </w:r>
      <w:r w:rsidRPr="005F07EA">
        <w:rPr>
          <w:rFonts w:cs="Arial"/>
        </w:rPr>
        <w:t>novo tvrtki/instituciji</w:t>
      </w:r>
      <w:r w:rsidRPr="00177115">
        <w:rPr>
          <w:rFonts w:cs="Arial"/>
        </w:rPr>
        <w:t xml:space="preserve">. </w:t>
      </w:r>
    </w:p>
    <w:p w:rsidR="000C1520" w:rsidRDefault="000C1520" w:rsidP="003E142A">
      <w:pPr>
        <w:spacing w:line="360" w:lineRule="auto"/>
        <w:jc w:val="both"/>
        <w:rPr>
          <w:rFonts w:cs="ECSquareSansPro-Regular"/>
          <w:color w:val="000000"/>
        </w:rPr>
      </w:pPr>
      <w:r w:rsidRPr="00D1226E">
        <w:rPr>
          <w:rFonts w:cs="ECSquareSansPro-Regular"/>
          <w:b/>
          <w:color w:val="943634"/>
          <w:shd w:val="clear" w:color="auto" w:fill="FFFFFF"/>
        </w:rPr>
        <w:t>INOVACIJSKA INFRASTRUKTURA</w:t>
      </w:r>
      <w:r w:rsidRPr="00D1226E">
        <w:rPr>
          <w:rFonts w:cs="ECSquareSansPro-Regular"/>
          <w:color w:val="943634"/>
          <w:shd w:val="clear" w:color="auto" w:fill="FFFFFF"/>
        </w:rPr>
        <w:t xml:space="preserve"> </w:t>
      </w:r>
      <w:r w:rsidRPr="00D1226E">
        <w:rPr>
          <w:rFonts w:cs="ECSquareSansPro-Regular"/>
          <w:color w:val="000000"/>
          <w:shd w:val="clear" w:color="auto" w:fill="FFFFFF"/>
        </w:rPr>
        <w:t>Inovacijska</w:t>
      </w:r>
      <w:r w:rsidRPr="00442310">
        <w:rPr>
          <w:rFonts w:cs="ECSquareSansPro-Regular"/>
          <w:color w:val="000000"/>
        </w:rPr>
        <w:t xml:space="preserve"> infrastruktura</w:t>
      </w:r>
      <w:r w:rsidRPr="005822A7">
        <w:rPr>
          <w:rFonts w:cs="ECSquareSansPro-Regular"/>
          <w:color w:val="000000"/>
        </w:rPr>
        <w:t xml:space="preserve"> uključuje javne i privatne institucije koje za cilj imaju poticanje komercijalizacije inovacija i transfer tehn</w:t>
      </w:r>
      <w:r>
        <w:rPr>
          <w:rFonts w:cs="ECSquareSansPro-Regular"/>
          <w:color w:val="000000"/>
        </w:rPr>
        <w:t>ologije u gospodarskom sektoru, a</w:t>
      </w:r>
      <w:r w:rsidRPr="005822A7">
        <w:rPr>
          <w:rFonts w:cs="ECSquareSansPro-Regular"/>
          <w:color w:val="000000"/>
        </w:rPr>
        <w:t xml:space="preserve"> odnosi se na centre kompetencije, </w:t>
      </w:r>
      <w:proofErr w:type="spellStart"/>
      <w:r w:rsidRPr="00DD46FE">
        <w:rPr>
          <w:rFonts w:cs="ECSquareSansPro-Regular"/>
          <w:i/>
          <w:color w:val="000000"/>
        </w:rPr>
        <w:t>living</w:t>
      </w:r>
      <w:proofErr w:type="spellEnd"/>
      <w:r w:rsidRPr="00DD46FE">
        <w:rPr>
          <w:rFonts w:cs="ECSquareSansPro-Regular"/>
          <w:i/>
          <w:color w:val="000000"/>
        </w:rPr>
        <w:t xml:space="preserve"> </w:t>
      </w:r>
      <w:proofErr w:type="spellStart"/>
      <w:r w:rsidRPr="00DD46FE">
        <w:rPr>
          <w:rFonts w:cs="ECSquareSansPro-Regular"/>
          <w:i/>
          <w:color w:val="000000"/>
        </w:rPr>
        <w:t>labove</w:t>
      </w:r>
      <w:proofErr w:type="spellEnd"/>
      <w:r w:rsidRPr="00894F52">
        <w:rPr>
          <w:rFonts w:cs="ECSquareSansPro-Regular"/>
          <w:color w:val="000000"/>
        </w:rPr>
        <w:t>,</w:t>
      </w:r>
      <w:r w:rsidRPr="005822A7">
        <w:rPr>
          <w:rFonts w:cs="ECSquareSansPro-Regular"/>
          <w:color w:val="000000"/>
        </w:rPr>
        <w:t xml:space="preserve"> centre za razvoj novih proizvoda, </w:t>
      </w:r>
      <w:r>
        <w:rPr>
          <w:rFonts w:cs="ECSquareSansPro-Regular"/>
          <w:color w:val="000000"/>
        </w:rPr>
        <w:t>urede za prijenos</w:t>
      </w:r>
      <w:r w:rsidRPr="005822A7">
        <w:rPr>
          <w:rFonts w:cs="ECSquareSansPro-Regular"/>
          <w:color w:val="000000"/>
        </w:rPr>
        <w:t xml:space="preserve"> tehnologije, centre za zaštitu intelektualnog vlasništva, poslovno-inovacijske centre, inovacijske inkubatore, sektorske inkubatore, uslužne inovacijske centre, dizajn centre, uslužne inkubatore i ostale i</w:t>
      </w:r>
      <w:r>
        <w:rPr>
          <w:rFonts w:cs="ECSquareSansPro-Regular"/>
          <w:color w:val="000000"/>
        </w:rPr>
        <w:t>nstitucije koje povezuju istraživanja, tehnološki razvoj i inovacije</w:t>
      </w:r>
      <w:r w:rsidRPr="005822A7">
        <w:rPr>
          <w:rFonts w:cs="ECSquareSansPro-Regular"/>
          <w:color w:val="000000"/>
        </w:rPr>
        <w:t>.</w:t>
      </w:r>
    </w:p>
    <w:p w:rsidR="000C1520" w:rsidRPr="005822A7" w:rsidRDefault="000C1520" w:rsidP="003E142A">
      <w:pPr>
        <w:spacing w:line="360" w:lineRule="auto"/>
        <w:jc w:val="both"/>
        <w:rPr>
          <w:rFonts w:cs="ECSquareSansPro-Regular"/>
          <w:color w:val="000000"/>
        </w:rPr>
      </w:pPr>
      <w:r w:rsidRPr="00D1226E">
        <w:rPr>
          <w:rFonts w:cs="ECSquareSansPro-Regular"/>
          <w:b/>
          <w:color w:val="943634"/>
        </w:rPr>
        <w:lastRenderedPageBreak/>
        <w:t xml:space="preserve">INVESTICIJE </w:t>
      </w:r>
      <w:r w:rsidRPr="00442310">
        <w:rPr>
          <w:rFonts w:cs="Calibri"/>
        </w:rPr>
        <w:t>Dva</w:t>
      </w:r>
      <w:r w:rsidRPr="00636499">
        <w:rPr>
          <w:rFonts w:cs="Calibri"/>
        </w:rPr>
        <w:t xml:space="preserve"> su osnovna termi</w:t>
      </w:r>
      <w:r>
        <w:rPr>
          <w:rFonts w:cs="Calibri"/>
        </w:rPr>
        <w:t xml:space="preserve">nska određenja investicija, u užem i </w:t>
      </w:r>
      <w:r w:rsidRPr="00636499">
        <w:rPr>
          <w:rFonts w:cs="Calibri"/>
        </w:rPr>
        <w:t>širem smislu. U širem smislu</w:t>
      </w:r>
      <w:r>
        <w:rPr>
          <w:rFonts w:cs="Calibri"/>
        </w:rPr>
        <w:t>,</w:t>
      </w:r>
      <w:r w:rsidRPr="00636499">
        <w:rPr>
          <w:rFonts w:cs="Calibri"/>
        </w:rPr>
        <w:t xml:space="preserve"> pod investicijama podrazumijevamo sva ulaganja u gospodarskim i negospodarskim djelatnostima u svrhu ostvarivanja prihoda, bilo da se radi o materijalnim, nematerijalnim ili novčanim sredstvima. U užem smislu</w:t>
      </w:r>
      <w:r>
        <w:rPr>
          <w:rFonts w:cs="Calibri"/>
        </w:rPr>
        <w:t>,</w:t>
      </w:r>
      <w:r w:rsidRPr="00636499">
        <w:rPr>
          <w:rFonts w:cs="Calibri"/>
        </w:rPr>
        <w:t xml:space="preserve"> najčešće se izraz investiranje odnosi</w:t>
      </w:r>
      <w:r>
        <w:rPr>
          <w:rFonts w:cs="Calibri"/>
        </w:rPr>
        <w:t xml:space="preserve"> na ulaganje u gospodarstvo s ciljem</w:t>
      </w:r>
      <w:r w:rsidRPr="00636499">
        <w:rPr>
          <w:rFonts w:cs="Calibri"/>
        </w:rPr>
        <w:t xml:space="preserve"> održavanja materi</w:t>
      </w:r>
      <w:r>
        <w:rPr>
          <w:rFonts w:cs="Calibri"/>
        </w:rPr>
        <w:t xml:space="preserve">jalne proizvodnje na istoj razini ili </w:t>
      </w:r>
      <w:r w:rsidRPr="00636499">
        <w:rPr>
          <w:rFonts w:cs="Calibri"/>
        </w:rPr>
        <w:t>njezina proširenja.</w:t>
      </w:r>
    </w:p>
    <w:p w:rsidR="000C1520" w:rsidRDefault="000C1520" w:rsidP="003E142A">
      <w:pPr>
        <w:autoSpaceDE w:val="0"/>
        <w:autoSpaceDN w:val="0"/>
        <w:adjustRightInd w:val="0"/>
        <w:spacing w:line="360" w:lineRule="auto"/>
        <w:jc w:val="both"/>
        <w:rPr>
          <w:rFonts w:cs="Arial"/>
        </w:rPr>
      </w:pPr>
      <w:r w:rsidRPr="00D1226E">
        <w:rPr>
          <w:rFonts w:cs="Arial"/>
          <w:b/>
          <w:bCs/>
          <w:color w:val="943634"/>
        </w:rPr>
        <w:t xml:space="preserve">ISTRAŽIVANJE I RAZVOJ </w:t>
      </w:r>
      <w:r w:rsidRPr="00442310">
        <w:rPr>
          <w:rFonts w:cs="Arial"/>
          <w:bCs/>
        </w:rPr>
        <w:t>Istraživanje</w:t>
      </w:r>
      <w:r w:rsidRPr="005822A7">
        <w:rPr>
          <w:rFonts w:cs="Arial"/>
          <w:bCs/>
        </w:rPr>
        <w:t xml:space="preserve"> i razvoj</w:t>
      </w:r>
      <w:r w:rsidRPr="005822A7">
        <w:rPr>
          <w:rFonts w:cs="Arial"/>
          <w:b/>
          <w:bCs/>
        </w:rPr>
        <w:t xml:space="preserve"> </w:t>
      </w:r>
      <w:r w:rsidRPr="005822A7">
        <w:rPr>
          <w:rFonts w:cs="Arial"/>
        </w:rPr>
        <w:t>uključuje sustavan stvaralački rad usmjeren povećanju znanja o prirodi, čovjeku, kulturi i društvu te primjeni nastalih otkrića u praksi. Dijeli se na temeljna, primijenjena i razvojna istraživanja.</w:t>
      </w:r>
    </w:p>
    <w:p w:rsidR="000C1520" w:rsidRDefault="000C1520" w:rsidP="003E142A">
      <w:pPr>
        <w:autoSpaceDE w:val="0"/>
        <w:autoSpaceDN w:val="0"/>
        <w:adjustRightInd w:val="0"/>
        <w:spacing w:line="360" w:lineRule="auto"/>
        <w:jc w:val="both"/>
        <w:rPr>
          <w:rFonts w:cs="Calibri"/>
          <w:color w:val="231F20"/>
        </w:rPr>
      </w:pPr>
      <w:r w:rsidRPr="00D1226E">
        <w:rPr>
          <w:rFonts w:cs="Arial"/>
          <w:b/>
          <w:color w:val="943634"/>
        </w:rPr>
        <w:t>IZRAVNE STRANE INVESTICIJE</w:t>
      </w:r>
      <w:r w:rsidRPr="00D1226E">
        <w:rPr>
          <w:rFonts w:cs="Arial"/>
          <w:color w:val="943634"/>
        </w:rPr>
        <w:t xml:space="preserve"> </w:t>
      </w:r>
      <w:r w:rsidRPr="00442310">
        <w:rPr>
          <w:rFonts w:cs="Arial"/>
        </w:rPr>
        <w:t>I</w:t>
      </w:r>
      <w:r w:rsidRPr="00442310">
        <w:rPr>
          <w:rFonts w:cs="Calibri"/>
        </w:rPr>
        <w:t>zravne</w:t>
      </w:r>
      <w:r w:rsidRPr="00636499">
        <w:rPr>
          <w:rFonts w:cs="Calibri"/>
        </w:rPr>
        <w:t xml:space="preserve"> strane investicije</w:t>
      </w:r>
      <w:r>
        <w:rPr>
          <w:rFonts w:cs="Calibri"/>
          <w:szCs w:val="20"/>
        </w:rPr>
        <w:t xml:space="preserve"> obuhvaćaju sva </w:t>
      </w:r>
      <w:r w:rsidRPr="00636499">
        <w:rPr>
          <w:rFonts w:cs="Calibri"/>
          <w:szCs w:val="20"/>
        </w:rPr>
        <w:t>ulaganja u domaće poduzeće (rezidenta) gdje strani investitor (</w:t>
      </w:r>
      <w:proofErr w:type="spellStart"/>
      <w:r w:rsidRPr="00636499">
        <w:rPr>
          <w:rFonts w:cs="Calibri"/>
          <w:szCs w:val="20"/>
        </w:rPr>
        <w:t>nerezident</w:t>
      </w:r>
      <w:proofErr w:type="spellEnd"/>
      <w:r w:rsidRPr="00636499">
        <w:rPr>
          <w:rFonts w:cs="Calibri"/>
          <w:szCs w:val="20"/>
        </w:rPr>
        <w:t xml:space="preserve">) stječe 10% ili više vlasništva nad običnim dionicama poduzeća (inkorporiranog ili </w:t>
      </w:r>
      <w:proofErr w:type="spellStart"/>
      <w:r w:rsidRPr="00636499">
        <w:rPr>
          <w:rFonts w:cs="Calibri"/>
          <w:szCs w:val="20"/>
        </w:rPr>
        <w:t>neinkorporiranog</w:t>
      </w:r>
      <w:proofErr w:type="spellEnd"/>
      <w:r w:rsidRPr="00636499">
        <w:rPr>
          <w:rFonts w:cs="Calibri"/>
          <w:szCs w:val="20"/>
        </w:rPr>
        <w:t>) ili ekvivalentni iznos glasačkih prava.</w:t>
      </w:r>
      <w:r w:rsidRPr="00636499">
        <w:rPr>
          <w:rFonts w:cs="Calibri"/>
        </w:rPr>
        <w:t xml:space="preserve"> </w:t>
      </w:r>
      <w:r>
        <w:rPr>
          <w:rFonts w:cs="Calibri"/>
        </w:rPr>
        <w:t>I</w:t>
      </w:r>
      <w:r w:rsidRPr="00636499">
        <w:rPr>
          <w:rFonts w:cs="Calibri"/>
        </w:rPr>
        <w:t xml:space="preserve">zravne strane investicije </w:t>
      </w:r>
      <w:r w:rsidRPr="00636499">
        <w:rPr>
          <w:rFonts w:cs="Calibri"/>
          <w:color w:val="231F20"/>
        </w:rPr>
        <w:t>uglavnom</w:t>
      </w:r>
      <w:r>
        <w:rPr>
          <w:rFonts w:cs="Calibri"/>
          <w:color w:val="231F20"/>
        </w:rPr>
        <w:t xml:space="preserve"> se</w:t>
      </w:r>
      <w:r w:rsidRPr="00636499">
        <w:rPr>
          <w:rFonts w:cs="Calibri"/>
          <w:color w:val="231F20"/>
        </w:rPr>
        <w:t xml:space="preserve"> koncentriraju u proizvo</w:t>
      </w:r>
      <w:r>
        <w:rPr>
          <w:rFonts w:cs="Calibri"/>
          <w:color w:val="231F20"/>
        </w:rPr>
        <w:t>dnim sektorima koji imaju nad</w:t>
      </w:r>
      <w:r w:rsidRPr="00636499">
        <w:rPr>
          <w:rFonts w:cs="Calibri"/>
          <w:color w:val="231F20"/>
        </w:rPr>
        <w:t>prosječnu produktivnost, profitabilnost i i</w:t>
      </w:r>
      <w:r>
        <w:rPr>
          <w:rFonts w:cs="Calibri"/>
          <w:color w:val="231F20"/>
        </w:rPr>
        <w:t>zvoznu orijentaciju te dovode do preraspodjele</w:t>
      </w:r>
      <w:r w:rsidRPr="00636499">
        <w:rPr>
          <w:rFonts w:cs="Calibri"/>
          <w:color w:val="231F20"/>
        </w:rPr>
        <w:t xml:space="preserve"> resursa iz sektora industrije s malim komparativnim prednostima ili bez njih prema industrijskim sektorima sa značajnim komparativnim prednostima</w:t>
      </w:r>
      <w:r>
        <w:rPr>
          <w:rFonts w:cs="Calibri"/>
          <w:color w:val="231F20"/>
        </w:rPr>
        <w:t xml:space="preserve"> (MMF)</w:t>
      </w:r>
      <w:r w:rsidRPr="00636499">
        <w:rPr>
          <w:rFonts w:cs="Calibri"/>
          <w:color w:val="231F20"/>
        </w:rPr>
        <w:t>.</w:t>
      </w:r>
    </w:p>
    <w:p w:rsidR="000C1520" w:rsidRPr="003B2FFD" w:rsidRDefault="000C1520" w:rsidP="003E142A">
      <w:pPr>
        <w:autoSpaceDE w:val="0"/>
        <w:autoSpaceDN w:val="0"/>
        <w:adjustRightInd w:val="0"/>
        <w:spacing w:line="360" w:lineRule="auto"/>
        <w:jc w:val="both"/>
        <w:rPr>
          <w:rFonts w:cs="Calibri"/>
        </w:rPr>
      </w:pPr>
      <w:r w:rsidRPr="00D1226E">
        <w:rPr>
          <w:rFonts w:cs="Arial"/>
          <w:b/>
          <w:color w:val="943634"/>
        </w:rPr>
        <w:t>KRETANJA KAPITALA</w:t>
      </w:r>
      <w:r w:rsidRPr="00D1226E">
        <w:rPr>
          <w:rFonts w:cs="Arial"/>
          <w:color w:val="943634"/>
        </w:rPr>
        <w:t xml:space="preserve"> </w:t>
      </w:r>
      <w:r w:rsidRPr="00442310">
        <w:rPr>
          <w:rFonts w:cs="Calibri"/>
        </w:rPr>
        <w:t>Kapitalna</w:t>
      </w:r>
      <w:r>
        <w:rPr>
          <w:rFonts w:cs="Calibri"/>
        </w:rPr>
        <w:t xml:space="preserve"> kretanja obično se dijele</w:t>
      </w:r>
      <w:r w:rsidRPr="00636499">
        <w:rPr>
          <w:rFonts w:cs="Calibri"/>
        </w:rPr>
        <w:t xml:space="preserve"> u tri skupine (</w:t>
      </w:r>
      <w:proofErr w:type="spellStart"/>
      <w:r w:rsidRPr="00636499">
        <w:rPr>
          <w:rFonts w:cs="Calibri"/>
        </w:rPr>
        <w:t>Kumar</w:t>
      </w:r>
      <w:proofErr w:type="spellEnd"/>
      <w:r>
        <w:rPr>
          <w:rFonts w:cs="Calibri"/>
        </w:rPr>
        <w:t>,</w:t>
      </w:r>
      <w:r w:rsidRPr="00636499">
        <w:rPr>
          <w:rFonts w:cs="Calibri"/>
        </w:rPr>
        <w:t xml:space="preserve"> 2007</w:t>
      </w:r>
      <w:r>
        <w:rPr>
          <w:rFonts w:cs="Calibri"/>
        </w:rPr>
        <w:t>.</w:t>
      </w:r>
      <w:r w:rsidRPr="00636499">
        <w:rPr>
          <w:rFonts w:cs="Calibri"/>
        </w:rPr>
        <w:t xml:space="preserve">): izravne strane investicije, </w:t>
      </w:r>
      <w:proofErr w:type="spellStart"/>
      <w:r w:rsidRPr="00636499">
        <w:rPr>
          <w:rFonts w:cs="Calibri"/>
        </w:rPr>
        <w:t>portfolio</w:t>
      </w:r>
      <w:proofErr w:type="spellEnd"/>
      <w:r w:rsidRPr="00636499">
        <w:rPr>
          <w:rFonts w:cs="Calibri"/>
        </w:rPr>
        <w:t xml:space="preserve"> vlasničke investicije i </w:t>
      </w:r>
      <w:proofErr w:type="spellStart"/>
      <w:r w:rsidRPr="00636499">
        <w:rPr>
          <w:rFonts w:cs="Calibri"/>
        </w:rPr>
        <w:t>p</w:t>
      </w:r>
      <w:r>
        <w:rPr>
          <w:rFonts w:cs="Calibri"/>
        </w:rPr>
        <w:t>ortfolio</w:t>
      </w:r>
      <w:proofErr w:type="spellEnd"/>
      <w:r>
        <w:rPr>
          <w:rFonts w:cs="Calibri"/>
        </w:rPr>
        <w:t xml:space="preserve"> dužničko investiranje.</w:t>
      </w:r>
    </w:p>
    <w:p w:rsidR="000C1520" w:rsidRPr="005822A7" w:rsidRDefault="000C1520" w:rsidP="003E142A">
      <w:pPr>
        <w:autoSpaceDE w:val="0"/>
        <w:autoSpaceDN w:val="0"/>
        <w:adjustRightInd w:val="0"/>
        <w:spacing w:line="360" w:lineRule="auto"/>
        <w:jc w:val="both"/>
        <w:rPr>
          <w:rFonts w:cs="Calibri"/>
          <w:color w:val="000000"/>
        </w:rPr>
      </w:pPr>
      <w:r w:rsidRPr="00D1226E">
        <w:rPr>
          <w:rFonts w:cs="Calibri"/>
          <w:b/>
          <w:iCs/>
          <w:color w:val="943634"/>
        </w:rPr>
        <w:t>KET (</w:t>
      </w:r>
      <w:proofErr w:type="spellStart"/>
      <w:r>
        <w:rPr>
          <w:rFonts w:cs="Calibri"/>
          <w:b/>
          <w:iCs/>
          <w:color w:val="943634"/>
        </w:rPr>
        <w:t>eng</w:t>
      </w:r>
      <w:proofErr w:type="spellEnd"/>
      <w:r>
        <w:rPr>
          <w:rFonts w:cs="Calibri"/>
          <w:b/>
          <w:iCs/>
          <w:color w:val="943634"/>
        </w:rPr>
        <w:t xml:space="preserve">. </w:t>
      </w:r>
      <w:proofErr w:type="spellStart"/>
      <w:r w:rsidRPr="00D1226E">
        <w:rPr>
          <w:rFonts w:cs="Calibri"/>
          <w:b/>
          <w:iCs/>
          <w:color w:val="943634"/>
        </w:rPr>
        <w:t>Key</w:t>
      </w:r>
      <w:proofErr w:type="spellEnd"/>
      <w:r w:rsidRPr="00D1226E">
        <w:rPr>
          <w:rFonts w:cs="Calibri"/>
          <w:b/>
          <w:iCs/>
          <w:color w:val="943634"/>
        </w:rPr>
        <w:t xml:space="preserve"> </w:t>
      </w:r>
      <w:proofErr w:type="spellStart"/>
      <w:r w:rsidRPr="00D1226E">
        <w:rPr>
          <w:rFonts w:cs="Calibri"/>
          <w:b/>
          <w:iCs/>
          <w:color w:val="943634"/>
        </w:rPr>
        <w:t>Enable</w:t>
      </w:r>
      <w:proofErr w:type="spellEnd"/>
      <w:r w:rsidRPr="00D1226E">
        <w:rPr>
          <w:rFonts w:cs="Calibri"/>
          <w:b/>
          <w:iCs/>
          <w:color w:val="943634"/>
        </w:rPr>
        <w:t xml:space="preserve"> </w:t>
      </w:r>
      <w:proofErr w:type="spellStart"/>
      <w:r w:rsidRPr="00D1226E">
        <w:rPr>
          <w:rFonts w:cs="Calibri"/>
          <w:b/>
          <w:iCs/>
          <w:color w:val="943634"/>
        </w:rPr>
        <w:t>Technology</w:t>
      </w:r>
      <w:proofErr w:type="spellEnd"/>
      <w:r w:rsidRPr="00D1226E">
        <w:rPr>
          <w:rFonts w:cs="Calibri"/>
          <w:b/>
          <w:iCs/>
          <w:color w:val="943634"/>
        </w:rPr>
        <w:t>)</w:t>
      </w:r>
      <w:r w:rsidRPr="00D1226E">
        <w:rPr>
          <w:rFonts w:cs="Calibri"/>
          <w:iCs/>
          <w:color w:val="943634"/>
        </w:rPr>
        <w:t xml:space="preserve"> </w:t>
      </w:r>
      <w:r w:rsidRPr="00442310">
        <w:rPr>
          <w:rFonts w:cs="Calibri"/>
          <w:iCs/>
          <w:color w:val="000000"/>
        </w:rPr>
        <w:t>KET</w:t>
      </w:r>
      <w:r>
        <w:rPr>
          <w:rFonts w:cs="Calibri"/>
          <w:iCs/>
          <w:color w:val="000000"/>
        </w:rPr>
        <w:t xml:space="preserve"> tehnologije </w:t>
      </w:r>
      <w:r w:rsidRPr="005822A7">
        <w:rPr>
          <w:rFonts w:cs="Calibri"/>
          <w:iCs/>
          <w:color w:val="000000"/>
        </w:rPr>
        <w:t xml:space="preserve">pokretačka </w:t>
      </w:r>
      <w:r>
        <w:rPr>
          <w:rFonts w:cs="Calibri"/>
          <w:iCs/>
          <w:color w:val="000000"/>
        </w:rPr>
        <w:t xml:space="preserve">su </w:t>
      </w:r>
      <w:r w:rsidRPr="005822A7">
        <w:rPr>
          <w:rFonts w:cs="Calibri"/>
          <w:iCs/>
          <w:color w:val="000000"/>
        </w:rPr>
        <w:t>snaga za prijelaz iz tradicionalne ekonomij</w:t>
      </w:r>
      <w:r>
        <w:rPr>
          <w:rFonts w:cs="Calibri"/>
          <w:iCs/>
          <w:color w:val="000000"/>
        </w:rPr>
        <w:t xml:space="preserve">e prema </w:t>
      </w:r>
      <w:proofErr w:type="spellStart"/>
      <w:r w:rsidRPr="001D55D9">
        <w:rPr>
          <w:rFonts w:cs="Calibri"/>
          <w:i/>
          <w:iCs/>
          <w:color w:val="000000"/>
        </w:rPr>
        <w:t>low</w:t>
      </w:r>
      <w:proofErr w:type="spellEnd"/>
      <w:r w:rsidRPr="001D55D9">
        <w:rPr>
          <w:rFonts w:cs="Calibri"/>
          <w:i/>
          <w:iCs/>
          <w:color w:val="000000"/>
        </w:rPr>
        <w:t xml:space="preserve"> </w:t>
      </w:r>
      <w:proofErr w:type="spellStart"/>
      <w:r w:rsidRPr="001D55D9">
        <w:rPr>
          <w:rFonts w:cs="Calibri"/>
          <w:i/>
          <w:iCs/>
          <w:color w:val="000000"/>
        </w:rPr>
        <w:t>carbon</w:t>
      </w:r>
      <w:proofErr w:type="spellEnd"/>
      <w:r>
        <w:rPr>
          <w:rFonts w:cs="Calibri"/>
          <w:iCs/>
          <w:color w:val="000000"/>
        </w:rPr>
        <w:t xml:space="preserve"> i ekonomiji temeljenoj</w:t>
      </w:r>
      <w:r w:rsidRPr="005822A7">
        <w:rPr>
          <w:rFonts w:cs="Calibri"/>
          <w:iCs/>
          <w:color w:val="000000"/>
        </w:rPr>
        <w:t xml:space="preserve"> na znanju. KET tehnologije imaju važnu ulogu u istraživanju i razvoju, inovacijama i jačanju konkurentnosti industrije. </w:t>
      </w:r>
      <w:r>
        <w:rPr>
          <w:rFonts w:cs="Calibri"/>
          <w:color w:val="000000"/>
        </w:rPr>
        <w:t xml:space="preserve">Odnose se na biotehnologiju, </w:t>
      </w:r>
      <w:proofErr w:type="spellStart"/>
      <w:r>
        <w:rPr>
          <w:rFonts w:cs="Calibri"/>
          <w:color w:val="000000"/>
        </w:rPr>
        <w:t>nano</w:t>
      </w:r>
      <w:r w:rsidRPr="001314FB">
        <w:rPr>
          <w:rFonts w:cs="Calibri"/>
          <w:color w:val="000000"/>
        </w:rPr>
        <w:t>tehnologiju</w:t>
      </w:r>
      <w:proofErr w:type="spellEnd"/>
      <w:r w:rsidRPr="001314FB">
        <w:rPr>
          <w:rFonts w:cs="Calibri"/>
          <w:color w:val="000000"/>
        </w:rPr>
        <w:t xml:space="preserve">, mikro i </w:t>
      </w:r>
      <w:proofErr w:type="spellStart"/>
      <w:r w:rsidRPr="001314FB">
        <w:rPr>
          <w:rFonts w:cs="Calibri"/>
          <w:color w:val="000000"/>
        </w:rPr>
        <w:t>nano</w:t>
      </w:r>
      <w:proofErr w:type="spellEnd"/>
      <w:r w:rsidRPr="001314FB">
        <w:rPr>
          <w:rFonts w:cs="Calibri"/>
          <w:color w:val="000000"/>
        </w:rPr>
        <w:t xml:space="preserve"> elektroniku i </w:t>
      </w:r>
      <w:proofErr w:type="spellStart"/>
      <w:r w:rsidRPr="001314FB">
        <w:rPr>
          <w:rFonts w:cs="Calibri"/>
          <w:color w:val="000000"/>
        </w:rPr>
        <w:t>fotoniku</w:t>
      </w:r>
      <w:proofErr w:type="spellEnd"/>
      <w:r>
        <w:rPr>
          <w:rFonts w:cs="Calibri"/>
          <w:color w:val="000000"/>
        </w:rPr>
        <w:t xml:space="preserve"> te </w:t>
      </w:r>
      <w:r w:rsidRPr="005822A7">
        <w:rPr>
          <w:rFonts w:cs="Calibri"/>
          <w:color w:val="000000"/>
        </w:rPr>
        <w:t>napredne materijale i tehnologije.</w:t>
      </w:r>
    </w:p>
    <w:p w:rsidR="000C1520" w:rsidRPr="005822A7" w:rsidRDefault="000C1520" w:rsidP="003E142A">
      <w:pPr>
        <w:spacing w:line="360" w:lineRule="auto"/>
        <w:jc w:val="both"/>
        <w:rPr>
          <w:color w:val="000000"/>
        </w:rPr>
      </w:pPr>
      <w:r w:rsidRPr="00D1226E">
        <w:rPr>
          <w:b/>
          <w:color w:val="943634"/>
        </w:rPr>
        <w:t>KLASTERI KONKURENTNOSTI</w:t>
      </w:r>
      <w:r w:rsidRPr="00D1226E">
        <w:rPr>
          <w:color w:val="943634"/>
        </w:rPr>
        <w:t xml:space="preserve"> </w:t>
      </w:r>
      <w:proofErr w:type="spellStart"/>
      <w:r w:rsidRPr="00442310">
        <w:rPr>
          <w:color w:val="000000"/>
        </w:rPr>
        <w:t>Klaster</w:t>
      </w:r>
      <w:proofErr w:type="spellEnd"/>
      <w:r>
        <w:rPr>
          <w:color w:val="000000"/>
        </w:rPr>
        <w:t xml:space="preserve"> konkurentnosti </w:t>
      </w:r>
      <w:r w:rsidRPr="005822A7">
        <w:rPr>
          <w:color w:val="000000"/>
        </w:rPr>
        <w:t xml:space="preserve">neprofitna </w:t>
      </w:r>
      <w:r>
        <w:rPr>
          <w:color w:val="000000"/>
        </w:rPr>
        <w:t xml:space="preserve">je </w:t>
      </w:r>
      <w:r w:rsidRPr="005822A7">
        <w:rPr>
          <w:color w:val="000000"/>
        </w:rPr>
        <w:t>organizacija u okviru sektora od strateškog interesa za razvoj Republike Hrvatske koja povezuje privatne, znanstveno-istraživačke i javne institucije (</w:t>
      </w:r>
      <w:proofErr w:type="spellStart"/>
      <w:r>
        <w:rPr>
          <w:color w:val="000000"/>
        </w:rPr>
        <w:t>eng</w:t>
      </w:r>
      <w:proofErr w:type="spellEnd"/>
      <w:r>
        <w:rPr>
          <w:color w:val="000000"/>
        </w:rPr>
        <w:t xml:space="preserve">. </w:t>
      </w:r>
      <w:proofErr w:type="spellStart"/>
      <w:r w:rsidRPr="001D55D9">
        <w:rPr>
          <w:color w:val="000000"/>
        </w:rPr>
        <w:t>triple</w:t>
      </w:r>
      <w:proofErr w:type="spellEnd"/>
      <w:r w:rsidRPr="001D55D9">
        <w:rPr>
          <w:color w:val="000000"/>
        </w:rPr>
        <w:t>-</w:t>
      </w:r>
      <w:proofErr w:type="spellStart"/>
      <w:r w:rsidRPr="001D55D9">
        <w:rPr>
          <w:color w:val="000000"/>
        </w:rPr>
        <w:t>hellix</w:t>
      </w:r>
      <w:proofErr w:type="spellEnd"/>
      <w:r w:rsidRPr="005822A7">
        <w:rPr>
          <w:color w:val="000000"/>
        </w:rPr>
        <w:t xml:space="preserve">). </w:t>
      </w:r>
    </w:p>
    <w:p w:rsidR="000C1520" w:rsidRPr="005822A7" w:rsidRDefault="000C1520" w:rsidP="003E142A">
      <w:pPr>
        <w:spacing w:line="360" w:lineRule="auto"/>
        <w:jc w:val="both"/>
        <w:rPr>
          <w:color w:val="000000"/>
          <w:lang w:eastAsia="en-GB"/>
        </w:rPr>
      </w:pPr>
      <w:r w:rsidRPr="00D1226E">
        <w:rPr>
          <w:rFonts w:cs="Arial"/>
          <w:b/>
          <w:color w:val="943634"/>
        </w:rPr>
        <w:t>PAMETNA SPECIJALIZACIJA</w:t>
      </w:r>
      <w:r w:rsidRPr="00D1226E">
        <w:rPr>
          <w:rFonts w:cs="Arial"/>
          <w:color w:val="943634"/>
        </w:rPr>
        <w:t xml:space="preserve"> </w:t>
      </w:r>
      <w:r w:rsidRPr="00442310">
        <w:rPr>
          <w:color w:val="000000"/>
          <w:lang w:eastAsia="en-GB"/>
        </w:rPr>
        <w:t>Pametna</w:t>
      </w:r>
      <w:r w:rsidRPr="005822A7">
        <w:rPr>
          <w:color w:val="000000"/>
          <w:lang w:eastAsia="en-GB"/>
        </w:rPr>
        <w:t xml:space="preserve"> specijalizacija podrazum</w:t>
      </w:r>
      <w:r>
        <w:rPr>
          <w:color w:val="000000"/>
          <w:lang w:eastAsia="en-GB"/>
        </w:rPr>
        <w:t>ijeva definiranje</w:t>
      </w:r>
      <w:r w:rsidRPr="005822A7">
        <w:rPr>
          <w:color w:val="000000"/>
          <w:lang w:eastAsia="en-GB"/>
        </w:rPr>
        <w:t xml:space="preserve"> jedinstvenih obilježja i potencijala svake zemlje i regije, uz isticanje konkurentskih prednosti te okupljanje regionalnih dionika i sredstava oko vizije budućnosti utemeljene na izvrsnosti. Ona također uključuje i jačanje nacionalnog i regionalnih inov</w:t>
      </w:r>
      <w:r>
        <w:rPr>
          <w:color w:val="000000"/>
          <w:lang w:eastAsia="en-GB"/>
        </w:rPr>
        <w:t>acijskih sustava, definiranje</w:t>
      </w:r>
      <w:r w:rsidRPr="005822A7">
        <w:rPr>
          <w:color w:val="000000"/>
          <w:lang w:eastAsia="en-GB"/>
        </w:rPr>
        <w:t xml:space="preserve"> i razvoj sektorskih tehnoloških platformi i povećavanje razmjene znanja te širenje prednosti inovacija kroz cjelokupno gospodarstvo.</w:t>
      </w:r>
    </w:p>
    <w:p w:rsidR="000C1520" w:rsidRDefault="000C1520" w:rsidP="003E142A">
      <w:pPr>
        <w:autoSpaceDE w:val="0"/>
        <w:autoSpaceDN w:val="0"/>
        <w:adjustRightInd w:val="0"/>
        <w:spacing w:line="360" w:lineRule="auto"/>
        <w:jc w:val="both"/>
        <w:rPr>
          <w:rFonts w:cs="Arial"/>
        </w:rPr>
      </w:pPr>
      <w:r w:rsidRPr="00D1226E">
        <w:rPr>
          <w:rFonts w:cs="Arial"/>
          <w:b/>
          <w:bCs/>
          <w:color w:val="943634"/>
        </w:rPr>
        <w:lastRenderedPageBreak/>
        <w:t>POSLOVNI SEKTOR</w:t>
      </w:r>
      <w:r w:rsidRPr="00D1226E">
        <w:rPr>
          <w:rFonts w:cs="Arial"/>
          <w:bCs/>
          <w:color w:val="943634"/>
        </w:rPr>
        <w:t xml:space="preserve"> </w:t>
      </w:r>
      <w:r w:rsidRPr="00442310">
        <w:rPr>
          <w:rFonts w:cs="Arial"/>
          <w:bCs/>
        </w:rPr>
        <w:t>Poslovni</w:t>
      </w:r>
      <w:r w:rsidRPr="005822A7">
        <w:rPr>
          <w:rFonts w:cs="Arial"/>
          <w:bCs/>
        </w:rPr>
        <w:t xml:space="preserve"> sektor</w:t>
      </w:r>
      <w:r>
        <w:rPr>
          <w:rFonts w:cs="Arial"/>
        </w:rPr>
        <w:t xml:space="preserve"> obuhvaća poduzeća/</w:t>
      </w:r>
      <w:r w:rsidRPr="005822A7">
        <w:rPr>
          <w:rFonts w:cs="Arial"/>
        </w:rPr>
        <w:t>trgovačka društva čija je glavna djelatnost proizvodnja roba i usluga za tržište uz ekonomsku cijenu.</w:t>
      </w:r>
    </w:p>
    <w:p w:rsidR="000C1520" w:rsidRPr="001314FB" w:rsidRDefault="000C1520" w:rsidP="003E142A">
      <w:pPr>
        <w:autoSpaceDE w:val="0"/>
        <w:autoSpaceDN w:val="0"/>
        <w:adjustRightInd w:val="0"/>
        <w:spacing w:line="360" w:lineRule="auto"/>
        <w:rPr>
          <w:rFonts w:cs="ArialMT"/>
          <w:color w:val="000000"/>
        </w:rPr>
      </w:pPr>
      <w:r w:rsidRPr="00D1226E">
        <w:rPr>
          <w:rFonts w:cs="Arial-BoldMT"/>
          <w:b/>
          <w:bCs/>
          <w:color w:val="943634"/>
        </w:rPr>
        <w:t>PRILJEV IZRAVNIH STRANIH INVESTICIJA (</w:t>
      </w:r>
      <w:proofErr w:type="spellStart"/>
      <w:r>
        <w:rPr>
          <w:rFonts w:cs="Arial-BoldMT"/>
          <w:b/>
          <w:bCs/>
          <w:color w:val="943634"/>
        </w:rPr>
        <w:t>eng</w:t>
      </w:r>
      <w:proofErr w:type="spellEnd"/>
      <w:r>
        <w:rPr>
          <w:rFonts w:cs="Arial-BoldMT"/>
          <w:b/>
          <w:bCs/>
          <w:color w:val="943634"/>
        </w:rPr>
        <w:t xml:space="preserve">. </w:t>
      </w:r>
      <w:r w:rsidRPr="00D1226E">
        <w:rPr>
          <w:rFonts w:cs="Arial-BoldMT"/>
          <w:b/>
          <w:bCs/>
          <w:color w:val="943634"/>
        </w:rPr>
        <w:t>FDI FLOWS)</w:t>
      </w:r>
      <w:r w:rsidRPr="00D1226E">
        <w:rPr>
          <w:rFonts w:ascii="Arial-BoldMT" w:hAnsi="Arial-BoldMT" w:cs="Arial-BoldMT"/>
          <w:b/>
          <w:bCs/>
          <w:color w:val="943634"/>
        </w:rPr>
        <w:t xml:space="preserve"> </w:t>
      </w:r>
      <w:r w:rsidRPr="00442310">
        <w:rPr>
          <w:rFonts w:cs="ArialMT"/>
          <w:color w:val="000000"/>
        </w:rPr>
        <w:t>Iznos kapitala</w:t>
      </w:r>
      <w:r w:rsidRPr="003E142A">
        <w:rPr>
          <w:rFonts w:cs="ArialMT"/>
          <w:color w:val="000000"/>
        </w:rPr>
        <w:t xml:space="preserve"> koji je matična tvrtka u stranoj podružnici uložila u izravna strana ulaganja tijekom određenog vremenskog razd</w:t>
      </w:r>
      <w:r>
        <w:rPr>
          <w:rFonts w:cs="ArialMT"/>
          <w:color w:val="000000"/>
        </w:rPr>
        <w:t>oblja, primjerice tijekom</w:t>
      </w:r>
      <w:r w:rsidRPr="003E142A">
        <w:rPr>
          <w:rFonts w:cs="ArialMT"/>
          <w:color w:val="000000"/>
        </w:rPr>
        <w:t xml:space="preserve"> jedne godine.</w:t>
      </w:r>
    </w:p>
    <w:p w:rsidR="000C1520" w:rsidRDefault="000C1520" w:rsidP="003E142A">
      <w:pPr>
        <w:spacing w:line="360" w:lineRule="auto"/>
        <w:jc w:val="both"/>
        <w:rPr>
          <w:iCs/>
          <w:color w:val="000000"/>
        </w:rPr>
      </w:pPr>
      <w:r w:rsidRPr="001314FB">
        <w:rPr>
          <w:b/>
          <w:color w:val="943634"/>
        </w:rPr>
        <w:t>TEHNOLOŠKA PLATFORMA</w:t>
      </w:r>
      <w:r w:rsidRPr="001314FB">
        <w:rPr>
          <w:color w:val="943634"/>
        </w:rPr>
        <w:t xml:space="preserve"> </w:t>
      </w:r>
      <w:r w:rsidRPr="001314FB">
        <w:rPr>
          <w:iCs/>
          <w:color w:val="000000"/>
        </w:rPr>
        <w:t xml:space="preserve">Tehnološke platforme dio su </w:t>
      </w:r>
      <w:r>
        <w:rPr>
          <w:iCs/>
          <w:color w:val="000000"/>
        </w:rPr>
        <w:t>v</w:t>
      </w:r>
      <w:r w:rsidRPr="001314FB">
        <w:rPr>
          <w:iCs/>
          <w:color w:val="000000"/>
        </w:rPr>
        <w:t>isoko-tehnološke mreže za</w:t>
      </w:r>
      <w:r w:rsidRPr="005822A7">
        <w:rPr>
          <w:iCs/>
          <w:color w:val="000000"/>
        </w:rPr>
        <w:t xml:space="preserve"> industriju Republ</w:t>
      </w:r>
      <w:r>
        <w:rPr>
          <w:iCs/>
          <w:color w:val="000000"/>
        </w:rPr>
        <w:t>ike Hrvatske i naslanjaju se na europske</w:t>
      </w:r>
      <w:r w:rsidRPr="005822A7">
        <w:rPr>
          <w:iCs/>
          <w:color w:val="000000"/>
        </w:rPr>
        <w:t xml:space="preserve"> i regionalne tehnološke platforme. Tehnološke platforme mogu biti sektorske ili KET tehnološke platforme. Sektorsku/KET tehnološku platformu č</w:t>
      </w:r>
      <w:r>
        <w:rPr>
          <w:iCs/>
          <w:color w:val="000000"/>
        </w:rPr>
        <w:t xml:space="preserve">ini mreža interesnih partnera iz područja gospodarstva te </w:t>
      </w:r>
      <w:r w:rsidRPr="005822A7">
        <w:rPr>
          <w:iCs/>
          <w:color w:val="000000"/>
        </w:rPr>
        <w:t>javnog i znanstveno-istraživačkog sektora</w:t>
      </w:r>
      <w:r>
        <w:rPr>
          <w:iCs/>
          <w:color w:val="000000"/>
        </w:rPr>
        <w:t>,</w:t>
      </w:r>
      <w:r w:rsidRPr="005822A7">
        <w:rPr>
          <w:iCs/>
          <w:color w:val="000000"/>
        </w:rPr>
        <w:t xml:space="preserve"> povezanih na </w:t>
      </w:r>
      <w:r>
        <w:rPr>
          <w:iCs/>
          <w:color w:val="000000"/>
        </w:rPr>
        <w:t>osnovi razvoja i učinkovite primjene</w:t>
      </w:r>
      <w:r w:rsidRPr="005822A7">
        <w:rPr>
          <w:iCs/>
          <w:color w:val="000000"/>
        </w:rPr>
        <w:t xml:space="preserve"> znanstveno-istraživačke infrastrukture koja omogućuje primjenu novih tehnologija i komercijalizaciju inovacija u cilju jačanja konkurentnosti jednog ili više prioritetnih industrijskih sektora i hrvatskog gospodarstva u cjelini. </w:t>
      </w:r>
    </w:p>
    <w:p w:rsidR="000C1520" w:rsidRDefault="000C1520" w:rsidP="003E142A">
      <w:pPr>
        <w:autoSpaceDE w:val="0"/>
        <w:autoSpaceDN w:val="0"/>
        <w:adjustRightInd w:val="0"/>
        <w:spacing w:line="360" w:lineRule="auto"/>
        <w:jc w:val="both"/>
        <w:rPr>
          <w:rFonts w:cs="ECSquareSansPro-Regular"/>
          <w:color w:val="000000"/>
        </w:rPr>
      </w:pPr>
      <w:r w:rsidRPr="00D1226E">
        <w:rPr>
          <w:rFonts w:cs="ECSquareSansPro-Regular"/>
          <w:b/>
          <w:color w:val="943634"/>
        </w:rPr>
        <w:t>TRADICIONALNA INDUSTRIJA</w:t>
      </w:r>
      <w:r>
        <w:rPr>
          <w:rFonts w:cs="ECSquareSansPro-Regular"/>
          <w:b/>
          <w:color w:val="943634"/>
        </w:rPr>
        <w:t xml:space="preserve"> </w:t>
      </w:r>
      <w:r w:rsidRPr="00442310">
        <w:rPr>
          <w:rFonts w:cs="ECSquareSansPro-Regular"/>
          <w:color w:val="000000"/>
        </w:rPr>
        <w:t>Pojam</w:t>
      </w:r>
      <w:r w:rsidRPr="005822A7">
        <w:rPr>
          <w:rFonts w:cs="ECSquareSansPro-Regular"/>
          <w:color w:val="000000"/>
        </w:rPr>
        <w:t xml:space="preserve"> tradicionalne proizvodne industrije može obuhvaćati sektore uključene u procese prerade i proizvodnje robe i </w:t>
      </w:r>
      <w:r>
        <w:rPr>
          <w:rFonts w:cs="ECSquareSansPro-Regular"/>
          <w:color w:val="000000"/>
        </w:rPr>
        <w:t>usluga koji postoje duže vrijeme</w:t>
      </w:r>
      <w:r w:rsidRPr="005822A7">
        <w:rPr>
          <w:rFonts w:cs="ECSquareSansPro-Regular"/>
          <w:color w:val="000000"/>
        </w:rPr>
        <w:t xml:space="preserve"> bez zastoja ili promjena te bez suočavanja s velikom pretvorbom zbog</w:t>
      </w:r>
      <w:r>
        <w:rPr>
          <w:rFonts w:cs="ECSquareSansPro-Regular"/>
          <w:color w:val="000000"/>
        </w:rPr>
        <w:t xml:space="preserve"> spajanja s ostalim sektorima i</w:t>
      </w:r>
      <w:r w:rsidRPr="005822A7">
        <w:rPr>
          <w:rFonts w:cs="ECSquareSansPro-Regular"/>
          <w:color w:val="000000"/>
        </w:rPr>
        <w:t xml:space="preserve"> suočavanja s izazovima novih poslovnih koncepata i inovacija usluga. Klasični primjeri tradicionalne proizvodne industrije su automobilska industrija, industrija hrane i pića, tekstilna industrija, i</w:t>
      </w:r>
      <w:r>
        <w:rPr>
          <w:rFonts w:cs="ECSquareSansPro-Regular"/>
          <w:color w:val="000000"/>
        </w:rPr>
        <w:t xml:space="preserve">ndustrija robe široke potrošnje i kemijskih proizvoda, </w:t>
      </w:r>
      <w:r w:rsidRPr="005822A7">
        <w:rPr>
          <w:rFonts w:cs="ECSquareSansPro-Regular"/>
          <w:color w:val="000000"/>
        </w:rPr>
        <w:t>proizvodnja metala</w:t>
      </w:r>
      <w:r>
        <w:rPr>
          <w:rFonts w:cs="ECSquareSansPro-Regular"/>
          <w:color w:val="000000"/>
        </w:rPr>
        <w:t>, itd</w:t>
      </w:r>
      <w:r w:rsidRPr="005822A7">
        <w:rPr>
          <w:rFonts w:cs="ECSquareSansPro-Regular"/>
          <w:color w:val="000000"/>
        </w:rPr>
        <w:t xml:space="preserve">.  </w:t>
      </w:r>
    </w:p>
    <w:p w:rsidR="000C1520" w:rsidRPr="003E142A" w:rsidRDefault="000C1520" w:rsidP="003E142A">
      <w:pPr>
        <w:autoSpaceDE w:val="0"/>
        <w:autoSpaceDN w:val="0"/>
        <w:adjustRightInd w:val="0"/>
        <w:spacing w:line="360" w:lineRule="auto"/>
        <w:jc w:val="both"/>
        <w:rPr>
          <w:rFonts w:cs="ArialMT"/>
        </w:rPr>
      </w:pPr>
      <w:r w:rsidRPr="00D1226E">
        <w:rPr>
          <w:rFonts w:cs="Arial-BoldMT"/>
          <w:b/>
          <w:bCs/>
          <w:color w:val="943634"/>
        </w:rPr>
        <w:t xml:space="preserve">ZALIHA IZRAVNIH STRANIH </w:t>
      </w:r>
      <w:r w:rsidR="006D2356">
        <w:rPr>
          <w:rFonts w:cs="Arial-BoldMT"/>
          <w:b/>
          <w:bCs/>
          <w:color w:val="943634"/>
        </w:rPr>
        <w:t>I</w:t>
      </w:r>
      <w:r w:rsidRPr="00D1226E">
        <w:rPr>
          <w:rFonts w:cs="Arial-BoldMT"/>
          <w:b/>
          <w:bCs/>
          <w:color w:val="943634"/>
        </w:rPr>
        <w:t>NVESTICIJA (FDI STOCK)</w:t>
      </w:r>
      <w:r w:rsidRPr="00D1226E">
        <w:rPr>
          <w:rFonts w:cs="Arial-BoldMT"/>
          <w:bCs/>
          <w:color w:val="943634"/>
        </w:rPr>
        <w:t xml:space="preserve"> </w:t>
      </w:r>
      <w:r w:rsidRPr="003E142A">
        <w:rPr>
          <w:rFonts w:cs="Arial"/>
        </w:rPr>
        <w:t>Kumulativan iznos kapitala koji je matična tvrtka u stranoj podružnici uložila u izravna strana ulaganja tijekom određenog vremenskog razdoblja, bez obzira na to sastoji li se financiranje od izravnog stranog ulaganja ili kapitala nastalog na nacionalnim ili međunarodnim tržištima</w:t>
      </w:r>
      <w:r>
        <w:rPr>
          <w:rFonts w:cs="Arial"/>
        </w:rPr>
        <w:t xml:space="preserve"> kapitala (iako se često ukupno uložena izravna strana</w:t>
      </w:r>
      <w:r w:rsidRPr="003E142A">
        <w:rPr>
          <w:rFonts w:cs="Arial"/>
        </w:rPr>
        <w:t xml:space="preserve"> ulaganja izračunava</w:t>
      </w:r>
      <w:r>
        <w:rPr>
          <w:rFonts w:cs="Arial"/>
        </w:rPr>
        <w:t>ju</w:t>
      </w:r>
      <w:r w:rsidRPr="003E142A">
        <w:rPr>
          <w:rFonts w:cs="Arial"/>
        </w:rPr>
        <w:t xml:space="preserve"> svake godine).</w:t>
      </w:r>
    </w:p>
    <w:p w:rsidR="000C1520" w:rsidRDefault="000C1520" w:rsidP="00597A43">
      <w:pPr>
        <w:spacing w:line="360" w:lineRule="auto"/>
        <w:jc w:val="both"/>
        <w:rPr>
          <w:color w:val="000000"/>
        </w:rPr>
      </w:pPr>
      <w:r w:rsidRPr="00D1226E">
        <w:rPr>
          <w:b/>
          <w:color w:val="943634"/>
        </w:rPr>
        <w:t>ZNANSTVENO-ISTRAŽIVAČKA INFRASTRUKTURA</w:t>
      </w:r>
      <w:r w:rsidRPr="00D1226E">
        <w:rPr>
          <w:color w:val="943634"/>
        </w:rPr>
        <w:t xml:space="preserve"> </w:t>
      </w:r>
      <w:r w:rsidRPr="00442310">
        <w:rPr>
          <w:color w:val="000000"/>
        </w:rPr>
        <w:t>Znanstveno</w:t>
      </w:r>
      <w:r w:rsidRPr="005822A7">
        <w:rPr>
          <w:color w:val="000000"/>
        </w:rPr>
        <w:t>-istraživačka infrastruktura uključuje javne i privatne institucije koje provode aktivnosti istraživanja i razvoja</w:t>
      </w:r>
      <w:r>
        <w:rPr>
          <w:color w:val="000000"/>
        </w:rPr>
        <w:t>,</w:t>
      </w:r>
      <w:r w:rsidRPr="005822A7">
        <w:rPr>
          <w:color w:val="000000"/>
        </w:rPr>
        <w:t xml:space="preserve"> bilo da se radi o temeljnim istraživanjima ili primijenjenim (industrijskim) istraživanjima. Znanstveno-istraživačka infrastruktura odnosi se na znanstvene centre izvrsnosti, znanstveno-tehnološke parkove, tehnološke inkubatore, znanstveno-istraživačke laboratorije i ostale institucije u kojima se provode zn</w:t>
      </w:r>
      <w:r>
        <w:rPr>
          <w:color w:val="000000"/>
        </w:rPr>
        <w:t>anstveno-istraživačke aktivnosti</w:t>
      </w:r>
      <w:r w:rsidRPr="005822A7">
        <w:rPr>
          <w:color w:val="000000"/>
        </w:rPr>
        <w:t>.</w:t>
      </w:r>
      <w:bookmarkEnd w:id="7"/>
      <w:bookmarkEnd w:id="8"/>
    </w:p>
    <w:p w:rsidR="000C1520" w:rsidRPr="00597A43" w:rsidRDefault="000C1520" w:rsidP="00597A43">
      <w:pPr>
        <w:spacing w:line="360" w:lineRule="auto"/>
        <w:jc w:val="both"/>
        <w:rPr>
          <w:color w:val="000000"/>
        </w:rPr>
      </w:pPr>
    </w:p>
    <w:p w:rsidR="000C1520" w:rsidRPr="00044A2A" w:rsidRDefault="000C1520" w:rsidP="00044A2A">
      <w:pPr>
        <w:pStyle w:val="Heading1"/>
        <w:rPr>
          <w:color w:val="000000"/>
        </w:rPr>
      </w:pPr>
      <w:bookmarkStart w:id="9" w:name="_Toc373137853"/>
      <w:r w:rsidRPr="00044A2A">
        <w:lastRenderedPageBreak/>
        <w:t>1. UVOD</w:t>
      </w:r>
      <w:bookmarkEnd w:id="9"/>
    </w:p>
    <w:p w:rsidR="000C1520" w:rsidRPr="00636499" w:rsidRDefault="000C1520" w:rsidP="00570632">
      <w:pPr>
        <w:pStyle w:val="Heading2"/>
      </w:pPr>
    </w:p>
    <w:p w:rsidR="000C1520" w:rsidRPr="00542F78" w:rsidRDefault="000C1520" w:rsidP="00570632">
      <w:pPr>
        <w:spacing w:after="0" w:line="360" w:lineRule="auto"/>
        <w:ind w:firstLine="720"/>
        <w:jc w:val="both"/>
      </w:pPr>
      <w:r>
        <w:rPr>
          <w:rFonts w:cs="Calibri"/>
        </w:rPr>
        <w:t xml:space="preserve">Hrvatsko je gospodarstvo od </w:t>
      </w:r>
      <w:r w:rsidR="00177115" w:rsidRPr="005F07EA">
        <w:rPr>
          <w:rFonts w:cs="Calibri"/>
        </w:rPr>
        <w:t xml:space="preserve">ranih </w:t>
      </w:r>
      <w:r w:rsidRPr="005F07EA">
        <w:rPr>
          <w:rFonts w:cs="Calibri"/>
        </w:rPr>
        <w:t xml:space="preserve">devedesetih godina do danas napravilo značajan skok i transformiralo se u moderno i svijetu otvoreno gospodarstvo. Veliku ulogu u toj transformaciji imale su i investicije, kako domaće tako i strane. Tijekom cijelog tog razdoblja Hrvatska je kontinuirano razvijala i unaprjeđivala svoje poslovno i investicijsko okruženje, čineći ga poželjnijim za investitore. Nažalost, nedovoljno je napravljeno u pogledu strateških dokumenata i odrednica za privlačenje stranih investicija pa su ulaganja u hrvatsko gospodarstvo prvenstveno bila orijentirana na </w:t>
      </w:r>
      <w:proofErr w:type="spellStart"/>
      <w:r w:rsidRPr="005F07EA">
        <w:rPr>
          <w:rFonts w:cs="Calibri"/>
          <w:i/>
        </w:rPr>
        <w:t>brownfield</w:t>
      </w:r>
      <w:proofErr w:type="spellEnd"/>
      <w:r w:rsidRPr="005F07EA">
        <w:rPr>
          <w:rFonts w:cs="Calibri"/>
        </w:rPr>
        <w:t xml:space="preserve"> ulaganja. </w:t>
      </w:r>
      <w:r w:rsidRPr="005F07EA">
        <w:t xml:space="preserve">Sada se pruža prilika da se to promijeni i da se ograničeni resursi usmjere na privlačenje </w:t>
      </w:r>
      <w:proofErr w:type="spellStart"/>
      <w:r w:rsidRPr="005F07EA">
        <w:rPr>
          <w:i/>
        </w:rPr>
        <w:t>greenfield</w:t>
      </w:r>
      <w:proofErr w:type="spellEnd"/>
      <w:r w:rsidRPr="005F07EA">
        <w:t xml:space="preserve"> ulaganja s posebnim naglaskom na </w:t>
      </w:r>
      <w:r w:rsidRPr="005F07EA">
        <w:rPr>
          <w:b/>
          <w:i/>
        </w:rPr>
        <w:t>izvozno orijentirana ulaganja.</w:t>
      </w:r>
      <w:r w:rsidRPr="005F07EA">
        <w:t xml:space="preserve"> Ulaskom Hrvatske u EU otvara se novi niz mogućnosti s obzirom da je hrvatsko gospodarstvo dobilo neograničen pristup tržištu većem od 500 milijuna ljudi. Posebnu konkurentsku prednost Hrvatskoj pruža geostrateški položaj srednjoeuropske i mediteranske zemlje, a postajemo zanimljivi i kao novo mjesto uvoza i izvoza roba i sirovina za jedno od najvećih pojedinačnih tržišta </w:t>
      </w:r>
      <w:r w:rsidRPr="00542F78">
        <w:t xml:space="preserve">na svijetu. </w:t>
      </w:r>
    </w:p>
    <w:p w:rsidR="0075701E" w:rsidRPr="005F07EA" w:rsidRDefault="000C1520" w:rsidP="0075701E">
      <w:pPr>
        <w:spacing w:after="0" w:line="360" w:lineRule="auto"/>
        <w:ind w:firstLine="720"/>
        <w:jc w:val="both"/>
      </w:pPr>
      <w:r>
        <w:t>Usmjerenost</w:t>
      </w:r>
      <w:r w:rsidRPr="00542F78">
        <w:t xml:space="preserve"> na specifične sektore vrlo</w:t>
      </w:r>
      <w:r>
        <w:t xml:space="preserve"> je važna</w:t>
      </w:r>
      <w:r w:rsidRPr="00542F78">
        <w:t xml:space="preserve"> kako bi se najbolje iskoristili vlastiti resursi. Republika Hrvatska </w:t>
      </w:r>
      <w:r>
        <w:t>treba se usmjeriti</w:t>
      </w:r>
      <w:r w:rsidRPr="00542F78">
        <w:t xml:space="preserve"> na investicij</w:t>
      </w:r>
      <w:r>
        <w:t>e</w:t>
      </w:r>
      <w:r w:rsidRPr="00542F78">
        <w:t xml:space="preserve"> u </w:t>
      </w:r>
      <w:r w:rsidRPr="00542F78">
        <w:rPr>
          <w:b/>
          <w:i/>
        </w:rPr>
        <w:t>infrastrukturu</w:t>
      </w:r>
      <w:r w:rsidRPr="00542F78">
        <w:t xml:space="preserve">, </w:t>
      </w:r>
      <w:r>
        <w:t>kako bi se</w:t>
      </w:r>
      <w:r w:rsidRPr="00542F78">
        <w:t xml:space="preserve"> olakša</w:t>
      </w:r>
      <w:r>
        <w:t>o</w:t>
      </w:r>
      <w:r w:rsidRPr="00542F78">
        <w:t xml:space="preserve"> protok roba, usluga i informacija</w:t>
      </w:r>
      <w:r w:rsidRPr="00542F78">
        <w:rPr>
          <w:b/>
          <w:i/>
        </w:rPr>
        <w:t xml:space="preserve">, proizvodnju i visoke tehnologije, </w:t>
      </w:r>
      <w:r w:rsidRPr="00542F78">
        <w:t>da se potakne zapošljavanje s visokom dodanom vrijednosti i potakne izvoz</w:t>
      </w:r>
      <w:r w:rsidRPr="00542F78">
        <w:rPr>
          <w:b/>
          <w:i/>
        </w:rPr>
        <w:t>, energetiku i zaštitu okoliša</w:t>
      </w:r>
      <w:r w:rsidRPr="00542F78">
        <w:t xml:space="preserve">, da se osigura manja ovisnost o </w:t>
      </w:r>
      <w:r w:rsidR="0075701E" w:rsidRPr="005F07EA">
        <w:t>uvozu energije i održivost</w:t>
      </w:r>
      <w:r w:rsidR="0075701E" w:rsidRPr="005F07EA">
        <w:rPr>
          <w:b/>
          <w:i/>
        </w:rPr>
        <w:t xml:space="preserve"> </w:t>
      </w:r>
      <w:r w:rsidR="0075701E" w:rsidRPr="005F07EA">
        <w:rPr>
          <w:i/>
        </w:rPr>
        <w:t>te</w:t>
      </w:r>
      <w:r w:rsidR="0075701E" w:rsidRPr="005F07EA">
        <w:rPr>
          <w:b/>
          <w:i/>
        </w:rPr>
        <w:t xml:space="preserve"> turizam</w:t>
      </w:r>
      <w:r w:rsidR="0075701E" w:rsidRPr="005F07EA">
        <w:t xml:space="preserve">, da se maksimalno iskoriste postojeći prirodni resursi. </w:t>
      </w:r>
    </w:p>
    <w:p w:rsidR="0075701E" w:rsidRPr="0075701E" w:rsidRDefault="0075701E" w:rsidP="0075701E">
      <w:pPr>
        <w:spacing w:after="0" w:line="360" w:lineRule="auto"/>
        <w:ind w:firstLine="720"/>
        <w:jc w:val="both"/>
      </w:pPr>
      <w:r w:rsidRPr="0075701E">
        <w:t xml:space="preserve">Donošenjem ove Strategije, kao i drugih značajnih strateških dokumenata, počinjemo promišljati o dugoročnom razvitku Hrvatske. Glavni je cilj stvoriti konkurentnije poslovno i investicijsko okruženje koje će Hrvatsku staviti na sam vrh najpoželjnijih ulagačkih destinacija u Europi uzimajući u obzir hrvatski </w:t>
      </w:r>
      <w:r w:rsidRPr="0075701E">
        <w:rPr>
          <w:b/>
        </w:rPr>
        <w:t>geostrateški položaj</w:t>
      </w:r>
      <w:r w:rsidRPr="0075701E">
        <w:t xml:space="preserve">, </w:t>
      </w:r>
      <w:r w:rsidRPr="0075701E">
        <w:rPr>
          <w:b/>
        </w:rPr>
        <w:t>investicijski potencijal</w:t>
      </w:r>
      <w:r w:rsidRPr="0075701E">
        <w:t xml:space="preserve">, </w:t>
      </w:r>
      <w:r w:rsidRPr="0075701E">
        <w:rPr>
          <w:b/>
        </w:rPr>
        <w:t>kvalitetnu radnu snagu</w:t>
      </w:r>
      <w:r w:rsidRPr="0075701E">
        <w:t xml:space="preserve"> i poticajno poslovno okruženje kao formulu za uspjeh. Ostvarenjem tog cilja te aktivnijom i ciljanom promocijom, sigurni smo da će se osigurati rast izravnih stranih ulaganja uz značajnu promjenu u strukturi ulaganja.</w:t>
      </w:r>
    </w:p>
    <w:p w:rsidR="000C1520" w:rsidRPr="00570632" w:rsidRDefault="000C1520" w:rsidP="0075701E">
      <w:pPr>
        <w:spacing w:after="0" w:line="360" w:lineRule="auto"/>
        <w:ind w:firstLine="720"/>
        <w:jc w:val="both"/>
        <w:rPr>
          <w:lang w:val="lt-LT" w:eastAsia="lt-LT"/>
        </w:rPr>
      </w:pPr>
    </w:p>
    <w:p w:rsidR="000C1520" w:rsidRPr="00636499" w:rsidRDefault="000C1520" w:rsidP="00D74ECD">
      <w:pPr>
        <w:pStyle w:val="Heading3"/>
      </w:pPr>
      <w:bookmarkStart w:id="10" w:name="_Toc348951829"/>
      <w:bookmarkStart w:id="11" w:name="_Toc351127591"/>
      <w:bookmarkStart w:id="12" w:name="_Toc373137854"/>
      <w:r>
        <w:t>1.1</w:t>
      </w:r>
      <w:r w:rsidRPr="00636499">
        <w:t xml:space="preserve"> </w:t>
      </w:r>
      <w:r>
        <w:t xml:space="preserve">TRENDOVI </w:t>
      </w:r>
      <w:r w:rsidRPr="00636499">
        <w:t>KRETANJA IZRAVNIH STRANIH INVESTICIJA NA GLOBALNOM TRŽIŠTU</w:t>
      </w:r>
      <w:bookmarkEnd w:id="10"/>
      <w:bookmarkEnd w:id="11"/>
      <w:bookmarkEnd w:id="12"/>
    </w:p>
    <w:p w:rsidR="000C1520" w:rsidRPr="00636499" w:rsidRDefault="000C1520" w:rsidP="004A51FF">
      <w:pPr>
        <w:pStyle w:val="Heading2"/>
      </w:pPr>
    </w:p>
    <w:p w:rsidR="000C1520" w:rsidRPr="003B2FFD" w:rsidRDefault="000C1520" w:rsidP="003B2FFD">
      <w:pPr>
        <w:spacing w:line="360" w:lineRule="auto"/>
        <w:jc w:val="both"/>
        <w:rPr>
          <w:rFonts w:cs="Calibri"/>
        </w:rPr>
      </w:pPr>
      <w:r w:rsidRPr="00636499">
        <w:rPr>
          <w:rFonts w:cs="Calibri"/>
          <w:szCs w:val="19"/>
        </w:rPr>
        <w:t xml:space="preserve">Izravne strane </w:t>
      </w:r>
      <w:r w:rsidRPr="005F07EA">
        <w:rPr>
          <w:rFonts w:cs="Calibri"/>
          <w:szCs w:val="19"/>
        </w:rPr>
        <w:t xml:space="preserve">investicije počinju se intenzivnije pojavljivati u teoretskim i empirijskim istraživanjima ekonomista </w:t>
      </w:r>
      <w:r w:rsidR="0075701E" w:rsidRPr="005F07EA">
        <w:rPr>
          <w:rFonts w:cs="Calibri"/>
          <w:szCs w:val="19"/>
        </w:rPr>
        <w:t xml:space="preserve">tijekom osamdesetih i devedesetih godina prošloga stoljeća. </w:t>
      </w:r>
      <w:r w:rsidRPr="005F07EA">
        <w:rPr>
          <w:rFonts w:cs="Calibri"/>
        </w:rPr>
        <w:t xml:space="preserve">Obujam izravnih stranih investicija rastao je umjereno sve do početka osamdesetih godina kada je ostvaren nagli porast. Takav se trend poklapa s fazama nacionalizacije i privatizacije u svjetskom gospodarstvu. Razdoblje nacionalizacije trajalo je od šezdesetih </w:t>
      </w:r>
      <w:r>
        <w:rPr>
          <w:rFonts w:cs="Calibri"/>
        </w:rPr>
        <w:t>do osamdesetih godina</w:t>
      </w:r>
      <w:r w:rsidRPr="00636499">
        <w:rPr>
          <w:rFonts w:cs="Calibri"/>
        </w:rPr>
        <w:t xml:space="preserve">. Glavni pokretači nacionalizacije bile </w:t>
      </w:r>
      <w:r w:rsidRPr="00636499">
        <w:rPr>
          <w:rFonts w:cs="Calibri"/>
        </w:rPr>
        <w:lastRenderedPageBreak/>
        <w:t xml:space="preserve">su zemlje OPEC-a i zemlje u razvoju koje su raspolagale prirodnim bogatstvima. </w:t>
      </w:r>
      <w:r w:rsidR="008D1B7C">
        <w:rPr>
          <w:rFonts w:cs="Calibri"/>
        </w:rPr>
        <w:t>Budući da</w:t>
      </w:r>
      <w:r>
        <w:rPr>
          <w:rFonts w:cs="Calibri"/>
        </w:rPr>
        <w:t xml:space="preserve"> je takav oblik vlasništva nedjelotvoran</w:t>
      </w:r>
      <w:r w:rsidRPr="00636499">
        <w:rPr>
          <w:rFonts w:cs="Calibri"/>
        </w:rPr>
        <w:t xml:space="preserve">, državna poduzeća gubila su </w:t>
      </w:r>
      <w:r>
        <w:rPr>
          <w:rFonts w:cs="Calibri"/>
        </w:rPr>
        <w:t>u</w:t>
      </w:r>
      <w:r w:rsidRPr="00636499">
        <w:rPr>
          <w:rFonts w:cs="Calibri"/>
        </w:rPr>
        <w:t>trku pred konkurencijom. Pojavila se potreba za kapitalom, modernijom tehnologijom i modelima upravljanja. Privatizacija je bila jedino rješenje za re</w:t>
      </w:r>
      <w:r>
        <w:rPr>
          <w:rFonts w:cs="Calibri"/>
        </w:rPr>
        <w:t>vitalizaciju državnih poduzeća pa ona početkom osamdesetih godina dobiva jak</w:t>
      </w:r>
      <w:r w:rsidRPr="00636499">
        <w:rPr>
          <w:rFonts w:cs="Calibri"/>
        </w:rPr>
        <w:t xml:space="preserve"> zamah. Glavni doprinos uzlaznom trendu dale su razvijen</w:t>
      </w:r>
      <w:r>
        <w:rPr>
          <w:rFonts w:cs="Calibri"/>
        </w:rPr>
        <w:t xml:space="preserve">e zemlje koje su privatizacijom </w:t>
      </w:r>
      <w:r w:rsidRPr="00636499">
        <w:rPr>
          <w:rFonts w:cs="Calibri"/>
        </w:rPr>
        <w:t>državnog vlasništva nastojale zadržati konkurentnost svoje industrije na međunarodnom tržištu. Izravne str</w:t>
      </w:r>
      <w:r>
        <w:rPr>
          <w:rFonts w:cs="Calibri"/>
        </w:rPr>
        <w:t xml:space="preserve">ane investicije očekivano su uslijedile nakon </w:t>
      </w:r>
      <w:r w:rsidRPr="00636499">
        <w:rPr>
          <w:rFonts w:cs="Calibri"/>
        </w:rPr>
        <w:t xml:space="preserve">privatizacije, a prednost pred ostalim investitorima, zbog svoje gospodarske snage, dobila su multinacionalna poduzeća. </w:t>
      </w:r>
      <w:r>
        <w:rPr>
          <w:rFonts w:cs="Calibri"/>
        </w:rPr>
        <w:t>Prateći takve tijekove</w:t>
      </w:r>
      <w:r w:rsidRPr="00636499">
        <w:rPr>
          <w:rFonts w:cs="Calibri"/>
        </w:rPr>
        <w:t xml:space="preserve"> i aktivno sudjelujući u njima, multinacionalna poduzeća dobivaju sve veći utjecaj u svjetskom gospodarstvu. Ona vode svjetsku proizvodnju i osnova su procesa globalizacije. Približno 90% multinacionalnih poduzeća ima sjedište u razv</w:t>
      </w:r>
      <w:r>
        <w:rPr>
          <w:rFonts w:cs="Calibri"/>
        </w:rPr>
        <w:t>ijenim zemljama, od toga polovic</w:t>
      </w:r>
      <w:r w:rsidRPr="00636499">
        <w:rPr>
          <w:rFonts w:cs="Calibri"/>
        </w:rPr>
        <w:t xml:space="preserve">a u SAD-u, Japanu, </w:t>
      </w:r>
      <w:r>
        <w:rPr>
          <w:rFonts w:cs="Calibri"/>
        </w:rPr>
        <w:t>V</w:t>
      </w:r>
      <w:r w:rsidRPr="00636499">
        <w:rPr>
          <w:rFonts w:cs="Calibri"/>
        </w:rPr>
        <w:t>elikoj Britaniji, Njemačkoj i Francuskoj.</w:t>
      </w:r>
      <w:r w:rsidRPr="00636499">
        <w:rPr>
          <w:rFonts w:cs="Calibri"/>
          <w:color w:val="292526"/>
          <w:sz w:val="18"/>
          <w:szCs w:val="18"/>
        </w:rPr>
        <w:t xml:space="preserve"> </w:t>
      </w:r>
    </w:p>
    <w:p w:rsidR="000C1520" w:rsidRPr="00F30680" w:rsidRDefault="000C1520" w:rsidP="00FB16AD">
      <w:pPr>
        <w:autoSpaceDE w:val="0"/>
        <w:autoSpaceDN w:val="0"/>
        <w:adjustRightInd w:val="0"/>
        <w:spacing w:line="360" w:lineRule="auto"/>
        <w:jc w:val="both"/>
        <w:rPr>
          <w:rFonts w:cs="Calibri"/>
          <w:szCs w:val="18"/>
        </w:rPr>
      </w:pPr>
      <w:r>
        <w:rPr>
          <w:rFonts w:cs="Calibri"/>
        </w:rPr>
        <w:t>Jedan od glavnih trendova devedesetih</w:t>
      </w:r>
      <w:r w:rsidRPr="00636499">
        <w:rPr>
          <w:rFonts w:cs="Calibri"/>
        </w:rPr>
        <w:t xml:space="preserve"> godina prošlog stoljeća bio je kontinuirani rast i ulazak izravnih stranih investicija u La</w:t>
      </w:r>
      <w:r>
        <w:rPr>
          <w:rFonts w:cs="Calibri"/>
        </w:rPr>
        <w:t>tinsku Ameriku i na Karibe. Od takozvanih MERCOSUR</w:t>
      </w:r>
      <w:r w:rsidRPr="00636499">
        <w:rPr>
          <w:rFonts w:cs="Calibri"/>
        </w:rPr>
        <w:t xml:space="preserve"> </w:t>
      </w:r>
      <w:r w:rsidRPr="00F5458F">
        <w:rPr>
          <w:rFonts w:cs="Calibri"/>
        </w:rPr>
        <w:t>zemalja</w:t>
      </w:r>
      <w:r w:rsidR="00F5458F">
        <w:rPr>
          <w:rFonts w:cs="Calibri"/>
        </w:rPr>
        <w:t xml:space="preserve"> </w:t>
      </w:r>
      <w:r w:rsidRPr="00F5458F">
        <w:rPr>
          <w:rFonts w:cs="Calibri"/>
        </w:rPr>
        <w:t>Brazil</w:t>
      </w:r>
      <w:r w:rsidRPr="00636499">
        <w:rPr>
          <w:rFonts w:cs="Calibri"/>
        </w:rPr>
        <w:t xml:space="preserve"> je bio i ostao najveći primatelj izravnih stranih investicija. Najveći investitori u te zemlje bili su SAD i Španjolska.  </w:t>
      </w:r>
      <w:r>
        <w:rPr>
          <w:rFonts w:cs="Calibri"/>
        </w:rPr>
        <w:t>Kina je tijekom devedesetih</w:t>
      </w:r>
      <w:r w:rsidRPr="00636499">
        <w:rPr>
          <w:rFonts w:cs="Calibri"/>
        </w:rPr>
        <w:t xml:space="preserve"> bila najveći primatelj izravnih stranih investicija u Aziji. Veliki rast registrirali su i Filipini i Koreja. No, i dalje je bio prisutan trend investiranja u razvijene zemlje (74%), a samo 26% u </w:t>
      </w:r>
      <w:r w:rsidRPr="00F30680">
        <w:rPr>
          <w:rFonts w:cs="Calibri"/>
        </w:rPr>
        <w:t>zemlje u razvoju.</w:t>
      </w:r>
      <w:r w:rsidRPr="00F30680">
        <w:rPr>
          <w:rFonts w:cs="Calibri"/>
          <w:szCs w:val="18"/>
        </w:rPr>
        <w:t xml:space="preserve"> </w:t>
      </w:r>
    </w:p>
    <w:p w:rsidR="000C1520" w:rsidRPr="00636499" w:rsidRDefault="000C1520" w:rsidP="00FB16AD">
      <w:pPr>
        <w:spacing w:line="360" w:lineRule="auto"/>
        <w:jc w:val="both"/>
        <w:rPr>
          <w:rFonts w:cs="Calibri"/>
        </w:rPr>
      </w:pPr>
      <w:r w:rsidRPr="00636499">
        <w:rPr>
          <w:rFonts w:cs="Calibri"/>
        </w:rPr>
        <w:t>Početkom 21. stoljeća zbog promjena u strukturi svjetskog gospodarstva došlo je do promjena u sektorskom usmjerenju izravnih stranih investicija. Najveći utjecaj na izravne strane investicije imala je liberalizacija tržišta, koja je započela na području usluga</w:t>
      </w:r>
      <w:r>
        <w:rPr>
          <w:rFonts w:cs="Calibri"/>
        </w:rPr>
        <w:t xml:space="preserve"> vezanih za trgovinu</w:t>
      </w:r>
      <w:r w:rsidRPr="00636499">
        <w:rPr>
          <w:rFonts w:cs="Calibri"/>
        </w:rPr>
        <w:t xml:space="preserve"> te se proširila na bankarstvo i ostale financijske usluge. I dok u razvijenim zemljama financijski sektor zauzima vodeće mjesto kao primatelj izravnih stranih investicija, </w:t>
      </w:r>
      <w:r>
        <w:rPr>
          <w:rFonts w:cs="Calibri"/>
        </w:rPr>
        <w:t>u zemljama u razvoju taj položaj imaju</w:t>
      </w:r>
      <w:r w:rsidRPr="00636499">
        <w:rPr>
          <w:rFonts w:cs="Calibri"/>
        </w:rPr>
        <w:t xml:space="preserve"> nekretnine, kemijska, farmaceutska, tekstilna i automobilska indu</w:t>
      </w:r>
      <w:r>
        <w:rPr>
          <w:rFonts w:cs="Calibri"/>
        </w:rPr>
        <w:t>strija te</w:t>
      </w:r>
      <w:r w:rsidRPr="00636499">
        <w:rPr>
          <w:rFonts w:cs="Calibri"/>
        </w:rPr>
        <w:t xml:space="preserve"> turizam.   </w:t>
      </w:r>
    </w:p>
    <w:p w:rsidR="000C1520" w:rsidRDefault="000C1520" w:rsidP="00FB16AD">
      <w:pPr>
        <w:spacing w:line="360" w:lineRule="auto"/>
        <w:jc w:val="both"/>
        <w:rPr>
          <w:rFonts w:cs="Calibri"/>
        </w:rPr>
      </w:pPr>
      <w:r w:rsidRPr="00636499">
        <w:rPr>
          <w:rFonts w:cs="Calibri"/>
        </w:rPr>
        <w:t>Prema UNCTAD-ovom istraživanju, kretanja izravnih stranih investicija bilježe oporavak nakon negativnih kretanja za vrijeme globalne ekonomske krize. Međutim, i dalje su nove investicije ograničene globalnim makroekonomskim i financijskim kretanjima koj</w:t>
      </w:r>
      <w:r>
        <w:rPr>
          <w:rFonts w:cs="Calibri"/>
        </w:rPr>
        <w:t>a</w:t>
      </w:r>
      <w:r w:rsidRPr="00636499">
        <w:rPr>
          <w:rFonts w:cs="Calibri"/>
        </w:rPr>
        <w:t xml:space="preserve"> imaju najveći utjecaj na odluku o daljnjim investicijama multinacionalnih kompanija.</w:t>
      </w:r>
      <w:r>
        <w:rPr>
          <w:rFonts w:cs="Calibri"/>
        </w:rPr>
        <w:t xml:space="preserve"> </w:t>
      </w:r>
      <w:r w:rsidRPr="00636499">
        <w:rPr>
          <w:rFonts w:cs="Calibri"/>
        </w:rPr>
        <w:t>UNCTAD predviđa rast izravnih stranih investicija na globalnoj razini za razdoblje do 2014. godine. Međutim, ukoliko se u projekcije uključe moguća negativna makroekonomska kretanja na globalnom tržištu, investicije će u promatranom razdoblju ipak zabilježit</w:t>
      </w:r>
      <w:r>
        <w:rPr>
          <w:rFonts w:cs="Calibri"/>
        </w:rPr>
        <w:t>i smanjenje, ali ne ispod razine</w:t>
      </w:r>
      <w:r w:rsidRPr="00636499">
        <w:rPr>
          <w:rFonts w:cs="Calibri"/>
        </w:rPr>
        <w:t xml:space="preserve"> iz razdoblja krize.  </w:t>
      </w:r>
    </w:p>
    <w:p w:rsidR="000C1520" w:rsidRDefault="000C1520" w:rsidP="00FB16AD">
      <w:pPr>
        <w:spacing w:line="360" w:lineRule="auto"/>
        <w:jc w:val="both"/>
        <w:rPr>
          <w:rFonts w:cs="Calibri"/>
        </w:rPr>
      </w:pPr>
    </w:p>
    <w:p w:rsidR="000C1520" w:rsidRPr="00636499" w:rsidRDefault="000C1520" w:rsidP="005F4C10">
      <w:pPr>
        <w:spacing w:after="0" w:line="240" w:lineRule="auto"/>
        <w:jc w:val="both"/>
        <w:rPr>
          <w:rFonts w:cs="Calibri"/>
          <w:i/>
        </w:rPr>
      </w:pPr>
      <w:r w:rsidRPr="00247E22">
        <w:rPr>
          <w:rFonts w:cs="Calibri"/>
          <w:b/>
          <w:i/>
        </w:rPr>
        <w:lastRenderedPageBreak/>
        <w:t>Tablica 1.</w:t>
      </w:r>
      <w:r w:rsidRPr="00636499">
        <w:rPr>
          <w:rFonts w:cs="Calibri"/>
          <w:i/>
        </w:rPr>
        <w:t xml:space="preserve"> Ukupna kretanja izravnih stranih investicija na globalnom tržištu s projekcijom</w:t>
      </w:r>
      <w:r>
        <w:rPr>
          <w:rFonts w:cs="Calibri"/>
          <w:i/>
        </w:rPr>
        <w:t xml:space="preserve"> (u milijardama dolara</w:t>
      </w:r>
      <w:r w:rsidRPr="00636499">
        <w:rPr>
          <w:rFonts w:cs="Calibri"/>
          <w:i/>
        </w:rPr>
        <w:t>)</w:t>
      </w:r>
    </w:p>
    <w:tbl>
      <w:tblPr>
        <w:tblW w:w="9323" w:type="dxa"/>
        <w:tblBorders>
          <w:top w:val="single" w:sz="8" w:space="0" w:color="000000"/>
          <w:left w:val="single" w:sz="8" w:space="0" w:color="000000"/>
          <w:bottom w:val="single" w:sz="8" w:space="0" w:color="000000"/>
          <w:right w:val="single" w:sz="8" w:space="0" w:color="000000"/>
        </w:tblBorders>
        <w:tblLook w:val="00A0" w:firstRow="1" w:lastRow="0" w:firstColumn="1" w:lastColumn="0" w:noHBand="0" w:noVBand="0"/>
      </w:tblPr>
      <w:tblGrid>
        <w:gridCol w:w="1998"/>
        <w:gridCol w:w="1087"/>
        <w:gridCol w:w="851"/>
        <w:gridCol w:w="913"/>
        <w:gridCol w:w="675"/>
        <w:gridCol w:w="675"/>
        <w:gridCol w:w="1022"/>
        <w:gridCol w:w="1134"/>
        <w:gridCol w:w="992"/>
      </w:tblGrid>
      <w:tr w:rsidR="000C1520" w:rsidRPr="00623771" w:rsidTr="00623771">
        <w:trPr>
          <w:trHeight w:val="488"/>
        </w:trPr>
        <w:tc>
          <w:tcPr>
            <w:tcW w:w="9323" w:type="dxa"/>
            <w:gridSpan w:val="9"/>
            <w:tcBorders>
              <w:top w:val="single" w:sz="8" w:space="0" w:color="000000"/>
            </w:tcBorders>
            <w:shd w:val="clear" w:color="auto" w:fill="C6D9F1"/>
            <w:noWrap/>
          </w:tcPr>
          <w:p w:rsidR="000C1520" w:rsidRPr="00230928" w:rsidRDefault="000C1520" w:rsidP="00623771">
            <w:pPr>
              <w:spacing w:after="0" w:line="240" w:lineRule="auto"/>
              <w:jc w:val="both"/>
              <w:rPr>
                <w:rFonts w:cs="Calibri"/>
                <w:b/>
                <w:bCs/>
                <w:color w:val="FFFFFF"/>
                <w:sz w:val="20"/>
                <w:szCs w:val="20"/>
              </w:rPr>
            </w:pPr>
            <w:r w:rsidRPr="00230928">
              <w:rPr>
                <w:rFonts w:cs="Calibri"/>
                <w:b/>
                <w:color w:val="000000"/>
                <w:sz w:val="20"/>
                <w:szCs w:val="20"/>
              </w:rPr>
              <w:t>IZRAVNE STRANE INVESTICIJE PO REGIJAMA (u milijardama dolara)</w:t>
            </w:r>
          </w:p>
        </w:tc>
      </w:tr>
      <w:tr w:rsidR="000C1520" w:rsidRPr="00623771" w:rsidTr="00623771">
        <w:trPr>
          <w:trHeight w:val="315"/>
        </w:trPr>
        <w:tc>
          <w:tcPr>
            <w:tcW w:w="1998" w:type="dxa"/>
            <w:vMerge w:val="restart"/>
            <w:tcBorders>
              <w:top w:val="single" w:sz="8" w:space="0" w:color="000000"/>
              <w:bottom w:val="single" w:sz="8" w:space="0" w:color="000000"/>
            </w:tcBorders>
            <w:noWrap/>
          </w:tcPr>
          <w:p w:rsidR="000C1520" w:rsidRPr="00230928" w:rsidRDefault="000C1520" w:rsidP="00623771">
            <w:pPr>
              <w:spacing w:after="0" w:line="240" w:lineRule="auto"/>
              <w:jc w:val="both"/>
              <w:rPr>
                <w:rFonts w:cs="Calibri"/>
                <w:b/>
                <w:bCs/>
                <w:color w:val="000000"/>
                <w:sz w:val="20"/>
                <w:szCs w:val="20"/>
              </w:rPr>
            </w:pPr>
            <w:r w:rsidRPr="00230928">
              <w:rPr>
                <w:rFonts w:cs="Calibri"/>
                <w:color w:val="000000"/>
                <w:sz w:val="20"/>
                <w:szCs w:val="20"/>
              </w:rPr>
              <w:t>REGIJA</w:t>
            </w:r>
          </w:p>
        </w:tc>
        <w:tc>
          <w:tcPr>
            <w:tcW w:w="1938" w:type="dxa"/>
            <w:gridSpan w:val="2"/>
            <w:tcBorders>
              <w:top w:val="single" w:sz="8" w:space="0" w:color="000000"/>
              <w:bottom w:val="single" w:sz="8" w:space="0" w:color="000000"/>
            </w:tcBorders>
            <w:noWrap/>
          </w:tcPr>
          <w:p w:rsidR="000C1520" w:rsidRPr="00230928" w:rsidRDefault="000C1520" w:rsidP="00623771">
            <w:pPr>
              <w:spacing w:after="0" w:line="240" w:lineRule="auto"/>
              <w:jc w:val="both"/>
              <w:rPr>
                <w:rFonts w:cs="Calibri"/>
                <w:b/>
                <w:bCs/>
                <w:color w:val="000000"/>
                <w:sz w:val="20"/>
                <w:szCs w:val="20"/>
              </w:rPr>
            </w:pPr>
            <w:r w:rsidRPr="00230928">
              <w:rPr>
                <w:rFonts w:cs="Calibri"/>
                <w:b/>
                <w:bCs/>
                <w:color w:val="000000"/>
                <w:sz w:val="20"/>
                <w:szCs w:val="20"/>
              </w:rPr>
              <w:t>PROSJEK</w:t>
            </w:r>
          </w:p>
        </w:tc>
        <w:tc>
          <w:tcPr>
            <w:tcW w:w="2239" w:type="dxa"/>
            <w:gridSpan w:val="3"/>
            <w:tcBorders>
              <w:top w:val="single" w:sz="8" w:space="0" w:color="000000"/>
              <w:bottom w:val="single" w:sz="8" w:space="0" w:color="000000"/>
            </w:tcBorders>
            <w:noWrap/>
          </w:tcPr>
          <w:p w:rsidR="000C1520" w:rsidRPr="00230928" w:rsidRDefault="000C1520" w:rsidP="00623771">
            <w:pPr>
              <w:spacing w:after="0" w:line="240" w:lineRule="auto"/>
              <w:jc w:val="both"/>
              <w:rPr>
                <w:rFonts w:cs="Calibri"/>
                <w:b/>
                <w:bCs/>
                <w:color w:val="000000"/>
                <w:sz w:val="20"/>
                <w:szCs w:val="20"/>
              </w:rPr>
            </w:pPr>
            <w:r w:rsidRPr="00230928">
              <w:rPr>
                <w:rFonts w:cs="Calibri"/>
                <w:b/>
                <w:bCs/>
                <w:color w:val="000000"/>
                <w:sz w:val="20"/>
                <w:szCs w:val="20"/>
              </w:rPr>
              <w:t> </w:t>
            </w:r>
          </w:p>
        </w:tc>
        <w:tc>
          <w:tcPr>
            <w:tcW w:w="3148" w:type="dxa"/>
            <w:gridSpan w:val="3"/>
            <w:tcBorders>
              <w:top w:val="single" w:sz="8" w:space="0" w:color="000000"/>
              <w:bottom w:val="single" w:sz="8" w:space="0" w:color="000000"/>
            </w:tcBorders>
            <w:noWrap/>
          </w:tcPr>
          <w:p w:rsidR="000C1520" w:rsidRPr="00230928" w:rsidRDefault="000C1520" w:rsidP="00623771">
            <w:pPr>
              <w:spacing w:after="0" w:line="240" w:lineRule="auto"/>
              <w:jc w:val="both"/>
              <w:rPr>
                <w:rFonts w:cs="Calibri"/>
                <w:b/>
                <w:bCs/>
                <w:color w:val="000000"/>
                <w:sz w:val="20"/>
                <w:szCs w:val="20"/>
              </w:rPr>
            </w:pPr>
            <w:r w:rsidRPr="00230928">
              <w:rPr>
                <w:rFonts w:cs="Calibri"/>
                <w:b/>
                <w:bCs/>
                <w:color w:val="000000"/>
                <w:sz w:val="20"/>
                <w:szCs w:val="20"/>
              </w:rPr>
              <w:t>PROJEKCIJA</w:t>
            </w:r>
          </w:p>
        </w:tc>
      </w:tr>
      <w:tr w:rsidR="000C1520" w:rsidRPr="00623771" w:rsidTr="00623771">
        <w:trPr>
          <w:trHeight w:val="315"/>
        </w:trPr>
        <w:tc>
          <w:tcPr>
            <w:tcW w:w="1998" w:type="dxa"/>
            <w:vMerge/>
          </w:tcPr>
          <w:p w:rsidR="000C1520" w:rsidRPr="00230928" w:rsidRDefault="000C1520" w:rsidP="00623771">
            <w:pPr>
              <w:spacing w:after="0" w:line="240" w:lineRule="auto"/>
              <w:jc w:val="both"/>
              <w:rPr>
                <w:rFonts w:cs="Calibri"/>
                <w:b/>
                <w:bCs/>
                <w:color w:val="000000"/>
                <w:sz w:val="20"/>
                <w:szCs w:val="20"/>
              </w:rPr>
            </w:pPr>
          </w:p>
        </w:tc>
        <w:tc>
          <w:tcPr>
            <w:tcW w:w="1087" w:type="dxa"/>
            <w:noWrap/>
          </w:tcPr>
          <w:p w:rsidR="000C1520" w:rsidRPr="00230928" w:rsidRDefault="000C1520" w:rsidP="00623771">
            <w:pPr>
              <w:spacing w:after="0" w:line="240" w:lineRule="auto"/>
              <w:jc w:val="both"/>
              <w:rPr>
                <w:rFonts w:cs="Calibri"/>
                <w:b/>
                <w:bCs/>
                <w:color w:val="000000"/>
                <w:sz w:val="20"/>
                <w:szCs w:val="20"/>
              </w:rPr>
            </w:pPr>
            <w:r w:rsidRPr="00230928">
              <w:rPr>
                <w:rFonts w:cs="Calibri"/>
                <w:b/>
                <w:bCs/>
                <w:color w:val="000000"/>
                <w:sz w:val="20"/>
                <w:szCs w:val="20"/>
              </w:rPr>
              <w:t xml:space="preserve">2005. - 2007.  </w:t>
            </w:r>
          </w:p>
        </w:tc>
        <w:tc>
          <w:tcPr>
            <w:tcW w:w="851" w:type="dxa"/>
            <w:noWrap/>
          </w:tcPr>
          <w:p w:rsidR="000C1520" w:rsidRPr="00230928" w:rsidRDefault="000C1520" w:rsidP="00623771">
            <w:pPr>
              <w:spacing w:after="0" w:line="240" w:lineRule="auto"/>
              <w:jc w:val="both"/>
              <w:rPr>
                <w:rFonts w:cs="Calibri"/>
                <w:b/>
                <w:bCs/>
                <w:color w:val="000000"/>
                <w:sz w:val="20"/>
                <w:szCs w:val="20"/>
              </w:rPr>
            </w:pPr>
            <w:r w:rsidRPr="00230928">
              <w:rPr>
                <w:rFonts w:cs="Calibri"/>
                <w:b/>
                <w:bCs/>
                <w:color w:val="000000"/>
                <w:sz w:val="20"/>
                <w:szCs w:val="20"/>
              </w:rPr>
              <w:t xml:space="preserve">2009. -2011. </w:t>
            </w:r>
          </w:p>
        </w:tc>
        <w:tc>
          <w:tcPr>
            <w:tcW w:w="913" w:type="dxa"/>
            <w:noWrap/>
          </w:tcPr>
          <w:p w:rsidR="000C1520" w:rsidRPr="00230928" w:rsidRDefault="000C1520" w:rsidP="00623771">
            <w:pPr>
              <w:spacing w:after="0" w:line="240" w:lineRule="auto"/>
              <w:jc w:val="both"/>
              <w:rPr>
                <w:rFonts w:cs="Calibri"/>
                <w:b/>
                <w:bCs/>
                <w:color w:val="000000"/>
                <w:sz w:val="20"/>
                <w:szCs w:val="20"/>
              </w:rPr>
            </w:pPr>
            <w:r w:rsidRPr="00230928">
              <w:rPr>
                <w:rFonts w:cs="Calibri"/>
                <w:b/>
                <w:bCs/>
                <w:color w:val="000000"/>
                <w:sz w:val="20"/>
                <w:szCs w:val="20"/>
              </w:rPr>
              <w:t>2009.</w:t>
            </w:r>
          </w:p>
        </w:tc>
        <w:tc>
          <w:tcPr>
            <w:tcW w:w="663" w:type="dxa"/>
            <w:noWrap/>
          </w:tcPr>
          <w:p w:rsidR="000C1520" w:rsidRPr="00230928" w:rsidRDefault="000C1520" w:rsidP="00623771">
            <w:pPr>
              <w:spacing w:after="0" w:line="240" w:lineRule="auto"/>
              <w:jc w:val="both"/>
              <w:rPr>
                <w:rFonts w:cs="Calibri"/>
                <w:b/>
                <w:bCs/>
                <w:color w:val="000000"/>
                <w:sz w:val="20"/>
                <w:szCs w:val="20"/>
              </w:rPr>
            </w:pPr>
            <w:r w:rsidRPr="00230928">
              <w:rPr>
                <w:rFonts w:cs="Calibri"/>
                <w:b/>
                <w:bCs/>
                <w:color w:val="000000"/>
                <w:sz w:val="20"/>
                <w:szCs w:val="20"/>
              </w:rPr>
              <w:t>2010.</w:t>
            </w:r>
          </w:p>
        </w:tc>
        <w:tc>
          <w:tcPr>
            <w:tcW w:w="663" w:type="dxa"/>
            <w:noWrap/>
          </w:tcPr>
          <w:p w:rsidR="000C1520" w:rsidRPr="00230928" w:rsidRDefault="000C1520" w:rsidP="00623771">
            <w:pPr>
              <w:spacing w:after="0" w:line="240" w:lineRule="auto"/>
              <w:jc w:val="both"/>
              <w:rPr>
                <w:rFonts w:cs="Calibri"/>
                <w:b/>
                <w:bCs/>
                <w:color w:val="000000"/>
                <w:sz w:val="20"/>
                <w:szCs w:val="20"/>
              </w:rPr>
            </w:pPr>
            <w:r w:rsidRPr="00230928">
              <w:rPr>
                <w:rFonts w:cs="Calibri"/>
                <w:b/>
                <w:bCs/>
                <w:color w:val="000000"/>
                <w:sz w:val="20"/>
                <w:szCs w:val="20"/>
              </w:rPr>
              <w:t>2011.</w:t>
            </w:r>
          </w:p>
        </w:tc>
        <w:tc>
          <w:tcPr>
            <w:tcW w:w="1022" w:type="dxa"/>
            <w:noWrap/>
          </w:tcPr>
          <w:p w:rsidR="000C1520" w:rsidRPr="00230928" w:rsidRDefault="000C1520" w:rsidP="00623771">
            <w:pPr>
              <w:spacing w:after="0" w:line="240" w:lineRule="auto"/>
              <w:jc w:val="both"/>
              <w:rPr>
                <w:rFonts w:cs="Calibri"/>
                <w:b/>
                <w:bCs/>
                <w:color w:val="000000"/>
                <w:sz w:val="20"/>
                <w:szCs w:val="20"/>
              </w:rPr>
            </w:pPr>
            <w:r w:rsidRPr="00230928">
              <w:rPr>
                <w:rFonts w:cs="Calibri"/>
                <w:b/>
                <w:bCs/>
                <w:color w:val="000000"/>
                <w:sz w:val="20"/>
                <w:szCs w:val="20"/>
              </w:rPr>
              <w:t>2012.</w:t>
            </w:r>
          </w:p>
        </w:tc>
        <w:tc>
          <w:tcPr>
            <w:tcW w:w="1134" w:type="dxa"/>
            <w:noWrap/>
          </w:tcPr>
          <w:p w:rsidR="000C1520" w:rsidRPr="00230928" w:rsidRDefault="000C1520" w:rsidP="00623771">
            <w:pPr>
              <w:spacing w:after="0" w:line="240" w:lineRule="auto"/>
              <w:jc w:val="both"/>
              <w:rPr>
                <w:rFonts w:cs="Calibri"/>
                <w:b/>
                <w:bCs/>
                <w:color w:val="000000"/>
                <w:sz w:val="20"/>
                <w:szCs w:val="20"/>
              </w:rPr>
            </w:pPr>
            <w:r w:rsidRPr="00230928">
              <w:rPr>
                <w:rFonts w:cs="Calibri"/>
                <w:b/>
                <w:bCs/>
                <w:color w:val="000000"/>
                <w:sz w:val="20"/>
                <w:szCs w:val="20"/>
              </w:rPr>
              <w:t>2013.</w:t>
            </w:r>
          </w:p>
        </w:tc>
        <w:tc>
          <w:tcPr>
            <w:tcW w:w="992" w:type="dxa"/>
            <w:noWrap/>
          </w:tcPr>
          <w:p w:rsidR="000C1520" w:rsidRPr="00230928" w:rsidRDefault="000C1520" w:rsidP="00623771">
            <w:pPr>
              <w:spacing w:after="0" w:line="240" w:lineRule="auto"/>
              <w:jc w:val="both"/>
              <w:rPr>
                <w:rFonts w:cs="Calibri"/>
                <w:b/>
                <w:bCs/>
                <w:color w:val="000000"/>
                <w:sz w:val="20"/>
                <w:szCs w:val="20"/>
              </w:rPr>
            </w:pPr>
            <w:r w:rsidRPr="00230928">
              <w:rPr>
                <w:rFonts w:cs="Calibri"/>
                <w:b/>
                <w:bCs/>
                <w:color w:val="000000"/>
                <w:sz w:val="20"/>
                <w:szCs w:val="20"/>
              </w:rPr>
              <w:t>2014.</w:t>
            </w:r>
          </w:p>
        </w:tc>
      </w:tr>
      <w:tr w:rsidR="000C1520" w:rsidRPr="00623771" w:rsidTr="00623771">
        <w:trPr>
          <w:trHeight w:val="615"/>
        </w:trPr>
        <w:tc>
          <w:tcPr>
            <w:tcW w:w="1998" w:type="dxa"/>
            <w:tcBorders>
              <w:top w:val="single" w:sz="8" w:space="0" w:color="000000"/>
              <w:bottom w:val="single" w:sz="8" w:space="0" w:color="000000"/>
            </w:tcBorders>
          </w:tcPr>
          <w:p w:rsidR="000C1520" w:rsidRPr="00230928" w:rsidRDefault="000C1520" w:rsidP="00623771">
            <w:pPr>
              <w:spacing w:after="0" w:line="240" w:lineRule="auto"/>
              <w:jc w:val="both"/>
              <w:rPr>
                <w:rFonts w:cs="Calibri"/>
                <w:b/>
                <w:bCs/>
                <w:color w:val="000000"/>
                <w:sz w:val="20"/>
                <w:szCs w:val="20"/>
              </w:rPr>
            </w:pPr>
            <w:r w:rsidRPr="00230928">
              <w:rPr>
                <w:rFonts w:cs="Calibri"/>
                <w:color w:val="000000"/>
                <w:sz w:val="20"/>
                <w:szCs w:val="20"/>
              </w:rPr>
              <w:t>GLOBALNI TIJEKOVI</w:t>
            </w:r>
            <w:r w:rsidRPr="00230928">
              <w:rPr>
                <w:rFonts w:cs="Calibri"/>
                <w:color w:val="000000"/>
                <w:sz w:val="20"/>
                <w:szCs w:val="20"/>
              </w:rPr>
              <w:br/>
              <w:t>INVESTICIJA</w:t>
            </w:r>
          </w:p>
        </w:tc>
        <w:tc>
          <w:tcPr>
            <w:tcW w:w="1087" w:type="dxa"/>
            <w:tcBorders>
              <w:top w:val="single" w:sz="8" w:space="0" w:color="000000"/>
              <w:bottom w:val="single" w:sz="8" w:space="0" w:color="000000"/>
            </w:tcBorders>
            <w:noWrap/>
          </w:tcPr>
          <w:p w:rsidR="000C1520" w:rsidRPr="00230928" w:rsidRDefault="000C1520" w:rsidP="00623771">
            <w:pPr>
              <w:spacing w:after="0" w:line="240" w:lineRule="auto"/>
              <w:jc w:val="both"/>
              <w:rPr>
                <w:rFonts w:cs="Calibri"/>
                <w:bCs/>
                <w:color w:val="000000"/>
                <w:sz w:val="20"/>
                <w:szCs w:val="20"/>
              </w:rPr>
            </w:pPr>
            <w:r w:rsidRPr="00230928">
              <w:rPr>
                <w:rFonts w:cs="Calibri"/>
                <w:bCs/>
                <w:color w:val="000000"/>
                <w:sz w:val="20"/>
                <w:szCs w:val="20"/>
              </w:rPr>
              <w:t>1473</w:t>
            </w:r>
          </w:p>
        </w:tc>
        <w:tc>
          <w:tcPr>
            <w:tcW w:w="851" w:type="dxa"/>
            <w:tcBorders>
              <w:top w:val="single" w:sz="8" w:space="0" w:color="000000"/>
              <w:bottom w:val="single" w:sz="8" w:space="0" w:color="000000"/>
            </w:tcBorders>
            <w:noWrap/>
          </w:tcPr>
          <w:p w:rsidR="000C1520" w:rsidRPr="00230928" w:rsidRDefault="000C1520" w:rsidP="00623771">
            <w:pPr>
              <w:spacing w:after="0" w:line="240" w:lineRule="auto"/>
              <w:jc w:val="both"/>
              <w:rPr>
                <w:rFonts w:cs="Calibri"/>
                <w:bCs/>
                <w:color w:val="000000"/>
                <w:sz w:val="20"/>
                <w:szCs w:val="20"/>
              </w:rPr>
            </w:pPr>
            <w:r w:rsidRPr="00230928">
              <w:rPr>
                <w:rFonts w:cs="Calibri"/>
                <w:bCs/>
                <w:color w:val="000000"/>
                <w:sz w:val="20"/>
                <w:szCs w:val="20"/>
              </w:rPr>
              <w:t>1344</w:t>
            </w:r>
          </w:p>
        </w:tc>
        <w:tc>
          <w:tcPr>
            <w:tcW w:w="913" w:type="dxa"/>
            <w:tcBorders>
              <w:top w:val="single" w:sz="8" w:space="0" w:color="000000"/>
              <w:bottom w:val="single" w:sz="8" w:space="0" w:color="000000"/>
            </w:tcBorders>
            <w:noWrap/>
          </w:tcPr>
          <w:p w:rsidR="000C1520" w:rsidRPr="00230928" w:rsidRDefault="000C1520" w:rsidP="00623771">
            <w:pPr>
              <w:spacing w:after="0" w:line="240" w:lineRule="auto"/>
              <w:jc w:val="both"/>
              <w:rPr>
                <w:rFonts w:cs="Calibri"/>
                <w:bCs/>
                <w:color w:val="000000"/>
                <w:sz w:val="20"/>
                <w:szCs w:val="20"/>
              </w:rPr>
            </w:pPr>
            <w:r w:rsidRPr="00230928">
              <w:rPr>
                <w:rFonts w:cs="Calibri"/>
                <w:bCs/>
                <w:color w:val="000000"/>
                <w:sz w:val="20"/>
                <w:szCs w:val="20"/>
              </w:rPr>
              <w:t>1198</w:t>
            </w:r>
          </w:p>
        </w:tc>
        <w:tc>
          <w:tcPr>
            <w:tcW w:w="663" w:type="dxa"/>
            <w:tcBorders>
              <w:top w:val="single" w:sz="8" w:space="0" w:color="000000"/>
              <w:bottom w:val="single" w:sz="8" w:space="0" w:color="000000"/>
            </w:tcBorders>
            <w:noWrap/>
          </w:tcPr>
          <w:p w:rsidR="000C1520" w:rsidRPr="00230928" w:rsidRDefault="000C1520" w:rsidP="00623771">
            <w:pPr>
              <w:spacing w:after="0" w:line="240" w:lineRule="auto"/>
              <w:jc w:val="both"/>
              <w:rPr>
                <w:rFonts w:cs="Calibri"/>
                <w:bCs/>
                <w:color w:val="000000"/>
                <w:sz w:val="20"/>
                <w:szCs w:val="20"/>
              </w:rPr>
            </w:pPr>
            <w:r w:rsidRPr="00230928">
              <w:rPr>
                <w:rFonts w:cs="Calibri"/>
                <w:bCs/>
                <w:color w:val="000000"/>
                <w:sz w:val="20"/>
                <w:szCs w:val="20"/>
              </w:rPr>
              <w:t>1309</w:t>
            </w:r>
          </w:p>
        </w:tc>
        <w:tc>
          <w:tcPr>
            <w:tcW w:w="663" w:type="dxa"/>
            <w:tcBorders>
              <w:top w:val="single" w:sz="8" w:space="0" w:color="000000"/>
              <w:bottom w:val="single" w:sz="8" w:space="0" w:color="000000"/>
            </w:tcBorders>
            <w:noWrap/>
          </w:tcPr>
          <w:p w:rsidR="000C1520" w:rsidRPr="00230928" w:rsidRDefault="000C1520" w:rsidP="00623771">
            <w:pPr>
              <w:spacing w:after="0" w:line="240" w:lineRule="auto"/>
              <w:jc w:val="both"/>
              <w:rPr>
                <w:rFonts w:cs="Calibri"/>
                <w:bCs/>
                <w:color w:val="000000"/>
                <w:sz w:val="20"/>
                <w:szCs w:val="20"/>
              </w:rPr>
            </w:pPr>
            <w:r w:rsidRPr="00230928">
              <w:rPr>
                <w:rFonts w:cs="Calibri"/>
                <w:bCs/>
                <w:color w:val="000000"/>
                <w:sz w:val="20"/>
                <w:szCs w:val="20"/>
              </w:rPr>
              <w:t>1524</w:t>
            </w:r>
          </w:p>
        </w:tc>
        <w:tc>
          <w:tcPr>
            <w:tcW w:w="1022" w:type="dxa"/>
            <w:tcBorders>
              <w:top w:val="single" w:sz="8" w:space="0" w:color="000000"/>
              <w:bottom w:val="single" w:sz="8" w:space="0" w:color="000000"/>
            </w:tcBorders>
            <w:noWrap/>
          </w:tcPr>
          <w:p w:rsidR="000C1520" w:rsidRPr="00230928" w:rsidRDefault="000C1520" w:rsidP="00623771">
            <w:pPr>
              <w:spacing w:after="0" w:line="240" w:lineRule="auto"/>
              <w:jc w:val="both"/>
              <w:rPr>
                <w:rFonts w:cs="Calibri"/>
                <w:bCs/>
                <w:color w:val="000000"/>
                <w:sz w:val="20"/>
                <w:szCs w:val="20"/>
              </w:rPr>
            </w:pPr>
            <w:r w:rsidRPr="00230928">
              <w:rPr>
                <w:rFonts w:cs="Calibri"/>
                <w:bCs/>
                <w:color w:val="000000"/>
                <w:sz w:val="20"/>
                <w:szCs w:val="20"/>
              </w:rPr>
              <w:t>1495-1695</w:t>
            </w:r>
          </w:p>
        </w:tc>
        <w:tc>
          <w:tcPr>
            <w:tcW w:w="1134" w:type="dxa"/>
            <w:tcBorders>
              <w:top w:val="single" w:sz="8" w:space="0" w:color="000000"/>
              <w:bottom w:val="single" w:sz="8" w:space="0" w:color="000000"/>
            </w:tcBorders>
            <w:noWrap/>
          </w:tcPr>
          <w:p w:rsidR="000C1520" w:rsidRPr="00230928" w:rsidRDefault="000C1520" w:rsidP="00623771">
            <w:pPr>
              <w:spacing w:after="0" w:line="240" w:lineRule="auto"/>
              <w:jc w:val="both"/>
              <w:rPr>
                <w:rFonts w:cs="Calibri"/>
                <w:bCs/>
                <w:color w:val="000000"/>
                <w:sz w:val="20"/>
                <w:szCs w:val="20"/>
              </w:rPr>
            </w:pPr>
            <w:r w:rsidRPr="00230928">
              <w:rPr>
                <w:rFonts w:cs="Calibri"/>
                <w:bCs/>
                <w:color w:val="000000"/>
                <w:sz w:val="20"/>
                <w:szCs w:val="20"/>
              </w:rPr>
              <w:t>1630-1925</w:t>
            </w:r>
          </w:p>
        </w:tc>
        <w:tc>
          <w:tcPr>
            <w:tcW w:w="992" w:type="dxa"/>
            <w:tcBorders>
              <w:top w:val="single" w:sz="8" w:space="0" w:color="000000"/>
              <w:bottom w:val="single" w:sz="8" w:space="0" w:color="000000"/>
            </w:tcBorders>
            <w:noWrap/>
          </w:tcPr>
          <w:p w:rsidR="000C1520" w:rsidRPr="00230928" w:rsidRDefault="000C1520" w:rsidP="00623771">
            <w:pPr>
              <w:spacing w:after="0" w:line="240" w:lineRule="auto"/>
              <w:jc w:val="both"/>
              <w:rPr>
                <w:rFonts w:cs="Calibri"/>
                <w:bCs/>
                <w:color w:val="000000"/>
                <w:sz w:val="20"/>
                <w:szCs w:val="20"/>
              </w:rPr>
            </w:pPr>
            <w:r w:rsidRPr="00230928">
              <w:rPr>
                <w:rFonts w:cs="Calibri"/>
                <w:bCs/>
                <w:color w:val="000000"/>
                <w:sz w:val="20"/>
                <w:szCs w:val="20"/>
              </w:rPr>
              <w:t>1700-2110</w:t>
            </w:r>
          </w:p>
        </w:tc>
      </w:tr>
      <w:tr w:rsidR="000C1520" w:rsidRPr="00623771" w:rsidTr="00623771">
        <w:trPr>
          <w:trHeight w:val="315"/>
        </w:trPr>
        <w:tc>
          <w:tcPr>
            <w:tcW w:w="1998" w:type="dxa"/>
            <w:noWrap/>
          </w:tcPr>
          <w:p w:rsidR="000C1520" w:rsidRPr="00230928" w:rsidRDefault="000C1520" w:rsidP="00623771">
            <w:pPr>
              <w:spacing w:after="0" w:line="240" w:lineRule="auto"/>
              <w:jc w:val="both"/>
              <w:rPr>
                <w:rFonts w:cs="Calibri"/>
                <w:b/>
                <w:bCs/>
                <w:color w:val="000000"/>
                <w:sz w:val="20"/>
                <w:szCs w:val="20"/>
              </w:rPr>
            </w:pPr>
            <w:r w:rsidRPr="00230928">
              <w:rPr>
                <w:rFonts w:cs="Calibri"/>
                <w:color w:val="000000"/>
                <w:sz w:val="20"/>
                <w:szCs w:val="20"/>
              </w:rPr>
              <w:t>RAZVIJENE ZEMLJE</w:t>
            </w:r>
          </w:p>
        </w:tc>
        <w:tc>
          <w:tcPr>
            <w:tcW w:w="1087" w:type="dxa"/>
            <w:noWrap/>
          </w:tcPr>
          <w:p w:rsidR="000C1520" w:rsidRPr="00230928" w:rsidRDefault="000C1520" w:rsidP="00623771">
            <w:pPr>
              <w:spacing w:after="0" w:line="240" w:lineRule="auto"/>
              <w:jc w:val="both"/>
              <w:rPr>
                <w:rFonts w:cs="Calibri"/>
                <w:bCs/>
                <w:color w:val="000000"/>
                <w:sz w:val="20"/>
                <w:szCs w:val="20"/>
              </w:rPr>
            </w:pPr>
            <w:r w:rsidRPr="00230928">
              <w:rPr>
                <w:rFonts w:cs="Calibri"/>
                <w:bCs/>
                <w:color w:val="000000"/>
                <w:sz w:val="20"/>
                <w:szCs w:val="20"/>
              </w:rPr>
              <w:t>972</w:t>
            </w:r>
          </w:p>
        </w:tc>
        <w:tc>
          <w:tcPr>
            <w:tcW w:w="851" w:type="dxa"/>
            <w:noWrap/>
          </w:tcPr>
          <w:p w:rsidR="000C1520" w:rsidRPr="00230928" w:rsidRDefault="000C1520" w:rsidP="00623771">
            <w:pPr>
              <w:spacing w:after="0" w:line="240" w:lineRule="auto"/>
              <w:jc w:val="both"/>
              <w:rPr>
                <w:rFonts w:cs="Calibri"/>
                <w:bCs/>
                <w:color w:val="000000"/>
                <w:sz w:val="20"/>
                <w:szCs w:val="20"/>
              </w:rPr>
            </w:pPr>
            <w:r w:rsidRPr="00230928">
              <w:rPr>
                <w:rFonts w:cs="Calibri"/>
                <w:bCs/>
                <w:color w:val="000000"/>
                <w:sz w:val="20"/>
                <w:szCs w:val="20"/>
              </w:rPr>
              <w:t>658</w:t>
            </w:r>
          </w:p>
        </w:tc>
        <w:tc>
          <w:tcPr>
            <w:tcW w:w="913" w:type="dxa"/>
            <w:noWrap/>
          </w:tcPr>
          <w:p w:rsidR="000C1520" w:rsidRPr="00230928" w:rsidRDefault="000C1520" w:rsidP="00623771">
            <w:pPr>
              <w:spacing w:after="0" w:line="240" w:lineRule="auto"/>
              <w:jc w:val="both"/>
              <w:rPr>
                <w:rFonts w:cs="Calibri"/>
                <w:bCs/>
                <w:color w:val="000000"/>
                <w:sz w:val="20"/>
                <w:szCs w:val="20"/>
              </w:rPr>
            </w:pPr>
            <w:r w:rsidRPr="00230928">
              <w:rPr>
                <w:rFonts w:cs="Calibri"/>
                <w:bCs/>
                <w:color w:val="000000"/>
                <w:sz w:val="20"/>
                <w:szCs w:val="20"/>
              </w:rPr>
              <w:t>606</w:t>
            </w:r>
          </w:p>
        </w:tc>
        <w:tc>
          <w:tcPr>
            <w:tcW w:w="663" w:type="dxa"/>
            <w:noWrap/>
          </w:tcPr>
          <w:p w:rsidR="000C1520" w:rsidRPr="00230928" w:rsidRDefault="000C1520" w:rsidP="00623771">
            <w:pPr>
              <w:spacing w:after="0" w:line="240" w:lineRule="auto"/>
              <w:jc w:val="both"/>
              <w:rPr>
                <w:rFonts w:cs="Calibri"/>
                <w:bCs/>
                <w:color w:val="000000"/>
                <w:sz w:val="20"/>
                <w:szCs w:val="20"/>
              </w:rPr>
            </w:pPr>
            <w:r w:rsidRPr="00230928">
              <w:rPr>
                <w:rFonts w:cs="Calibri"/>
                <w:bCs/>
                <w:color w:val="000000"/>
                <w:sz w:val="20"/>
                <w:szCs w:val="20"/>
              </w:rPr>
              <w:t>619</w:t>
            </w:r>
          </w:p>
        </w:tc>
        <w:tc>
          <w:tcPr>
            <w:tcW w:w="663" w:type="dxa"/>
            <w:noWrap/>
          </w:tcPr>
          <w:p w:rsidR="000C1520" w:rsidRPr="00230928" w:rsidRDefault="000C1520" w:rsidP="00623771">
            <w:pPr>
              <w:spacing w:after="0" w:line="240" w:lineRule="auto"/>
              <w:jc w:val="both"/>
              <w:rPr>
                <w:rFonts w:cs="Calibri"/>
                <w:bCs/>
                <w:color w:val="000000"/>
                <w:sz w:val="20"/>
                <w:szCs w:val="20"/>
              </w:rPr>
            </w:pPr>
            <w:r w:rsidRPr="00230928">
              <w:rPr>
                <w:rFonts w:cs="Calibri"/>
                <w:bCs/>
                <w:color w:val="000000"/>
                <w:sz w:val="20"/>
                <w:szCs w:val="20"/>
              </w:rPr>
              <w:t>748</w:t>
            </w:r>
          </w:p>
        </w:tc>
        <w:tc>
          <w:tcPr>
            <w:tcW w:w="1022" w:type="dxa"/>
            <w:noWrap/>
          </w:tcPr>
          <w:p w:rsidR="000C1520" w:rsidRPr="00230928" w:rsidRDefault="000C1520" w:rsidP="00623771">
            <w:pPr>
              <w:spacing w:after="0" w:line="240" w:lineRule="auto"/>
              <w:jc w:val="both"/>
              <w:rPr>
                <w:rFonts w:cs="Calibri"/>
                <w:bCs/>
                <w:color w:val="000000"/>
                <w:sz w:val="20"/>
                <w:szCs w:val="20"/>
              </w:rPr>
            </w:pPr>
            <w:r w:rsidRPr="00230928">
              <w:rPr>
                <w:rFonts w:cs="Calibri"/>
                <w:bCs/>
                <w:color w:val="000000"/>
                <w:sz w:val="20"/>
                <w:szCs w:val="20"/>
              </w:rPr>
              <w:t>735-825</w:t>
            </w:r>
          </w:p>
        </w:tc>
        <w:tc>
          <w:tcPr>
            <w:tcW w:w="1134" w:type="dxa"/>
            <w:noWrap/>
          </w:tcPr>
          <w:p w:rsidR="000C1520" w:rsidRPr="00230928" w:rsidRDefault="000C1520" w:rsidP="00623771">
            <w:pPr>
              <w:spacing w:after="0" w:line="240" w:lineRule="auto"/>
              <w:jc w:val="both"/>
              <w:rPr>
                <w:rFonts w:cs="Calibri"/>
                <w:bCs/>
                <w:color w:val="000000"/>
                <w:sz w:val="20"/>
                <w:szCs w:val="20"/>
              </w:rPr>
            </w:pPr>
            <w:r w:rsidRPr="00230928">
              <w:rPr>
                <w:rFonts w:cs="Calibri"/>
                <w:bCs/>
                <w:color w:val="000000"/>
                <w:sz w:val="20"/>
                <w:szCs w:val="20"/>
              </w:rPr>
              <w:t>810-940</w:t>
            </w:r>
          </w:p>
        </w:tc>
        <w:tc>
          <w:tcPr>
            <w:tcW w:w="992" w:type="dxa"/>
            <w:noWrap/>
          </w:tcPr>
          <w:p w:rsidR="000C1520" w:rsidRPr="00230928" w:rsidRDefault="000C1520" w:rsidP="00623771">
            <w:pPr>
              <w:spacing w:after="0" w:line="240" w:lineRule="auto"/>
              <w:jc w:val="both"/>
              <w:rPr>
                <w:rFonts w:cs="Calibri"/>
                <w:bCs/>
                <w:color w:val="000000"/>
                <w:sz w:val="20"/>
                <w:szCs w:val="20"/>
              </w:rPr>
            </w:pPr>
            <w:r w:rsidRPr="00230928">
              <w:rPr>
                <w:rFonts w:cs="Calibri"/>
                <w:bCs/>
                <w:color w:val="000000"/>
                <w:sz w:val="20"/>
                <w:szCs w:val="20"/>
              </w:rPr>
              <w:t>840-1020</w:t>
            </w:r>
          </w:p>
        </w:tc>
      </w:tr>
      <w:tr w:rsidR="000C1520" w:rsidRPr="00623771" w:rsidTr="00623771">
        <w:trPr>
          <w:trHeight w:val="315"/>
        </w:trPr>
        <w:tc>
          <w:tcPr>
            <w:tcW w:w="1998" w:type="dxa"/>
            <w:tcBorders>
              <w:top w:val="single" w:sz="8" w:space="0" w:color="000000"/>
              <w:bottom w:val="single" w:sz="8" w:space="0" w:color="000000"/>
            </w:tcBorders>
            <w:noWrap/>
          </w:tcPr>
          <w:p w:rsidR="000C1520" w:rsidRPr="00230928" w:rsidRDefault="000C1520" w:rsidP="00623771">
            <w:pPr>
              <w:spacing w:after="0" w:line="240" w:lineRule="auto"/>
              <w:jc w:val="both"/>
              <w:rPr>
                <w:rFonts w:cs="Calibri"/>
                <w:b/>
                <w:bCs/>
                <w:color w:val="000000"/>
                <w:sz w:val="20"/>
                <w:szCs w:val="20"/>
              </w:rPr>
            </w:pPr>
            <w:r w:rsidRPr="00230928">
              <w:rPr>
                <w:rFonts w:cs="Calibri"/>
                <w:b/>
                <w:bCs/>
                <w:color w:val="000000"/>
                <w:sz w:val="20"/>
                <w:szCs w:val="20"/>
              </w:rPr>
              <w:t>EU</w:t>
            </w:r>
          </w:p>
        </w:tc>
        <w:tc>
          <w:tcPr>
            <w:tcW w:w="1087" w:type="dxa"/>
            <w:tcBorders>
              <w:top w:val="single" w:sz="8" w:space="0" w:color="000000"/>
              <w:bottom w:val="single" w:sz="8" w:space="0" w:color="000000"/>
            </w:tcBorders>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646</w:t>
            </w:r>
          </w:p>
        </w:tc>
        <w:tc>
          <w:tcPr>
            <w:tcW w:w="851" w:type="dxa"/>
            <w:tcBorders>
              <w:top w:val="single" w:sz="8" w:space="0" w:color="000000"/>
              <w:bottom w:val="single" w:sz="8" w:space="0" w:color="000000"/>
            </w:tcBorders>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365</w:t>
            </w:r>
          </w:p>
        </w:tc>
        <w:tc>
          <w:tcPr>
            <w:tcW w:w="913" w:type="dxa"/>
            <w:tcBorders>
              <w:top w:val="single" w:sz="8" w:space="0" w:color="000000"/>
              <w:bottom w:val="single" w:sz="8" w:space="0" w:color="000000"/>
            </w:tcBorders>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357</w:t>
            </w:r>
          </w:p>
        </w:tc>
        <w:tc>
          <w:tcPr>
            <w:tcW w:w="663" w:type="dxa"/>
            <w:tcBorders>
              <w:top w:val="single" w:sz="8" w:space="0" w:color="000000"/>
              <w:bottom w:val="single" w:sz="8" w:space="0" w:color="000000"/>
            </w:tcBorders>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318</w:t>
            </w:r>
          </w:p>
        </w:tc>
        <w:tc>
          <w:tcPr>
            <w:tcW w:w="663" w:type="dxa"/>
            <w:tcBorders>
              <w:top w:val="single" w:sz="8" w:space="0" w:color="000000"/>
              <w:bottom w:val="single" w:sz="8" w:space="0" w:color="000000"/>
            </w:tcBorders>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421</w:t>
            </w:r>
          </w:p>
        </w:tc>
        <w:tc>
          <w:tcPr>
            <w:tcW w:w="1022" w:type="dxa"/>
            <w:tcBorders>
              <w:top w:val="single" w:sz="8" w:space="0" w:color="000000"/>
              <w:bottom w:val="single" w:sz="8" w:space="0" w:color="000000"/>
            </w:tcBorders>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410-450</w:t>
            </w:r>
          </w:p>
        </w:tc>
        <w:tc>
          <w:tcPr>
            <w:tcW w:w="1134" w:type="dxa"/>
            <w:tcBorders>
              <w:top w:val="single" w:sz="8" w:space="0" w:color="000000"/>
              <w:bottom w:val="single" w:sz="8" w:space="0" w:color="000000"/>
            </w:tcBorders>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430-510</w:t>
            </w:r>
          </w:p>
        </w:tc>
        <w:tc>
          <w:tcPr>
            <w:tcW w:w="992" w:type="dxa"/>
            <w:tcBorders>
              <w:top w:val="single" w:sz="8" w:space="0" w:color="000000"/>
              <w:bottom w:val="single" w:sz="8" w:space="0" w:color="000000"/>
            </w:tcBorders>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440-550</w:t>
            </w:r>
          </w:p>
        </w:tc>
      </w:tr>
      <w:tr w:rsidR="000C1520" w:rsidRPr="00623771" w:rsidTr="00623771">
        <w:trPr>
          <w:trHeight w:val="315"/>
        </w:trPr>
        <w:tc>
          <w:tcPr>
            <w:tcW w:w="1998" w:type="dxa"/>
            <w:noWrap/>
          </w:tcPr>
          <w:p w:rsidR="000C1520" w:rsidRPr="00230928" w:rsidRDefault="000C1520" w:rsidP="00623771">
            <w:pPr>
              <w:spacing w:after="0" w:line="240" w:lineRule="auto"/>
              <w:jc w:val="both"/>
              <w:rPr>
                <w:rFonts w:cs="Calibri"/>
                <w:b/>
                <w:bCs/>
                <w:color w:val="000000"/>
                <w:sz w:val="20"/>
                <w:szCs w:val="20"/>
              </w:rPr>
            </w:pPr>
            <w:r w:rsidRPr="00230928">
              <w:rPr>
                <w:rFonts w:cs="Calibri"/>
                <w:b/>
                <w:bCs/>
                <w:color w:val="000000"/>
                <w:sz w:val="20"/>
                <w:szCs w:val="20"/>
              </w:rPr>
              <w:t>SAD</w:t>
            </w:r>
          </w:p>
        </w:tc>
        <w:tc>
          <w:tcPr>
            <w:tcW w:w="1087" w:type="dxa"/>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253</w:t>
            </w:r>
          </w:p>
        </w:tc>
        <w:tc>
          <w:tcPr>
            <w:tcW w:w="851" w:type="dxa"/>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218</w:t>
            </w:r>
          </w:p>
        </w:tc>
        <w:tc>
          <w:tcPr>
            <w:tcW w:w="913" w:type="dxa"/>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165</w:t>
            </w:r>
          </w:p>
        </w:tc>
        <w:tc>
          <w:tcPr>
            <w:tcW w:w="663" w:type="dxa"/>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221</w:t>
            </w:r>
          </w:p>
        </w:tc>
        <w:tc>
          <w:tcPr>
            <w:tcW w:w="663" w:type="dxa"/>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268</w:t>
            </w:r>
          </w:p>
        </w:tc>
        <w:tc>
          <w:tcPr>
            <w:tcW w:w="1022" w:type="dxa"/>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255-285</w:t>
            </w:r>
          </w:p>
        </w:tc>
        <w:tc>
          <w:tcPr>
            <w:tcW w:w="1134" w:type="dxa"/>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280-310</w:t>
            </w:r>
          </w:p>
        </w:tc>
        <w:tc>
          <w:tcPr>
            <w:tcW w:w="992" w:type="dxa"/>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290-340</w:t>
            </w:r>
          </w:p>
        </w:tc>
      </w:tr>
      <w:tr w:rsidR="000C1520" w:rsidRPr="00623771" w:rsidTr="00623771">
        <w:trPr>
          <w:trHeight w:val="315"/>
        </w:trPr>
        <w:tc>
          <w:tcPr>
            <w:tcW w:w="1998" w:type="dxa"/>
            <w:tcBorders>
              <w:top w:val="single" w:sz="8" w:space="0" w:color="000000"/>
              <w:bottom w:val="single" w:sz="8" w:space="0" w:color="000000"/>
            </w:tcBorders>
            <w:noWrap/>
          </w:tcPr>
          <w:p w:rsidR="000C1520" w:rsidRPr="00230928" w:rsidRDefault="000C1520" w:rsidP="00623771">
            <w:pPr>
              <w:spacing w:after="0" w:line="240" w:lineRule="auto"/>
              <w:jc w:val="both"/>
              <w:rPr>
                <w:rFonts w:cs="Calibri"/>
                <w:b/>
                <w:bCs/>
                <w:color w:val="000000"/>
                <w:sz w:val="20"/>
                <w:szCs w:val="20"/>
              </w:rPr>
            </w:pPr>
            <w:r w:rsidRPr="00230928">
              <w:rPr>
                <w:rFonts w:cs="Calibri"/>
                <w:color w:val="000000"/>
                <w:sz w:val="20"/>
                <w:szCs w:val="20"/>
              </w:rPr>
              <w:t>ZEMLJE U RAZVOJU</w:t>
            </w:r>
          </w:p>
        </w:tc>
        <w:tc>
          <w:tcPr>
            <w:tcW w:w="1087" w:type="dxa"/>
            <w:tcBorders>
              <w:top w:val="single" w:sz="8" w:space="0" w:color="000000"/>
              <w:bottom w:val="single" w:sz="8" w:space="0" w:color="000000"/>
            </w:tcBorders>
            <w:noWrap/>
          </w:tcPr>
          <w:p w:rsidR="000C1520" w:rsidRPr="00230928" w:rsidRDefault="000C1520" w:rsidP="00623771">
            <w:pPr>
              <w:spacing w:after="0" w:line="240" w:lineRule="auto"/>
              <w:jc w:val="both"/>
              <w:rPr>
                <w:rFonts w:cs="Calibri"/>
                <w:bCs/>
                <w:color w:val="000000"/>
                <w:sz w:val="20"/>
                <w:szCs w:val="20"/>
              </w:rPr>
            </w:pPr>
            <w:r w:rsidRPr="00230928">
              <w:rPr>
                <w:rFonts w:cs="Calibri"/>
                <w:bCs/>
                <w:color w:val="000000"/>
                <w:sz w:val="20"/>
                <w:szCs w:val="20"/>
              </w:rPr>
              <w:t>443</w:t>
            </w:r>
          </w:p>
        </w:tc>
        <w:tc>
          <w:tcPr>
            <w:tcW w:w="851" w:type="dxa"/>
            <w:tcBorders>
              <w:top w:val="single" w:sz="8" w:space="0" w:color="000000"/>
              <w:bottom w:val="single" w:sz="8" w:space="0" w:color="000000"/>
            </w:tcBorders>
            <w:noWrap/>
          </w:tcPr>
          <w:p w:rsidR="000C1520" w:rsidRPr="00230928" w:rsidRDefault="000C1520" w:rsidP="00623771">
            <w:pPr>
              <w:spacing w:after="0" w:line="240" w:lineRule="auto"/>
              <w:jc w:val="both"/>
              <w:rPr>
                <w:rFonts w:cs="Calibri"/>
                <w:bCs/>
                <w:color w:val="000000"/>
                <w:sz w:val="20"/>
                <w:szCs w:val="20"/>
              </w:rPr>
            </w:pPr>
            <w:r w:rsidRPr="00230928">
              <w:rPr>
                <w:rFonts w:cs="Calibri"/>
                <w:bCs/>
                <w:color w:val="000000"/>
                <w:sz w:val="20"/>
                <w:szCs w:val="20"/>
              </w:rPr>
              <w:t>607</w:t>
            </w:r>
          </w:p>
        </w:tc>
        <w:tc>
          <w:tcPr>
            <w:tcW w:w="913" w:type="dxa"/>
            <w:tcBorders>
              <w:top w:val="single" w:sz="8" w:space="0" w:color="000000"/>
              <w:bottom w:val="single" w:sz="8" w:space="0" w:color="000000"/>
            </w:tcBorders>
            <w:noWrap/>
          </w:tcPr>
          <w:p w:rsidR="000C1520" w:rsidRPr="00230928" w:rsidRDefault="000C1520" w:rsidP="00623771">
            <w:pPr>
              <w:spacing w:after="0" w:line="240" w:lineRule="auto"/>
              <w:jc w:val="both"/>
              <w:rPr>
                <w:rFonts w:cs="Calibri"/>
                <w:bCs/>
                <w:color w:val="000000"/>
                <w:sz w:val="20"/>
                <w:szCs w:val="20"/>
              </w:rPr>
            </w:pPr>
            <w:r w:rsidRPr="00230928">
              <w:rPr>
                <w:rFonts w:cs="Calibri"/>
                <w:bCs/>
                <w:color w:val="000000"/>
                <w:sz w:val="20"/>
                <w:szCs w:val="20"/>
              </w:rPr>
              <w:t>519</w:t>
            </w:r>
          </w:p>
        </w:tc>
        <w:tc>
          <w:tcPr>
            <w:tcW w:w="663" w:type="dxa"/>
            <w:tcBorders>
              <w:top w:val="single" w:sz="8" w:space="0" w:color="000000"/>
              <w:bottom w:val="single" w:sz="8" w:space="0" w:color="000000"/>
            </w:tcBorders>
            <w:noWrap/>
          </w:tcPr>
          <w:p w:rsidR="000C1520" w:rsidRPr="00230928" w:rsidRDefault="000C1520" w:rsidP="00623771">
            <w:pPr>
              <w:spacing w:after="0" w:line="240" w:lineRule="auto"/>
              <w:jc w:val="both"/>
              <w:rPr>
                <w:rFonts w:cs="Calibri"/>
                <w:bCs/>
                <w:color w:val="000000"/>
                <w:sz w:val="20"/>
                <w:szCs w:val="20"/>
              </w:rPr>
            </w:pPr>
            <w:r w:rsidRPr="00230928">
              <w:rPr>
                <w:rFonts w:cs="Calibri"/>
                <w:bCs/>
                <w:color w:val="000000"/>
                <w:sz w:val="20"/>
                <w:szCs w:val="20"/>
              </w:rPr>
              <w:t>617</w:t>
            </w:r>
          </w:p>
        </w:tc>
        <w:tc>
          <w:tcPr>
            <w:tcW w:w="663" w:type="dxa"/>
            <w:tcBorders>
              <w:top w:val="single" w:sz="8" w:space="0" w:color="000000"/>
              <w:bottom w:val="single" w:sz="8" w:space="0" w:color="000000"/>
            </w:tcBorders>
            <w:noWrap/>
          </w:tcPr>
          <w:p w:rsidR="000C1520" w:rsidRPr="00230928" w:rsidRDefault="000C1520" w:rsidP="00623771">
            <w:pPr>
              <w:spacing w:after="0" w:line="240" w:lineRule="auto"/>
              <w:jc w:val="both"/>
              <w:rPr>
                <w:rFonts w:cs="Calibri"/>
                <w:bCs/>
                <w:color w:val="000000"/>
                <w:sz w:val="20"/>
                <w:szCs w:val="20"/>
              </w:rPr>
            </w:pPr>
            <w:r w:rsidRPr="00230928">
              <w:rPr>
                <w:rFonts w:cs="Calibri"/>
                <w:bCs/>
                <w:color w:val="000000"/>
                <w:sz w:val="20"/>
                <w:szCs w:val="20"/>
              </w:rPr>
              <w:t>684</w:t>
            </w:r>
          </w:p>
        </w:tc>
        <w:tc>
          <w:tcPr>
            <w:tcW w:w="1022" w:type="dxa"/>
            <w:tcBorders>
              <w:top w:val="single" w:sz="8" w:space="0" w:color="000000"/>
              <w:bottom w:val="single" w:sz="8" w:space="0" w:color="000000"/>
            </w:tcBorders>
            <w:noWrap/>
          </w:tcPr>
          <w:p w:rsidR="000C1520" w:rsidRPr="00230928" w:rsidRDefault="000C1520" w:rsidP="00623771">
            <w:pPr>
              <w:spacing w:after="0" w:line="240" w:lineRule="auto"/>
              <w:jc w:val="both"/>
              <w:rPr>
                <w:rFonts w:cs="Calibri"/>
                <w:bCs/>
                <w:color w:val="000000"/>
                <w:sz w:val="20"/>
                <w:szCs w:val="20"/>
              </w:rPr>
            </w:pPr>
            <w:r w:rsidRPr="00230928">
              <w:rPr>
                <w:rFonts w:cs="Calibri"/>
                <w:bCs/>
                <w:color w:val="000000"/>
                <w:sz w:val="20"/>
                <w:szCs w:val="20"/>
              </w:rPr>
              <w:t>670-760</w:t>
            </w:r>
          </w:p>
        </w:tc>
        <w:tc>
          <w:tcPr>
            <w:tcW w:w="1134" w:type="dxa"/>
            <w:tcBorders>
              <w:top w:val="single" w:sz="8" w:space="0" w:color="000000"/>
              <w:bottom w:val="single" w:sz="8" w:space="0" w:color="000000"/>
            </w:tcBorders>
            <w:noWrap/>
          </w:tcPr>
          <w:p w:rsidR="000C1520" w:rsidRPr="00230928" w:rsidRDefault="000C1520" w:rsidP="00623771">
            <w:pPr>
              <w:spacing w:after="0" w:line="240" w:lineRule="auto"/>
              <w:jc w:val="both"/>
              <w:rPr>
                <w:rFonts w:cs="Calibri"/>
                <w:bCs/>
                <w:color w:val="000000"/>
                <w:sz w:val="20"/>
                <w:szCs w:val="20"/>
              </w:rPr>
            </w:pPr>
            <w:r w:rsidRPr="00230928">
              <w:rPr>
                <w:rFonts w:cs="Calibri"/>
                <w:bCs/>
                <w:color w:val="000000"/>
                <w:sz w:val="20"/>
                <w:szCs w:val="20"/>
              </w:rPr>
              <w:t>720-855</w:t>
            </w:r>
          </w:p>
        </w:tc>
        <w:tc>
          <w:tcPr>
            <w:tcW w:w="992" w:type="dxa"/>
            <w:tcBorders>
              <w:top w:val="single" w:sz="8" w:space="0" w:color="000000"/>
              <w:bottom w:val="single" w:sz="8" w:space="0" w:color="000000"/>
            </w:tcBorders>
            <w:noWrap/>
          </w:tcPr>
          <w:p w:rsidR="000C1520" w:rsidRPr="00230928" w:rsidRDefault="000C1520" w:rsidP="00623771">
            <w:pPr>
              <w:spacing w:after="0" w:line="240" w:lineRule="auto"/>
              <w:jc w:val="both"/>
              <w:rPr>
                <w:rFonts w:cs="Calibri"/>
                <w:bCs/>
                <w:color w:val="000000"/>
                <w:sz w:val="20"/>
                <w:szCs w:val="20"/>
              </w:rPr>
            </w:pPr>
            <w:r w:rsidRPr="00230928">
              <w:rPr>
                <w:rFonts w:cs="Calibri"/>
                <w:bCs/>
                <w:color w:val="000000"/>
                <w:sz w:val="20"/>
                <w:szCs w:val="20"/>
              </w:rPr>
              <w:t>755-930</w:t>
            </w:r>
          </w:p>
        </w:tc>
      </w:tr>
      <w:tr w:rsidR="000C1520" w:rsidRPr="00623771" w:rsidTr="00623771">
        <w:trPr>
          <w:trHeight w:val="315"/>
        </w:trPr>
        <w:tc>
          <w:tcPr>
            <w:tcW w:w="1998" w:type="dxa"/>
            <w:tcBorders>
              <w:bottom w:val="single" w:sz="8" w:space="0" w:color="000000"/>
            </w:tcBorders>
            <w:noWrap/>
          </w:tcPr>
          <w:p w:rsidR="000C1520" w:rsidRPr="00230928" w:rsidRDefault="000C1520" w:rsidP="00623771">
            <w:pPr>
              <w:spacing w:after="0" w:line="240" w:lineRule="auto"/>
              <w:jc w:val="both"/>
              <w:rPr>
                <w:rFonts w:cs="Calibri"/>
                <w:b/>
                <w:bCs/>
                <w:color w:val="000000"/>
                <w:sz w:val="20"/>
                <w:szCs w:val="20"/>
              </w:rPr>
            </w:pPr>
            <w:r w:rsidRPr="00230928">
              <w:rPr>
                <w:rFonts w:cs="Calibri"/>
                <w:color w:val="000000"/>
                <w:sz w:val="20"/>
                <w:szCs w:val="20"/>
              </w:rPr>
              <w:t>TRANZICIJSKE ZEMLJE</w:t>
            </w:r>
          </w:p>
        </w:tc>
        <w:tc>
          <w:tcPr>
            <w:tcW w:w="1087" w:type="dxa"/>
            <w:tcBorders>
              <w:bottom w:val="single" w:sz="8" w:space="0" w:color="000000"/>
            </w:tcBorders>
            <w:noWrap/>
          </w:tcPr>
          <w:p w:rsidR="000C1520" w:rsidRPr="00230928" w:rsidRDefault="000C1520" w:rsidP="00623771">
            <w:pPr>
              <w:spacing w:after="0" w:line="240" w:lineRule="auto"/>
              <w:jc w:val="both"/>
              <w:rPr>
                <w:rFonts w:cs="Calibri"/>
                <w:bCs/>
                <w:color w:val="000000"/>
                <w:sz w:val="20"/>
                <w:szCs w:val="20"/>
              </w:rPr>
            </w:pPr>
            <w:r w:rsidRPr="00230928">
              <w:rPr>
                <w:rFonts w:cs="Calibri"/>
                <w:bCs/>
                <w:color w:val="000000"/>
                <w:sz w:val="20"/>
                <w:szCs w:val="20"/>
              </w:rPr>
              <w:t>59</w:t>
            </w:r>
          </w:p>
        </w:tc>
        <w:tc>
          <w:tcPr>
            <w:tcW w:w="851" w:type="dxa"/>
            <w:tcBorders>
              <w:bottom w:val="single" w:sz="8" w:space="0" w:color="000000"/>
            </w:tcBorders>
            <w:noWrap/>
          </w:tcPr>
          <w:p w:rsidR="000C1520" w:rsidRPr="00230928" w:rsidRDefault="000C1520" w:rsidP="00623771">
            <w:pPr>
              <w:spacing w:after="0" w:line="240" w:lineRule="auto"/>
              <w:jc w:val="both"/>
              <w:rPr>
                <w:rFonts w:cs="Calibri"/>
                <w:bCs/>
                <w:color w:val="000000"/>
                <w:sz w:val="20"/>
                <w:szCs w:val="20"/>
              </w:rPr>
            </w:pPr>
            <w:r w:rsidRPr="00230928">
              <w:rPr>
                <w:rFonts w:cs="Calibri"/>
                <w:bCs/>
                <w:color w:val="000000"/>
                <w:sz w:val="20"/>
                <w:szCs w:val="20"/>
              </w:rPr>
              <w:t>79</w:t>
            </w:r>
          </w:p>
        </w:tc>
        <w:tc>
          <w:tcPr>
            <w:tcW w:w="913" w:type="dxa"/>
            <w:tcBorders>
              <w:bottom w:val="single" w:sz="8" w:space="0" w:color="000000"/>
            </w:tcBorders>
            <w:noWrap/>
          </w:tcPr>
          <w:p w:rsidR="000C1520" w:rsidRPr="00230928" w:rsidRDefault="000C1520" w:rsidP="00623771">
            <w:pPr>
              <w:spacing w:after="0" w:line="240" w:lineRule="auto"/>
              <w:jc w:val="both"/>
              <w:rPr>
                <w:rFonts w:cs="Calibri"/>
                <w:bCs/>
                <w:color w:val="000000"/>
                <w:sz w:val="20"/>
                <w:szCs w:val="20"/>
              </w:rPr>
            </w:pPr>
            <w:r w:rsidRPr="00230928">
              <w:rPr>
                <w:rFonts w:cs="Calibri"/>
                <w:bCs/>
                <w:color w:val="000000"/>
                <w:sz w:val="20"/>
                <w:szCs w:val="20"/>
              </w:rPr>
              <w:t>72</w:t>
            </w:r>
          </w:p>
        </w:tc>
        <w:tc>
          <w:tcPr>
            <w:tcW w:w="663" w:type="dxa"/>
            <w:tcBorders>
              <w:bottom w:val="single" w:sz="8" w:space="0" w:color="000000"/>
            </w:tcBorders>
            <w:noWrap/>
          </w:tcPr>
          <w:p w:rsidR="000C1520" w:rsidRPr="00230928" w:rsidRDefault="000C1520" w:rsidP="00623771">
            <w:pPr>
              <w:spacing w:after="0" w:line="240" w:lineRule="auto"/>
              <w:jc w:val="both"/>
              <w:rPr>
                <w:rFonts w:cs="Calibri"/>
                <w:bCs/>
                <w:color w:val="000000"/>
                <w:sz w:val="20"/>
                <w:szCs w:val="20"/>
              </w:rPr>
            </w:pPr>
            <w:r w:rsidRPr="00230928">
              <w:rPr>
                <w:rFonts w:cs="Calibri"/>
                <w:bCs/>
                <w:color w:val="000000"/>
                <w:sz w:val="20"/>
                <w:szCs w:val="20"/>
              </w:rPr>
              <w:t>74</w:t>
            </w:r>
          </w:p>
        </w:tc>
        <w:tc>
          <w:tcPr>
            <w:tcW w:w="663" w:type="dxa"/>
            <w:tcBorders>
              <w:bottom w:val="single" w:sz="8" w:space="0" w:color="000000"/>
            </w:tcBorders>
            <w:noWrap/>
          </w:tcPr>
          <w:p w:rsidR="000C1520" w:rsidRPr="00230928" w:rsidRDefault="000C1520" w:rsidP="00623771">
            <w:pPr>
              <w:spacing w:after="0" w:line="240" w:lineRule="auto"/>
              <w:jc w:val="both"/>
              <w:rPr>
                <w:rFonts w:cs="Calibri"/>
                <w:bCs/>
                <w:color w:val="000000"/>
                <w:sz w:val="20"/>
                <w:szCs w:val="20"/>
              </w:rPr>
            </w:pPr>
            <w:r w:rsidRPr="00230928">
              <w:rPr>
                <w:rFonts w:cs="Calibri"/>
                <w:bCs/>
                <w:color w:val="000000"/>
                <w:sz w:val="20"/>
                <w:szCs w:val="20"/>
              </w:rPr>
              <w:t>92</w:t>
            </w:r>
          </w:p>
        </w:tc>
        <w:tc>
          <w:tcPr>
            <w:tcW w:w="1022" w:type="dxa"/>
            <w:tcBorders>
              <w:bottom w:val="single" w:sz="8" w:space="0" w:color="000000"/>
            </w:tcBorders>
            <w:noWrap/>
          </w:tcPr>
          <w:p w:rsidR="000C1520" w:rsidRPr="00230928" w:rsidRDefault="000C1520" w:rsidP="00623771">
            <w:pPr>
              <w:spacing w:after="0" w:line="240" w:lineRule="auto"/>
              <w:jc w:val="both"/>
              <w:rPr>
                <w:rFonts w:cs="Calibri"/>
                <w:bCs/>
                <w:color w:val="000000"/>
                <w:sz w:val="20"/>
                <w:szCs w:val="20"/>
              </w:rPr>
            </w:pPr>
            <w:r w:rsidRPr="00230928">
              <w:rPr>
                <w:rFonts w:cs="Calibri"/>
                <w:bCs/>
                <w:color w:val="000000"/>
                <w:sz w:val="20"/>
                <w:szCs w:val="20"/>
              </w:rPr>
              <w:t>90-110</w:t>
            </w:r>
          </w:p>
        </w:tc>
        <w:tc>
          <w:tcPr>
            <w:tcW w:w="1134" w:type="dxa"/>
            <w:tcBorders>
              <w:bottom w:val="single" w:sz="8" w:space="0" w:color="000000"/>
            </w:tcBorders>
            <w:noWrap/>
          </w:tcPr>
          <w:p w:rsidR="000C1520" w:rsidRPr="00230928" w:rsidRDefault="000C1520" w:rsidP="00623771">
            <w:pPr>
              <w:spacing w:after="0" w:line="240" w:lineRule="auto"/>
              <w:jc w:val="both"/>
              <w:rPr>
                <w:rFonts w:cs="Calibri"/>
                <w:bCs/>
                <w:color w:val="000000"/>
                <w:sz w:val="20"/>
                <w:szCs w:val="20"/>
              </w:rPr>
            </w:pPr>
            <w:r w:rsidRPr="00230928">
              <w:rPr>
                <w:rFonts w:cs="Calibri"/>
                <w:bCs/>
                <w:color w:val="000000"/>
                <w:sz w:val="20"/>
                <w:szCs w:val="20"/>
              </w:rPr>
              <w:t>100-130</w:t>
            </w:r>
          </w:p>
        </w:tc>
        <w:tc>
          <w:tcPr>
            <w:tcW w:w="992" w:type="dxa"/>
            <w:tcBorders>
              <w:bottom w:val="single" w:sz="8" w:space="0" w:color="000000"/>
            </w:tcBorders>
            <w:noWrap/>
          </w:tcPr>
          <w:p w:rsidR="000C1520" w:rsidRPr="00230928" w:rsidRDefault="000C1520" w:rsidP="00623771">
            <w:pPr>
              <w:spacing w:after="0" w:line="240" w:lineRule="auto"/>
              <w:jc w:val="both"/>
              <w:rPr>
                <w:rFonts w:cs="Calibri"/>
                <w:bCs/>
                <w:color w:val="000000"/>
                <w:sz w:val="20"/>
                <w:szCs w:val="20"/>
              </w:rPr>
            </w:pPr>
            <w:r w:rsidRPr="00230928">
              <w:rPr>
                <w:rFonts w:cs="Calibri"/>
                <w:bCs/>
                <w:color w:val="000000"/>
                <w:sz w:val="20"/>
                <w:szCs w:val="20"/>
              </w:rPr>
              <w:t>11-150</w:t>
            </w:r>
          </w:p>
        </w:tc>
      </w:tr>
    </w:tbl>
    <w:p w:rsidR="000C1520" w:rsidRPr="00F9383D" w:rsidRDefault="000C1520" w:rsidP="00F805B8">
      <w:pPr>
        <w:jc w:val="both"/>
        <w:rPr>
          <w:rFonts w:cs="Calibri"/>
          <w:i/>
          <w:sz w:val="20"/>
          <w:szCs w:val="20"/>
        </w:rPr>
      </w:pPr>
      <w:r w:rsidRPr="00592D7A">
        <w:rPr>
          <w:rFonts w:cs="Calibri"/>
          <w:b/>
          <w:i/>
          <w:sz w:val="20"/>
          <w:szCs w:val="20"/>
        </w:rPr>
        <w:t>Izvor:</w:t>
      </w:r>
      <w:r w:rsidRPr="00F9383D">
        <w:rPr>
          <w:rFonts w:cs="Calibri"/>
          <w:i/>
          <w:sz w:val="20"/>
          <w:szCs w:val="20"/>
        </w:rPr>
        <w:t xml:space="preserve"> UNCTA</w:t>
      </w:r>
      <w:r w:rsidR="006D2356">
        <w:rPr>
          <w:rFonts w:cs="Calibri"/>
          <w:i/>
          <w:sz w:val="20"/>
          <w:szCs w:val="20"/>
        </w:rPr>
        <w:t xml:space="preserve">D, World </w:t>
      </w:r>
      <w:proofErr w:type="spellStart"/>
      <w:r w:rsidR="006D2356">
        <w:rPr>
          <w:rFonts w:cs="Calibri"/>
          <w:i/>
          <w:sz w:val="20"/>
          <w:szCs w:val="20"/>
        </w:rPr>
        <w:t>Investment</w:t>
      </w:r>
      <w:proofErr w:type="spellEnd"/>
      <w:r w:rsidR="006D2356">
        <w:rPr>
          <w:rFonts w:cs="Calibri"/>
          <w:i/>
          <w:sz w:val="20"/>
          <w:szCs w:val="20"/>
        </w:rPr>
        <w:t xml:space="preserve"> </w:t>
      </w:r>
      <w:proofErr w:type="spellStart"/>
      <w:r w:rsidR="006D2356">
        <w:rPr>
          <w:rFonts w:cs="Calibri"/>
          <w:i/>
          <w:sz w:val="20"/>
          <w:szCs w:val="20"/>
        </w:rPr>
        <w:t>Report</w:t>
      </w:r>
      <w:proofErr w:type="spellEnd"/>
      <w:r w:rsidR="006D2356">
        <w:rPr>
          <w:rFonts w:cs="Calibri"/>
          <w:i/>
          <w:sz w:val="20"/>
          <w:szCs w:val="20"/>
        </w:rPr>
        <w:t xml:space="preserve"> 2012.</w:t>
      </w:r>
    </w:p>
    <w:p w:rsidR="000C1520" w:rsidRPr="00636499" w:rsidRDefault="000C1520" w:rsidP="00FB16AD">
      <w:pPr>
        <w:spacing w:line="360" w:lineRule="auto"/>
        <w:jc w:val="both"/>
        <w:rPr>
          <w:rFonts w:cs="Calibri"/>
        </w:rPr>
      </w:pPr>
      <w:r w:rsidRPr="00636499">
        <w:rPr>
          <w:rFonts w:cs="Calibri"/>
        </w:rPr>
        <w:t xml:space="preserve">Ukupni priljev izravnih stranih investicija u 2011. godini zabilježio je rast od 16% </w:t>
      </w:r>
      <w:r>
        <w:rPr>
          <w:rFonts w:cs="Calibri"/>
        </w:rPr>
        <w:t>u odnosu na prethodnu godinu, što je</w:t>
      </w:r>
      <w:r w:rsidRPr="00636499">
        <w:rPr>
          <w:rFonts w:cs="Calibri"/>
        </w:rPr>
        <w:t xml:space="preserve"> posljedica rastućih profita multinacionalnih kompanija kao i relativnog visokog gospodarskog rasta u zemljama u razvoju. Ukupne izravne strane investicije u 2011. godini dosegnule su razinu od 20,4 trilijuna dolara i u promatranom razdoblju zabilježile ra</w:t>
      </w:r>
      <w:r>
        <w:rPr>
          <w:rFonts w:cs="Calibri"/>
        </w:rPr>
        <w:t>st od 12% u zemljama</w:t>
      </w:r>
      <w:r w:rsidRPr="00636499">
        <w:rPr>
          <w:rFonts w:cs="Calibri"/>
        </w:rPr>
        <w:t xml:space="preserve"> u razvoju i tranzicijskim zemljama</w:t>
      </w:r>
      <w:r>
        <w:rPr>
          <w:rFonts w:cs="Calibri"/>
        </w:rPr>
        <w:t>,</w:t>
      </w:r>
      <w:r w:rsidRPr="00636499">
        <w:rPr>
          <w:rFonts w:cs="Calibri"/>
        </w:rPr>
        <w:t xml:space="preserve"> i to većinom kao poslj</w:t>
      </w:r>
      <w:r>
        <w:rPr>
          <w:rFonts w:cs="Calibri"/>
        </w:rPr>
        <w:t xml:space="preserve">edica rasta broja realiziranih </w:t>
      </w:r>
      <w:proofErr w:type="spellStart"/>
      <w:r w:rsidRPr="00597A43">
        <w:rPr>
          <w:rFonts w:cs="Calibri"/>
          <w:i/>
        </w:rPr>
        <w:t>greenfield</w:t>
      </w:r>
      <w:proofErr w:type="spellEnd"/>
      <w:r w:rsidRPr="00636499">
        <w:rPr>
          <w:rFonts w:cs="Calibri"/>
        </w:rPr>
        <w:t xml:space="preserve"> projekata. Također, razvijene zemlje bilježe rast investicija (21% u odnosu na 2010.) većinom kao posljedicu povećanja preuzimanja i spajanja veli</w:t>
      </w:r>
      <w:r>
        <w:rPr>
          <w:rFonts w:cs="Calibri"/>
        </w:rPr>
        <w:t xml:space="preserve">kih multinacionalnih kompanija. </w:t>
      </w:r>
      <w:r w:rsidRPr="00636499">
        <w:rPr>
          <w:rFonts w:cs="Calibri"/>
        </w:rPr>
        <w:t>U usporedbi s prosječnom vrijednošću izravnih stranih investicija u razdoblju prije krize (2005</w:t>
      </w:r>
      <w:r>
        <w:rPr>
          <w:rFonts w:cs="Calibri"/>
        </w:rPr>
        <w:t xml:space="preserve">. – </w:t>
      </w:r>
      <w:r w:rsidRPr="00636499">
        <w:rPr>
          <w:rFonts w:cs="Calibri"/>
        </w:rPr>
        <w:t>2007</w:t>
      </w:r>
      <w:r>
        <w:rPr>
          <w:rFonts w:cs="Calibri"/>
        </w:rPr>
        <w:t>.</w:t>
      </w:r>
      <w:r w:rsidRPr="00636499">
        <w:rPr>
          <w:rFonts w:cs="Calibri"/>
        </w:rPr>
        <w:t>)</w:t>
      </w:r>
      <w:r>
        <w:rPr>
          <w:rFonts w:cs="Calibri"/>
        </w:rPr>
        <w:t>,</w:t>
      </w:r>
      <w:r w:rsidRPr="00636499">
        <w:rPr>
          <w:rFonts w:cs="Calibri"/>
        </w:rPr>
        <w:t xml:space="preserve"> vrijednost investicija u prerađivačkoj industriji bilježi rast. Također, rast bilježe i investicije u p</w:t>
      </w:r>
      <w:r>
        <w:rPr>
          <w:rFonts w:cs="Calibri"/>
        </w:rPr>
        <w:t>rimarni sektor dok investicije</w:t>
      </w:r>
      <w:r w:rsidRPr="00636499">
        <w:rPr>
          <w:rFonts w:cs="Calibri"/>
        </w:rPr>
        <w:t xml:space="preserve"> u uslužni sektor nisu dostigle razinu iz razdoblja prije krize. </w:t>
      </w:r>
    </w:p>
    <w:p w:rsidR="000C1520" w:rsidRPr="00636499" w:rsidRDefault="000C1520" w:rsidP="00974D87">
      <w:pPr>
        <w:spacing w:after="0"/>
        <w:jc w:val="both"/>
        <w:rPr>
          <w:rFonts w:cs="Calibri"/>
          <w:i/>
        </w:rPr>
      </w:pPr>
      <w:r w:rsidRPr="00247E22">
        <w:rPr>
          <w:rFonts w:cs="Calibri"/>
          <w:b/>
          <w:i/>
        </w:rPr>
        <w:t xml:space="preserve">Tablica </w:t>
      </w:r>
      <w:r>
        <w:rPr>
          <w:rFonts w:cs="Calibri"/>
          <w:b/>
          <w:i/>
        </w:rPr>
        <w:t>2</w:t>
      </w:r>
      <w:r w:rsidRPr="00247E22">
        <w:rPr>
          <w:rFonts w:cs="Calibri"/>
          <w:b/>
          <w:i/>
        </w:rPr>
        <w:t>.</w:t>
      </w:r>
      <w:r w:rsidRPr="00636499">
        <w:rPr>
          <w:rFonts w:cs="Calibri"/>
          <w:i/>
        </w:rPr>
        <w:t xml:space="preserve"> Kretanja izravnih stranih investicija po sektorima</w:t>
      </w:r>
    </w:p>
    <w:tbl>
      <w:tblPr>
        <w:tblW w:w="9180"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837"/>
        <w:gridCol w:w="949"/>
        <w:gridCol w:w="2195"/>
        <w:gridCol w:w="2199"/>
      </w:tblGrid>
      <w:tr w:rsidR="000C1520" w:rsidRPr="00623771" w:rsidTr="00623771">
        <w:trPr>
          <w:trHeight w:val="491"/>
        </w:trPr>
        <w:tc>
          <w:tcPr>
            <w:tcW w:w="9180" w:type="dxa"/>
            <w:gridSpan w:val="4"/>
            <w:tcBorders>
              <w:top w:val="single" w:sz="8" w:space="0" w:color="4F81BD"/>
            </w:tcBorders>
            <w:shd w:val="clear" w:color="auto" w:fill="C6D9F1"/>
            <w:noWrap/>
          </w:tcPr>
          <w:p w:rsidR="000C1520" w:rsidRPr="00623771" w:rsidRDefault="000C1520" w:rsidP="00623771">
            <w:pPr>
              <w:spacing w:after="0" w:line="240" w:lineRule="auto"/>
              <w:jc w:val="both"/>
              <w:rPr>
                <w:rFonts w:cs="Calibri"/>
                <w:b/>
                <w:bCs/>
                <w:color w:val="FFFFFF"/>
              </w:rPr>
            </w:pPr>
            <w:r w:rsidRPr="00623771">
              <w:rPr>
                <w:rFonts w:cs="Calibri"/>
                <w:b/>
                <w:color w:val="000000"/>
              </w:rPr>
              <w:t>RASPODJELA RASTA IZRAVNIH STRANIH INVESTICIJA PO SEKTORIMA, 2011. (%)</w:t>
            </w:r>
          </w:p>
        </w:tc>
      </w:tr>
      <w:tr w:rsidR="000C1520" w:rsidRPr="00623771" w:rsidTr="00623771">
        <w:trPr>
          <w:trHeight w:val="315"/>
        </w:trPr>
        <w:tc>
          <w:tcPr>
            <w:tcW w:w="3837" w:type="dxa"/>
            <w:vMerge w:val="restart"/>
            <w:tcBorders>
              <w:top w:val="single" w:sz="8" w:space="0" w:color="4F81BD"/>
              <w:bottom w:val="single" w:sz="8" w:space="0" w:color="4F81BD"/>
            </w:tcBorders>
            <w:noWrap/>
          </w:tcPr>
          <w:p w:rsidR="000C1520" w:rsidRPr="00230928" w:rsidRDefault="000C1520" w:rsidP="00623771">
            <w:pPr>
              <w:spacing w:after="0" w:line="240" w:lineRule="auto"/>
              <w:jc w:val="both"/>
              <w:rPr>
                <w:rFonts w:cs="Calibri"/>
                <w:b/>
                <w:bCs/>
                <w:color w:val="000000"/>
                <w:sz w:val="20"/>
                <w:szCs w:val="20"/>
              </w:rPr>
            </w:pPr>
            <w:r w:rsidRPr="00230928">
              <w:rPr>
                <w:rFonts w:cs="Calibri"/>
                <w:color w:val="000000"/>
                <w:sz w:val="20"/>
                <w:szCs w:val="20"/>
              </w:rPr>
              <w:t>SEKTOR/INDUSTRIJA</w:t>
            </w:r>
          </w:p>
        </w:tc>
        <w:tc>
          <w:tcPr>
            <w:tcW w:w="949" w:type="dxa"/>
            <w:vMerge w:val="restart"/>
            <w:tcBorders>
              <w:top w:val="single" w:sz="8" w:space="0" w:color="4F81BD"/>
              <w:bottom w:val="single" w:sz="8" w:space="0" w:color="4F81BD"/>
            </w:tcBorders>
            <w:noWrap/>
          </w:tcPr>
          <w:p w:rsidR="000C1520" w:rsidRPr="00230928" w:rsidRDefault="000C1520" w:rsidP="00623771">
            <w:pPr>
              <w:spacing w:after="0" w:line="240" w:lineRule="auto"/>
              <w:jc w:val="both"/>
              <w:rPr>
                <w:rFonts w:cs="Calibri"/>
                <w:b/>
                <w:bCs/>
                <w:color w:val="000000"/>
                <w:sz w:val="20"/>
                <w:szCs w:val="20"/>
              </w:rPr>
            </w:pPr>
            <w:r w:rsidRPr="00230928">
              <w:rPr>
                <w:rFonts w:cs="Calibri"/>
                <w:b/>
                <w:bCs/>
                <w:color w:val="000000"/>
                <w:sz w:val="20"/>
                <w:szCs w:val="20"/>
              </w:rPr>
              <w:t>UDIO</w:t>
            </w:r>
          </w:p>
        </w:tc>
        <w:tc>
          <w:tcPr>
            <w:tcW w:w="4394" w:type="dxa"/>
            <w:gridSpan w:val="2"/>
            <w:tcBorders>
              <w:top w:val="single" w:sz="8" w:space="0" w:color="4F81BD"/>
              <w:bottom w:val="single" w:sz="8" w:space="0" w:color="4F81BD"/>
            </w:tcBorders>
            <w:noWrap/>
          </w:tcPr>
          <w:p w:rsidR="000C1520" w:rsidRPr="00230928" w:rsidRDefault="000C1520" w:rsidP="00623771">
            <w:pPr>
              <w:spacing w:after="0" w:line="240" w:lineRule="auto"/>
              <w:jc w:val="both"/>
              <w:rPr>
                <w:rFonts w:cs="Calibri"/>
                <w:b/>
                <w:bCs/>
                <w:color w:val="000000"/>
                <w:sz w:val="20"/>
                <w:szCs w:val="20"/>
              </w:rPr>
            </w:pPr>
            <w:r w:rsidRPr="00230928">
              <w:rPr>
                <w:rFonts w:cs="Calibri"/>
                <w:b/>
                <w:bCs/>
                <w:color w:val="000000"/>
                <w:sz w:val="20"/>
                <w:szCs w:val="20"/>
              </w:rPr>
              <w:t>STOPA RASTA</w:t>
            </w:r>
          </w:p>
        </w:tc>
      </w:tr>
      <w:tr w:rsidR="000C1520" w:rsidRPr="00623771" w:rsidTr="00623771">
        <w:trPr>
          <w:trHeight w:val="615"/>
        </w:trPr>
        <w:tc>
          <w:tcPr>
            <w:tcW w:w="3837" w:type="dxa"/>
            <w:vMerge/>
          </w:tcPr>
          <w:p w:rsidR="000C1520" w:rsidRPr="00230928" w:rsidRDefault="000C1520" w:rsidP="00623771">
            <w:pPr>
              <w:spacing w:after="0" w:line="240" w:lineRule="auto"/>
              <w:jc w:val="both"/>
              <w:rPr>
                <w:rFonts w:cs="Calibri"/>
                <w:b/>
                <w:bCs/>
                <w:color w:val="000000"/>
                <w:sz w:val="20"/>
                <w:szCs w:val="20"/>
              </w:rPr>
            </w:pPr>
          </w:p>
        </w:tc>
        <w:tc>
          <w:tcPr>
            <w:tcW w:w="949" w:type="dxa"/>
            <w:vMerge/>
          </w:tcPr>
          <w:p w:rsidR="000C1520" w:rsidRPr="00230928" w:rsidRDefault="000C1520" w:rsidP="00623771">
            <w:pPr>
              <w:spacing w:after="0" w:line="240" w:lineRule="auto"/>
              <w:jc w:val="both"/>
              <w:rPr>
                <w:rFonts w:cs="Calibri"/>
                <w:b/>
                <w:bCs/>
                <w:color w:val="000000"/>
                <w:sz w:val="20"/>
                <w:szCs w:val="20"/>
              </w:rPr>
            </w:pPr>
          </w:p>
        </w:tc>
        <w:tc>
          <w:tcPr>
            <w:tcW w:w="2195" w:type="dxa"/>
          </w:tcPr>
          <w:p w:rsidR="000C1520" w:rsidRPr="00230928" w:rsidRDefault="000C1520" w:rsidP="00623771">
            <w:pPr>
              <w:spacing w:after="0" w:line="240" w:lineRule="auto"/>
              <w:jc w:val="both"/>
              <w:rPr>
                <w:rFonts w:cs="Calibri"/>
                <w:b/>
                <w:bCs/>
                <w:color w:val="000000"/>
                <w:sz w:val="20"/>
                <w:szCs w:val="20"/>
              </w:rPr>
            </w:pPr>
            <w:r w:rsidRPr="00230928">
              <w:rPr>
                <w:rFonts w:cs="Calibri"/>
                <w:b/>
                <w:bCs/>
                <w:color w:val="000000"/>
                <w:sz w:val="20"/>
                <w:szCs w:val="20"/>
              </w:rPr>
              <w:t>2011. u usporedbi s 2010.</w:t>
            </w:r>
          </w:p>
        </w:tc>
        <w:tc>
          <w:tcPr>
            <w:tcW w:w="2199" w:type="dxa"/>
          </w:tcPr>
          <w:p w:rsidR="000C1520" w:rsidRPr="00230928" w:rsidRDefault="000C1520" w:rsidP="00623771">
            <w:pPr>
              <w:spacing w:after="0" w:line="240" w:lineRule="auto"/>
              <w:jc w:val="both"/>
              <w:rPr>
                <w:rFonts w:cs="Calibri"/>
                <w:b/>
                <w:bCs/>
                <w:color w:val="000000"/>
                <w:sz w:val="20"/>
                <w:szCs w:val="20"/>
              </w:rPr>
            </w:pPr>
            <w:r w:rsidRPr="00230928">
              <w:rPr>
                <w:rFonts w:cs="Calibri"/>
                <w:b/>
                <w:bCs/>
                <w:color w:val="000000"/>
                <w:sz w:val="20"/>
                <w:szCs w:val="20"/>
              </w:rPr>
              <w:t xml:space="preserve">2011. u usporedbi s prosjekom (2005. -2007. ) </w:t>
            </w:r>
          </w:p>
        </w:tc>
      </w:tr>
      <w:tr w:rsidR="000C1520" w:rsidRPr="00623771" w:rsidTr="00623771">
        <w:trPr>
          <w:trHeight w:val="315"/>
        </w:trPr>
        <w:tc>
          <w:tcPr>
            <w:tcW w:w="3837" w:type="dxa"/>
            <w:tcBorders>
              <w:top w:val="single" w:sz="8" w:space="0" w:color="4F81BD"/>
              <w:bottom w:val="single" w:sz="8" w:space="0" w:color="4F81BD"/>
            </w:tcBorders>
          </w:tcPr>
          <w:p w:rsidR="000C1520" w:rsidRPr="00230928" w:rsidRDefault="000C1520" w:rsidP="00623771">
            <w:pPr>
              <w:spacing w:after="0" w:line="240" w:lineRule="auto"/>
              <w:jc w:val="both"/>
              <w:rPr>
                <w:rFonts w:cs="Calibri"/>
                <w:b/>
                <w:bCs/>
                <w:color w:val="000000"/>
                <w:sz w:val="20"/>
                <w:szCs w:val="20"/>
              </w:rPr>
            </w:pPr>
            <w:r w:rsidRPr="00230928">
              <w:rPr>
                <w:rFonts w:cs="Calibri"/>
                <w:color w:val="000000"/>
                <w:sz w:val="20"/>
                <w:szCs w:val="20"/>
              </w:rPr>
              <w:t>UKUPNO</w:t>
            </w:r>
          </w:p>
        </w:tc>
        <w:tc>
          <w:tcPr>
            <w:tcW w:w="949" w:type="dxa"/>
            <w:tcBorders>
              <w:top w:val="single" w:sz="8" w:space="0" w:color="4F81BD"/>
              <w:bottom w:val="single" w:sz="8" w:space="0" w:color="4F81BD"/>
            </w:tcBorders>
            <w:noWrap/>
          </w:tcPr>
          <w:p w:rsidR="000C1520" w:rsidRPr="00230928" w:rsidRDefault="000C1520" w:rsidP="00623771">
            <w:pPr>
              <w:spacing w:after="0" w:line="240" w:lineRule="auto"/>
              <w:jc w:val="both"/>
              <w:rPr>
                <w:rFonts w:cs="Calibri"/>
                <w:b/>
                <w:bCs/>
                <w:color w:val="000000"/>
                <w:sz w:val="20"/>
                <w:szCs w:val="20"/>
              </w:rPr>
            </w:pPr>
            <w:r w:rsidRPr="00230928">
              <w:rPr>
                <w:rFonts w:cs="Calibri"/>
                <w:b/>
                <w:bCs/>
                <w:color w:val="000000"/>
                <w:sz w:val="20"/>
                <w:szCs w:val="20"/>
              </w:rPr>
              <w:t>100</w:t>
            </w:r>
          </w:p>
        </w:tc>
        <w:tc>
          <w:tcPr>
            <w:tcW w:w="2195" w:type="dxa"/>
            <w:tcBorders>
              <w:top w:val="single" w:sz="8" w:space="0" w:color="4F81BD"/>
              <w:bottom w:val="single" w:sz="8" w:space="0" w:color="4F81BD"/>
            </w:tcBorders>
            <w:noWrap/>
          </w:tcPr>
          <w:p w:rsidR="000C1520" w:rsidRPr="00230928" w:rsidRDefault="000C1520" w:rsidP="00623771">
            <w:pPr>
              <w:spacing w:after="0" w:line="240" w:lineRule="auto"/>
              <w:jc w:val="both"/>
              <w:rPr>
                <w:rFonts w:cs="Calibri"/>
                <w:b/>
                <w:bCs/>
                <w:color w:val="000000"/>
                <w:sz w:val="20"/>
                <w:szCs w:val="20"/>
              </w:rPr>
            </w:pPr>
            <w:r w:rsidRPr="00230928">
              <w:rPr>
                <w:rFonts w:cs="Calibri"/>
                <w:b/>
                <w:bCs/>
                <w:color w:val="000000"/>
                <w:sz w:val="20"/>
                <w:szCs w:val="20"/>
              </w:rPr>
              <w:t>15</w:t>
            </w:r>
          </w:p>
        </w:tc>
        <w:tc>
          <w:tcPr>
            <w:tcW w:w="2199" w:type="dxa"/>
            <w:tcBorders>
              <w:top w:val="single" w:sz="8" w:space="0" w:color="4F81BD"/>
              <w:bottom w:val="single" w:sz="8" w:space="0" w:color="4F81BD"/>
            </w:tcBorders>
            <w:noWrap/>
          </w:tcPr>
          <w:p w:rsidR="000C1520" w:rsidRPr="00230928" w:rsidRDefault="000C1520" w:rsidP="00623771">
            <w:pPr>
              <w:spacing w:after="0" w:line="240" w:lineRule="auto"/>
              <w:jc w:val="both"/>
              <w:rPr>
                <w:rFonts w:cs="Calibri"/>
                <w:b/>
                <w:bCs/>
                <w:color w:val="000000"/>
                <w:sz w:val="20"/>
                <w:szCs w:val="20"/>
              </w:rPr>
            </w:pPr>
            <w:r w:rsidRPr="00230928">
              <w:rPr>
                <w:rFonts w:cs="Calibri"/>
                <w:b/>
                <w:bCs/>
                <w:color w:val="000000"/>
                <w:sz w:val="20"/>
                <w:szCs w:val="20"/>
              </w:rPr>
              <w:t>-12</w:t>
            </w:r>
          </w:p>
        </w:tc>
      </w:tr>
      <w:tr w:rsidR="000C1520" w:rsidRPr="00623771" w:rsidTr="00623771">
        <w:trPr>
          <w:trHeight w:val="315"/>
        </w:trPr>
        <w:tc>
          <w:tcPr>
            <w:tcW w:w="3837" w:type="dxa"/>
            <w:noWrap/>
          </w:tcPr>
          <w:p w:rsidR="000C1520" w:rsidRPr="00230928" w:rsidRDefault="000C1520" w:rsidP="00623771">
            <w:pPr>
              <w:spacing w:after="0" w:line="240" w:lineRule="auto"/>
              <w:jc w:val="both"/>
              <w:rPr>
                <w:rFonts w:cs="Calibri"/>
                <w:b/>
                <w:bCs/>
                <w:color w:val="000000"/>
                <w:sz w:val="20"/>
                <w:szCs w:val="20"/>
              </w:rPr>
            </w:pPr>
            <w:r w:rsidRPr="00230928">
              <w:rPr>
                <w:rFonts w:cs="Calibri"/>
                <w:color w:val="000000"/>
                <w:sz w:val="20"/>
                <w:szCs w:val="20"/>
              </w:rPr>
              <w:t>PRIMARNA INDUSTRIJA</w:t>
            </w:r>
          </w:p>
        </w:tc>
        <w:tc>
          <w:tcPr>
            <w:tcW w:w="949" w:type="dxa"/>
            <w:noWrap/>
          </w:tcPr>
          <w:p w:rsidR="000C1520" w:rsidRPr="00230928" w:rsidRDefault="000C1520" w:rsidP="00623771">
            <w:pPr>
              <w:spacing w:after="0" w:line="240" w:lineRule="auto"/>
              <w:jc w:val="both"/>
              <w:rPr>
                <w:rFonts w:cs="Calibri"/>
                <w:b/>
                <w:bCs/>
                <w:color w:val="000000"/>
                <w:sz w:val="20"/>
                <w:szCs w:val="20"/>
              </w:rPr>
            </w:pPr>
            <w:r w:rsidRPr="00230928">
              <w:rPr>
                <w:rFonts w:cs="Calibri"/>
                <w:b/>
                <w:bCs/>
                <w:color w:val="000000"/>
                <w:sz w:val="20"/>
                <w:szCs w:val="20"/>
              </w:rPr>
              <w:t>14</w:t>
            </w:r>
          </w:p>
        </w:tc>
        <w:tc>
          <w:tcPr>
            <w:tcW w:w="2195" w:type="dxa"/>
            <w:noWrap/>
          </w:tcPr>
          <w:p w:rsidR="000C1520" w:rsidRPr="00230928" w:rsidRDefault="000C1520" w:rsidP="00623771">
            <w:pPr>
              <w:spacing w:after="0" w:line="240" w:lineRule="auto"/>
              <w:jc w:val="both"/>
              <w:rPr>
                <w:rFonts w:cs="Calibri"/>
                <w:b/>
                <w:bCs/>
                <w:color w:val="000000"/>
                <w:sz w:val="20"/>
                <w:szCs w:val="20"/>
              </w:rPr>
            </w:pPr>
            <w:r w:rsidRPr="00230928">
              <w:rPr>
                <w:rFonts w:cs="Calibri"/>
                <w:b/>
                <w:bCs/>
                <w:color w:val="000000"/>
                <w:sz w:val="20"/>
                <w:szCs w:val="20"/>
              </w:rPr>
              <w:t>46</w:t>
            </w:r>
          </w:p>
        </w:tc>
        <w:tc>
          <w:tcPr>
            <w:tcW w:w="2199" w:type="dxa"/>
            <w:noWrap/>
          </w:tcPr>
          <w:p w:rsidR="000C1520" w:rsidRPr="00230928" w:rsidRDefault="000C1520" w:rsidP="00623771">
            <w:pPr>
              <w:spacing w:after="0" w:line="240" w:lineRule="auto"/>
              <w:jc w:val="both"/>
              <w:rPr>
                <w:rFonts w:cs="Calibri"/>
                <w:b/>
                <w:bCs/>
                <w:color w:val="000000"/>
                <w:sz w:val="20"/>
                <w:szCs w:val="20"/>
              </w:rPr>
            </w:pPr>
            <w:r w:rsidRPr="00230928">
              <w:rPr>
                <w:rFonts w:cs="Calibri"/>
                <w:b/>
                <w:bCs/>
                <w:color w:val="000000"/>
                <w:sz w:val="20"/>
                <w:szCs w:val="20"/>
              </w:rPr>
              <w:t>50</w:t>
            </w:r>
          </w:p>
        </w:tc>
      </w:tr>
      <w:tr w:rsidR="000C1520" w:rsidRPr="00623771" w:rsidTr="00623771">
        <w:trPr>
          <w:trHeight w:val="315"/>
        </w:trPr>
        <w:tc>
          <w:tcPr>
            <w:tcW w:w="3837" w:type="dxa"/>
            <w:tcBorders>
              <w:top w:val="single" w:sz="8" w:space="0" w:color="4F81BD"/>
              <w:bottom w:val="single" w:sz="8" w:space="0" w:color="4F81BD"/>
            </w:tcBorders>
            <w:noWrap/>
          </w:tcPr>
          <w:p w:rsidR="000C1520" w:rsidRPr="00230928" w:rsidRDefault="000C1520" w:rsidP="00623771">
            <w:pPr>
              <w:spacing w:after="0" w:line="240" w:lineRule="auto"/>
              <w:jc w:val="both"/>
              <w:rPr>
                <w:rFonts w:cs="Calibri"/>
                <w:b/>
                <w:bCs/>
                <w:color w:val="000000"/>
                <w:sz w:val="20"/>
                <w:szCs w:val="20"/>
              </w:rPr>
            </w:pPr>
            <w:r w:rsidRPr="00230928">
              <w:rPr>
                <w:rFonts w:cs="Calibri"/>
                <w:b/>
                <w:bCs/>
                <w:color w:val="000000"/>
                <w:sz w:val="20"/>
                <w:szCs w:val="20"/>
              </w:rPr>
              <w:t>Rudarstvo</w:t>
            </w:r>
          </w:p>
        </w:tc>
        <w:tc>
          <w:tcPr>
            <w:tcW w:w="949" w:type="dxa"/>
            <w:tcBorders>
              <w:top w:val="single" w:sz="8" w:space="0" w:color="4F81BD"/>
              <w:bottom w:val="single" w:sz="8" w:space="0" w:color="4F81BD"/>
            </w:tcBorders>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14</w:t>
            </w:r>
          </w:p>
        </w:tc>
        <w:tc>
          <w:tcPr>
            <w:tcW w:w="2195" w:type="dxa"/>
            <w:tcBorders>
              <w:top w:val="single" w:sz="8" w:space="0" w:color="4F81BD"/>
              <w:bottom w:val="single" w:sz="8" w:space="0" w:color="4F81BD"/>
            </w:tcBorders>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51</w:t>
            </w:r>
          </w:p>
        </w:tc>
        <w:tc>
          <w:tcPr>
            <w:tcW w:w="2199" w:type="dxa"/>
            <w:tcBorders>
              <w:top w:val="single" w:sz="8" w:space="0" w:color="4F81BD"/>
              <w:bottom w:val="single" w:sz="8" w:space="0" w:color="4F81BD"/>
            </w:tcBorders>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53</w:t>
            </w:r>
          </w:p>
        </w:tc>
      </w:tr>
      <w:tr w:rsidR="000C1520" w:rsidRPr="00623771" w:rsidTr="00623771">
        <w:trPr>
          <w:trHeight w:val="315"/>
        </w:trPr>
        <w:tc>
          <w:tcPr>
            <w:tcW w:w="3837" w:type="dxa"/>
            <w:noWrap/>
          </w:tcPr>
          <w:p w:rsidR="000C1520" w:rsidRPr="00230928" w:rsidRDefault="000C1520" w:rsidP="00623771">
            <w:pPr>
              <w:spacing w:after="0" w:line="240" w:lineRule="auto"/>
              <w:jc w:val="both"/>
              <w:rPr>
                <w:rFonts w:cs="Calibri"/>
                <w:b/>
                <w:bCs/>
                <w:color w:val="000000"/>
                <w:sz w:val="20"/>
                <w:szCs w:val="20"/>
              </w:rPr>
            </w:pPr>
            <w:r w:rsidRPr="00230928">
              <w:rPr>
                <w:rFonts w:cs="Calibri"/>
                <w:color w:val="000000"/>
                <w:sz w:val="20"/>
                <w:szCs w:val="20"/>
              </w:rPr>
              <w:t>PRERAĐIVAČKA INDUSTRIJA</w:t>
            </w:r>
          </w:p>
        </w:tc>
        <w:tc>
          <w:tcPr>
            <w:tcW w:w="949" w:type="dxa"/>
            <w:noWrap/>
          </w:tcPr>
          <w:p w:rsidR="000C1520" w:rsidRPr="00230928" w:rsidRDefault="000C1520" w:rsidP="00623771">
            <w:pPr>
              <w:spacing w:after="0" w:line="240" w:lineRule="auto"/>
              <w:jc w:val="both"/>
              <w:rPr>
                <w:rFonts w:cs="Calibri"/>
                <w:b/>
                <w:bCs/>
                <w:color w:val="000000"/>
                <w:sz w:val="20"/>
                <w:szCs w:val="20"/>
              </w:rPr>
            </w:pPr>
            <w:r w:rsidRPr="00230928">
              <w:rPr>
                <w:rFonts w:cs="Calibri"/>
                <w:b/>
                <w:bCs/>
                <w:color w:val="000000"/>
                <w:sz w:val="20"/>
                <w:szCs w:val="20"/>
              </w:rPr>
              <w:t>46</w:t>
            </w:r>
          </w:p>
        </w:tc>
        <w:tc>
          <w:tcPr>
            <w:tcW w:w="2195" w:type="dxa"/>
            <w:noWrap/>
          </w:tcPr>
          <w:p w:rsidR="000C1520" w:rsidRPr="00230928" w:rsidRDefault="000C1520" w:rsidP="00623771">
            <w:pPr>
              <w:spacing w:after="0" w:line="240" w:lineRule="auto"/>
              <w:jc w:val="both"/>
              <w:rPr>
                <w:rFonts w:cs="Calibri"/>
                <w:b/>
                <w:bCs/>
                <w:color w:val="000000"/>
                <w:sz w:val="20"/>
                <w:szCs w:val="20"/>
              </w:rPr>
            </w:pPr>
            <w:r w:rsidRPr="00230928">
              <w:rPr>
                <w:rFonts w:cs="Calibri"/>
                <w:b/>
                <w:bCs/>
                <w:color w:val="000000"/>
                <w:sz w:val="20"/>
                <w:szCs w:val="20"/>
              </w:rPr>
              <w:t>7</w:t>
            </w:r>
          </w:p>
        </w:tc>
        <w:tc>
          <w:tcPr>
            <w:tcW w:w="2199" w:type="dxa"/>
          </w:tcPr>
          <w:p w:rsidR="000C1520" w:rsidRPr="00230928" w:rsidRDefault="000C1520" w:rsidP="00623771">
            <w:pPr>
              <w:spacing w:after="0" w:line="240" w:lineRule="auto"/>
              <w:jc w:val="both"/>
              <w:rPr>
                <w:rFonts w:cs="Calibri"/>
                <w:b/>
                <w:bCs/>
                <w:color w:val="000000"/>
                <w:sz w:val="20"/>
                <w:szCs w:val="20"/>
              </w:rPr>
            </w:pPr>
            <w:r w:rsidRPr="00230928">
              <w:rPr>
                <w:rFonts w:cs="Calibri"/>
                <w:b/>
                <w:bCs/>
                <w:color w:val="000000"/>
                <w:sz w:val="20"/>
                <w:szCs w:val="20"/>
              </w:rPr>
              <w:t>-1</w:t>
            </w:r>
          </w:p>
        </w:tc>
      </w:tr>
      <w:tr w:rsidR="000C1520" w:rsidRPr="00623771" w:rsidTr="00623771">
        <w:trPr>
          <w:trHeight w:val="315"/>
        </w:trPr>
        <w:tc>
          <w:tcPr>
            <w:tcW w:w="3837" w:type="dxa"/>
            <w:tcBorders>
              <w:top w:val="single" w:sz="8" w:space="0" w:color="4F81BD"/>
              <w:bottom w:val="single" w:sz="8" w:space="0" w:color="4F81BD"/>
            </w:tcBorders>
            <w:noWrap/>
          </w:tcPr>
          <w:p w:rsidR="000C1520" w:rsidRPr="00230928" w:rsidRDefault="000C1520" w:rsidP="00623771">
            <w:pPr>
              <w:spacing w:after="0" w:line="240" w:lineRule="auto"/>
              <w:jc w:val="both"/>
              <w:rPr>
                <w:rFonts w:cs="Calibri"/>
                <w:b/>
                <w:bCs/>
                <w:color w:val="000000"/>
                <w:sz w:val="20"/>
                <w:szCs w:val="20"/>
              </w:rPr>
            </w:pPr>
            <w:r w:rsidRPr="00230928">
              <w:rPr>
                <w:rFonts w:cs="Calibri"/>
                <w:b/>
                <w:bCs/>
                <w:color w:val="000000"/>
                <w:sz w:val="20"/>
                <w:szCs w:val="20"/>
              </w:rPr>
              <w:t>Prehrambena industrija</w:t>
            </w:r>
          </w:p>
        </w:tc>
        <w:tc>
          <w:tcPr>
            <w:tcW w:w="949" w:type="dxa"/>
            <w:tcBorders>
              <w:top w:val="single" w:sz="8" w:space="0" w:color="4F81BD"/>
              <w:bottom w:val="single" w:sz="8" w:space="0" w:color="4F81BD"/>
            </w:tcBorders>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6</w:t>
            </w:r>
          </w:p>
        </w:tc>
        <w:tc>
          <w:tcPr>
            <w:tcW w:w="2195" w:type="dxa"/>
            <w:tcBorders>
              <w:top w:val="single" w:sz="8" w:space="0" w:color="4F81BD"/>
              <w:bottom w:val="single" w:sz="8" w:space="0" w:color="4F81BD"/>
            </w:tcBorders>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18</w:t>
            </w:r>
          </w:p>
        </w:tc>
        <w:tc>
          <w:tcPr>
            <w:tcW w:w="2199" w:type="dxa"/>
            <w:tcBorders>
              <w:top w:val="single" w:sz="8" w:space="0" w:color="4F81BD"/>
              <w:bottom w:val="single" w:sz="8" w:space="0" w:color="4F81BD"/>
            </w:tcBorders>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40</w:t>
            </w:r>
          </w:p>
        </w:tc>
      </w:tr>
      <w:tr w:rsidR="000C1520" w:rsidRPr="00623771" w:rsidTr="00623771">
        <w:trPr>
          <w:trHeight w:val="315"/>
        </w:trPr>
        <w:tc>
          <w:tcPr>
            <w:tcW w:w="3837" w:type="dxa"/>
            <w:noWrap/>
          </w:tcPr>
          <w:p w:rsidR="000C1520" w:rsidRPr="00230928" w:rsidRDefault="000C1520" w:rsidP="00623771">
            <w:pPr>
              <w:spacing w:after="0" w:line="240" w:lineRule="auto"/>
              <w:jc w:val="both"/>
              <w:rPr>
                <w:rFonts w:cs="Calibri"/>
                <w:b/>
                <w:bCs/>
                <w:color w:val="000000"/>
                <w:sz w:val="20"/>
                <w:szCs w:val="20"/>
              </w:rPr>
            </w:pPr>
            <w:r w:rsidRPr="00230928">
              <w:rPr>
                <w:rFonts w:cs="Calibri"/>
                <w:b/>
                <w:bCs/>
                <w:color w:val="000000"/>
                <w:sz w:val="20"/>
                <w:szCs w:val="20"/>
              </w:rPr>
              <w:t>Naftna industrija</w:t>
            </w:r>
          </w:p>
        </w:tc>
        <w:tc>
          <w:tcPr>
            <w:tcW w:w="949" w:type="dxa"/>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4</w:t>
            </w:r>
          </w:p>
        </w:tc>
        <w:tc>
          <w:tcPr>
            <w:tcW w:w="2195" w:type="dxa"/>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-37</w:t>
            </w:r>
          </w:p>
        </w:tc>
        <w:tc>
          <w:tcPr>
            <w:tcW w:w="2199" w:type="dxa"/>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-30</w:t>
            </w:r>
          </w:p>
        </w:tc>
      </w:tr>
      <w:tr w:rsidR="000C1520" w:rsidRPr="00623771" w:rsidTr="00623771">
        <w:trPr>
          <w:trHeight w:val="315"/>
        </w:trPr>
        <w:tc>
          <w:tcPr>
            <w:tcW w:w="3837" w:type="dxa"/>
            <w:tcBorders>
              <w:top w:val="single" w:sz="8" w:space="0" w:color="4F81BD"/>
              <w:bottom w:val="single" w:sz="8" w:space="0" w:color="4F81BD"/>
            </w:tcBorders>
            <w:noWrap/>
          </w:tcPr>
          <w:p w:rsidR="000C1520" w:rsidRPr="00230928" w:rsidRDefault="000C1520" w:rsidP="00623771">
            <w:pPr>
              <w:spacing w:after="0" w:line="240" w:lineRule="auto"/>
              <w:jc w:val="both"/>
              <w:rPr>
                <w:rFonts w:cs="Calibri"/>
                <w:b/>
                <w:bCs/>
                <w:color w:val="000000"/>
                <w:sz w:val="20"/>
                <w:szCs w:val="20"/>
              </w:rPr>
            </w:pPr>
            <w:r w:rsidRPr="00230928">
              <w:rPr>
                <w:rFonts w:cs="Calibri"/>
                <w:b/>
                <w:bCs/>
                <w:color w:val="000000"/>
                <w:sz w:val="20"/>
                <w:szCs w:val="20"/>
              </w:rPr>
              <w:t>Kemijska industrija</w:t>
            </w:r>
          </w:p>
        </w:tc>
        <w:tc>
          <w:tcPr>
            <w:tcW w:w="949" w:type="dxa"/>
            <w:tcBorders>
              <w:top w:val="single" w:sz="8" w:space="0" w:color="4F81BD"/>
              <w:bottom w:val="single" w:sz="8" w:space="0" w:color="4F81BD"/>
            </w:tcBorders>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10</w:t>
            </w:r>
          </w:p>
        </w:tc>
        <w:tc>
          <w:tcPr>
            <w:tcW w:w="2195" w:type="dxa"/>
            <w:tcBorders>
              <w:top w:val="single" w:sz="8" w:space="0" w:color="4F81BD"/>
              <w:bottom w:val="single" w:sz="8" w:space="0" w:color="4F81BD"/>
            </w:tcBorders>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65</w:t>
            </w:r>
          </w:p>
        </w:tc>
        <w:tc>
          <w:tcPr>
            <w:tcW w:w="2199" w:type="dxa"/>
            <w:tcBorders>
              <w:top w:val="single" w:sz="8" w:space="0" w:color="4F81BD"/>
              <w:bottom w:val="single" w:sz="8" w:space="0" w:color="4F81BD"/>
            </w:tcBorders>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25</w:t>
            </w:r>
          </w:p>
        </w:tc>
      </w:tr>
      <w:tr w:rsidR="000C1520" w:rsidRPr="00623771" w:rsidTr="00623771">
        <w:trPr>
          <w:trHeight w:val="315"/>
        </w:trPr>
        <w:tc>
          <w:tcPr>
            <w:tcW w:w="3837" w:type="dxa"/>
            <w:noWrap/>
          </w:tcPr>
          <w:p w:rsidR="000C1520" w:rsidRPr="00230928" w:rsidRDefault="000C1520" w:rsidP="00623771">
            <w:pPr>
              <w:spacing w:after="0" w:line="240" w:lineRule="auto"/>
              <w:jc w:val="both"/>
              <w:rPr>
                <w:rFonts w:cs="Calibri"/>
                <w:b/>
                <w:bCs/>
                <w:color w:val="000000"/>
                <w:sz w:val="20"/>
                <w:szCs w:val="20"/>
              </w:rPr>
            </w:pPr>
            <w:r w:rsidRPr="00230928">
              <w:rPr>
                <w:rFonts w:cs="Calibri"/>
                <w:b/>
                <w:bCs/>
                <w:color w:val="000000"/>
                <w:sz w:val="20"/>
                <w:szCs w:val="20"/>
              </w:rPr>
              <w:t>Elektroindustrija</w:t>
            </w:r>
          </w:p>
        </w:tc>
        <w:tc>
          <w:tcPr>
            <w:tcW w:w="949" w:type="dxa"/>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5</w:t>
            </w:r>
          </w:p>
        </w:tc>
        <w:tc>
          <w:tcPr>
            <w:tcW w:w="2195" w:type="dxa"/>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-8</w:t>
            </w:r>
          </w:p>
        </w:tc>
        <w:tc>
          <w:tcPr>
            <w:tcW w:w="2199" w:type="dxa"/>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-26</w:t>
            </w:r>
          </w:p>
        </w:tc>
      </w:tr>
      <w:tr w:rsidR="000C1520" w:rsidRPr="00623771" w:rsidTr="00623771">
        <w:trPr>
          <w:trHeight w:val="315"/>
        </w:trPr>
        <w:tc>
          <w:tcPr>
            <w:tcW w:w="3837" w:type="dxa"/>
            <w:tcBorders>
              <w:top w:val="single" w:sz="8" w:space="0" w:color="4F81BD"/>
              <w:bottom w:val="single" w:sz="8" w:space="0" w:color="4F81BD"/>
            </w:tcBorders>
            <w:noWrap/>
          </w:tcPr>
          <w:p w:rsidR="000C1520" w:rsidRPr="00230928" w:rsidRDefault="000C1520" w:rsidP="00623771">
            <w:pPr>
              <w:spacing w:after="0" w:line="240" w:lineRule="auto"/>
              <w:jc w:val="both"/>
              <w:rPr>
                <w:rFonts w:cs="Calibri"/>
                <w:b/>
                <w:bCs/>
                <w:color w:val="000000"/>
                <w:sz w:val="20"/>
                <w:szCs w:val="20"/>
              </w:rPr>
            </w:pPr>
            <w:r w:rsidRPr="00230928">
              <w:rPr>
                <w:rFonts w:cs="Calibri"/>
                <w:b/>
                <w:bCs/>
                <w:color w:val="000000"/>
                <w:sz w:val="20"/>
                <w:szCs w:val="20"/>
              </w:rPr>
              <w:lastRenderedPageBreak/>
              <w:t>Automobilska industrija</w:t>
            </w:r>
          </w:p>
        </w:tc>
        <w:tc>
          <w:tcPr>
            <w:tcW w:w="949" w:type="dxa"/>
            <w:tcBorders>
              <w:top w:val="single" w:sz="8" w:space="0" w:color="4F81BD"/>
              <w:bottom w:val="single" w:sz="8" w:space="0" w:color="4F81BD"/>
            </w:tcBorders>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6</w:t>
            </w:r>
          </w:p>
        </w:tc>
        <w:tc>
          <w:tcPr>
            <w:tcW w:w="2195" w:type="dxa"/>
            <w:tcBorders>
              <w:top w:val="single" w:sz="8" w:space="0" w:color="4F81BD"/>
              <w:bottom w:val="single" w:sz="8" w:space="0" w:color="4F81BD"/>
            </w:tcBorders>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-15</w:t>
            </w:r>
          </w:p>
        </w:tc>
        <w:tc>
          <w:tcPr>
            <w:tcW w:w="2199" w:type="dxa"/>
            <w:tcBorders>
              <w:top w:val="single" w:sz="8" w:space="0" w:color="4F81BD"/>
              <w:bottom w:val="single" w:sz="8" w:space="0" w:color="4F81BD"/>
            </w:tcBorders>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10</w:t>
            </w:r>
          </w:p>
        </w:tc>
      </w:tr>
      <w:tr w:rsidR="000C1520" w:rsidRPr="00623771" w:rsidTr="00623771">
        <w:trPr>
          <w:trHeight w:val="315"/>
        </w:trPr>
        <w:tc>
          <w:tcPr>
            <w:tcW w:w="3837" w:type="dxa"/>
            <w:noWrap/>
          </w:tcPr>
          <w:p w:rsidR="000C1520" w:rsidRPr="00230928" w:rsidRDefault="000C1520" w:rsidP="00623771">
            <w:pPr>
              <w:spacing w:after="0" w:line="240" w:lineRule="auto"/>
              <w:jc w:val="both"/>
              <w:rPr>
                <w:rFonts w:cs="Calibri"/>
                <w:b/>
                <w:bCs/>
                <w:color w:val="000000"/>
                <w:sz w:val="20"/>
                <w:szCs w:val="20"/>
              </w:rPr>
            </w:pPr>
            <w:r w:rsidRPr="00230928">
              <w:rPr>
                <w:rFonts w:cs="Calibri"/>
                <w:color w:val="000000"/>
                <w:sz w:val="20"/>
                <w:szCs w:val="20"/>
              </w:rPr>
              <w:t>USLUGE</w:t>
            </w:r>
          </w:p>
        </w:tc>
        <w:tc>
          <w:tcPr>
            <w:tcW w:w="949" w:type="dxa"/>
            <w:noWrap/>
          </w:tcPr>
          <w:p w:rsidR="000C1520" w:rsidRPr="00230928" w:rsidRDefault="000C1520" w:rsidP="00623771">
            <w:pPr>
              <w:spacing w:after="0" w:line="240" w:lineRule="auto"/>
              <w:jc w:val="both"/>
              <w:rPr>
                <w:rFonts w:cs="Calibri"/>
                <w:b/>
                <w:bCs/>
                <w:color w:val="000000"/>
                <w:sz w:val="20"/>
                <w:szCs w:val="20"/>
              </w:rPr>
            </w:pPr>
            <w:r w:rsidRPr="00230928">
              <w:rPr>
                <w:rFonts w:cs="Calibri"/>
                <w:b/>
                <w:bCs/>
                <w:color w:val="000000"/>
                <w:sz w:val="20"/>
                <w:szCs w:val="20"/>
              </w:rPr>
              <w:t>40</w:t>
            </w:r>
          </w:p>
        </w:tc>
        <w:tc>
          <w:tcPr>
            <w:tcW w:w="2195" w:type="dxa"/>
            <w:noWrap/>
          </w:tcPr>
          <w:p w:rsidR="000C1520" w:rsidRPr="00230928" w:rsidRDefault="000C1520" w:rsidP="00623771">
            <w:pPr>
              <w:spacing w:after="0" w:line="240" w:lineRule="auto"/>
              <w:jc w:val="both"/>
              <w:rPr>
                <w:rFonts w:cs="Calibri"/>
                <w:b/>
                <w:bCs/>
                <w:color w:val="000000"/>
                <w:sz w:val="20"/>
                <w:szCs w:val="20"/>
              </w:rPr>
            </w:pPr>
            <w:r w:rsidRPr="00230928">
              <w:rPr>
                <w:rFonts w:cs="Calibri"/>
                <w:b/>
                <w:bCs/>
                <w:color w:val="000000"/>
                <w:sz w:val="20"/>
                <w:szCs w:val="20"/>
              </w:rPr>
              <w:t>15</w:t>
            </w:r>
          </w:p>
        </w:tc>
        <w:tc>
          <w:tcPr>
            <w:tcW w:w="2199" w:type="dxa"/>
            <w:noWrap/>
          </w:tcPr>
          <w:p w:rsidR="000C1520" w:rsidRPr="00230928" w:rsidRDefault="000C1520" w:rsidP="00623771">
            <w:pPr>
              <w:spacing w:after="0" w:line="240" w:lineRule="auto"/>
              <w:jc w:val="both"/>
              <w:rPr>
                <w:rFonts w:cs="Calibri"/>
                <w:b/>
                <w:bCs/>
                <w:color w:val="000000"/>
                <w:sz w:val="20"/>
                <w:szCs w:val="20"/>
              </w:rPr>
            </w:pPr>
            <w:r w:rsidRPr="00230928">
              <w:rPr>
                <w:rFonts w:cs="Calibri"/>
                <w:b/>
                <w:bCs/>
                <w:color w:val="000000"/>
                <w:sz w:val="20"/>
                <w:szCs w:val="20"/>
              </w:rPr>
              <w:t>-31</w:t>
            </w:r>
          </w:p>
        </w:tc>
      </w:tr>
      <w:tr w:rsidR="000C1520" w:rsidRPr="00623771" w:rsidTr="00623771">
        <w:trPr>
          <w:trHeight w:val="315"/>
        </w:trPr>
        <w:tc>
          <w:tcPr>
            <w:tcW w:w="3837" w:type="dxa"/>
            <w:tcBorders>
              <w:top w:val="single" w:sz="8" w:space="0" w:color="4F81BD"/>
              <w:bottom w:val="single" w:sz="8" w:space="0" w:color="4F81BD"/>
            </w:tcBorders>
            <w:noWrap/>
          </w:tcPr>
          <w:p w:rsidR="000C1520" w:rsidRPr="00230928" w:rsidRDefault="000C1520" w:rsidP="00623771">
            <w:pPr>
              <w:spacing w:after="0" w:line="240" w:lineRule="auto"/>
              <w:jc w:val="both"/>
              <w:rPr>
                <w:rFonts w:cs="Calibri"/>
                <w:b/>
                <w:bCs/>
                <w:color w:val="000000"/>
                <w:sz w:val="20"/>
                <w:szCs w:val="20"/>
              </w:rPr>
            </w:pPr>
            <w:r w:rsidRPr="00230928">
              <w:rPr>
                <w:rFonts w:cs="Calibri"/>
                <w:b/>
                <w:bCs/>
                <w:color w:val="000000"/>
                <w:sz w:val="20"/>
                <w:szCs w:val="20"/>
              </w:rPr>
              <w:t>Struja, plin i voda</w:t>
            </w:r>
          </w:p>
        </w:tc>
        <w:tc>
          <w:tcPr>
            <w:tcW w:w="949" w:type="dxa"/>
            <w:tcBorders>
              <w:top w:val="single" w:sz="8" w:space="0" w:color="4F81BD"/>
              <w:bottom w:val="single" w:sz="8" w:space="0" w:color="4F81BD"/>
            </w:tcBorders>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8</w:t>
            </w:r>
          </w:p>
        </w:tc>
        <w:tc>
          <w:tcPr>
            <w:tcW w:w="2195" w:type="dxa"/>
            <w:tcBorders>
              <w:top w:val="single" w:sz="8" w:space="0" w:color="4F81BD"/>
              <w:bottom w:val="single" w:sz="8" w:space="0" w:color="4F81BD"/>
            </w:tcBorders>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43</w:t>
            </w:r>
          </w:p>
        </w:tc>
        <w:tc>
          <w:tcPr>
            <w:tcW w:w="2199" w:type="dxa"/>
            <w:tcBorders>
              <w:top w:val="single" w:sz="8" w:space="0" w:color="4F81BD"/>
              <w:bottom w:val="single" w:sz="8" w:space="0" w:color="4F81BD"/>
            </w:tcBorders>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6</w:t>
            </w:r>
          </w:p>
        </w:tc>
      </w:tr>
      <w:tr w:rsidR="000C1520" w:rsidRPr="00623771" w:rsidTr="00623771">
        <w:trPr>
          <w:trHeight w:val="315"/>
        </w:trPr>
        <w:tc>
          <w:tcPr>
            <w:tcW w:w="3837" w:type="dxa"/>
            <w:noWrap/>
          </w:tcPr>
          <w:p w:rsidR="000C1520" w:rsidRPr="00230928" w:rsidRDefault="000C1520" w:rsidP="00623771">
            <w:pPr>
              <w:spacing w:after="0" w:line="240" w:lineRule="auto"/>
              <w:jc w:val="both"/>
              <w:rPr>
                <w:rFonts w:cs="Calibri"/>
                <w:b/>
                <w:bCs/>
                <w:color w:val="000000"/>
                <w:sz w:val="20"/>
                <w:szCs w:val="20"/>
              </w:rPr>
            </w:pPr>
            <w:r w:rsidRPr="00230928">
              <w:rPr>
                <w:rFonts w:cs="Calibri"/>
                <w:b/>
                <w:bCs/>
                <w:color w:val="000000"/>
                <w:sz w:val="20"/>
                <w:szCs w:val="20"/>
              </w:rPr>
              <w:t>Logistika</w:t>
            </w:r>
          </w:p>
        </w:tc>
        <w:tc>
          <w:tcPr>
            <w:tcW w:w="949" w:type="dxa"/>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8</w:t>
            </w:r>
          </w:p>
        </w:tc>
        <w:tc>
          <w:tcPr>
            <w:tcW w:w="2195" w:type="dxa"/>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38</w:t>
            </w:r>
          </w:p>
        </w:tc>
        <w:tc>
          <w:tcPr>
            <w:tcW w:w="2199" w:type="dxa"/>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-31</w:t>
            </w:r>
          </w:p>
        </w:tc>
      </w:tr>
      <w:tr w:rsidR="000C1520" w:rsidRPr="00623771" w:rsidTr="00623771">
        <w:trPr>
          <w:trHeight w:val="315"/>
        </w:trPr>
        <w:tc>
          <w:tcPr>
            <w:tcW w:w="3837" w:type="dxa"/>
            <w:tcBorders>
              <w:top w:val="single" w:sz="8" w:space="0" w:color="4F81BD"/>
              <w:bottom w:val="single" w:sz="8" w:space="0" w:color="4F81BD"/>
            </w:tcBorders>
            <w:noWrap/>
          </w:tcPr>
          <w:p w:rsidR="000C1520" w:rsidRPr="00230928" w:rsidRDefault="000C1520" w:rsidP="00623771">
            <w:pPr>
              <w:spacing w:after="0" w:line="240" w:lineRule="auto"/>
              <w:jc w:val="both"/>
              <w:rPr>
                <w:rFonts w:cs="Calibri"/>
                <w:b/>
                <w:bCs/>
                <w:color w:val="000000"/>
                <w:sz w:val="20"/>
                <w:szCs w:val="20"/>
              </w:rPr>
            </w:pPr>
            <w:r w:rsidRPr="00230928">
              <w:rPr>
                <w:rFonts w:cs="Calibri"/>
                <w:b/>
                <w:bCs/>
                <w:color w:val="000000"/>
                <w:sz w:val="20"/>
                <w:szCs w:val="20"/>
              </w:rPr>
              <w:t>Financiranje</w:t>
            </w:r>
          </w:p>
        </w:tc>
        <w:tc>
          <w:tcPr>
            <w:tcW w:w="949" w:type="dxa"/>
            <w:tcBorders>
              <w:top w:val="single" w:sz="8" w:space="0" w:color="4F81BD"/>
              <w:bottom w:val="single" w:sz="8" w:space="0" w:color="4F81BD"/>
            </w:tcBorders>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6</w:t>
            </w:r>
          </w:p>
        </w:tc>
        <w:tc>
          <w:tcPr>
            <w:tcW w:w="2195" w:type="dxa"/>
            <w:tcBorders>
              <w:top w:val="single" w:sz="8" w:space="0" w:color="4F81BD"/>
              <w:bottom w:val="single" w:sz="8" w:space="0" w:color="4F81BD"/>
            </w:tcBorders>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13</w:t>
            </w:r>
          </w:p>
        </w:tc>
        <w:tc>
          <w:tcPr>
            <w:tcW w:w="2199" w:type="dxa"/>
            <w:tcBorders>
              <w:top w:val="single" w:sz="8" w:space="0" w:color="4F81BD"/>
              <w:bottom w:val="single" w:sz="8" w:space="0" w:color="4F81BD"/>
            </w:tcBorders>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-52</w:t>
            </w:r>
          </w:p>
        </w:tc>
      </w:tr>
      <w:tr w:rsidR="000C1520" w:rsidRPr="00623771" w:rsidTr="00623771">
        <w:trPr>
          <w:trHeight w:val="315"/>
        </w:trPr>
        <w:tc>
          <w:tcPr>
            <w:tcW w:w="3837" w:type="dxa"/>
            <w:tcBorders>
              <w:bottom w:val="single" w:sz="8" w:space="0" w:color="4F81BD"/>
            </w:tcBorders>
            <w:noWrap/>
          </w:tcPr>
          <w:p w:rsidR="000C1520" w:rsidRPr="00230928" w:rsidRDefault="000C1520" w:rsidP="00623771">
            <w:pPr>
              <w:spacing w:after="0" w:line="240" w:lineRule="auto"/>
              <w:jc w:val="both"/>
              <w:rPr>
                <w:rFonts w:cs="Calibri"/>
                <w:b/>
                <w:bCs/>
                <w:color w:val="000000"/>
                <w:sz w:val="20"/>
                <w:szCs w:val="20"/>
              </w:rPr>
            </w:pPr>
            <w:r w:rsidRPr="00230928">
              <w:rPr>
                <w:rFonts w:cs="Calibri"/>
                <w:b/>
                <w:bCs/>
                <w:color w:val="000000"/>
                <w:sz w:val="20"/>
                <w:szCs w:val="20"/>
              </w:rPr>
              <w:t>Poslovne usluge</w:t>
            </w:r>
          </w:p>
        </w:tc>
        <w:tc>
          <w:tcPr>
            <w:tcW w:w="949" w:type="dxa"/>
            <w:tcBorders>
              <w:bottom w:val="single" w:sz="8" w:space="0" w:color="4F81BD"/>
            </w:tcBorders>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8</w:t>
            </w:r>
          </w:p>
        </w:tc>
        <w:tc>
          <w:tcPr>
            <w:tcW w:w="2195" w:type="dxa"/>
            <w:tcBorders>
              <w:bottom w:val="single" w:sz="8" w:space="0" w:color="4F81BD"/>
            </w:tcBorders>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8</w:t>
            </w:r>
          </w:p>
        </w:tc>
        <w:tc>
          <w:tcPr>
            <w:tcW w:w="2199" w:type="dxa"/>
            <w:tcBorders>
              <w:bottom w:val="single" w:sz="8" w:space="0" w:color="4F81BD"/>
            </w:tcBorders>
            <w:noWrap/>
          </w:tcPr>
          <w:p w:rsidR="000C1520" w:rsidRPr="00230928" w:rsidRDefault="000C1520" w:rsidP="00623771">
            <w:pPr>
              <w:spacing w:after="0" w:line="240" w:lineRule="auto"/>
              <w:jc w:val="both"/>
              <w:rPr>
                <w:rFonts w:cs="Calibri"/>
                <w:color w:val="000000"/>
                <w:sz w:val="20"/>
                <w:szCs w:val="20"/>
              </w:rPr>
            </w:pPr>
            <w:r w:rsidRPr="00230928">
              <w:rPr>
                <w:rFonts w:cs="Calibri"/>
                <w:color w:val="000000"/>
                <w:sz w:val="20"/>
                <w:szCs w:val="20"/>
              </w:rPr>
              <w:t>-33</w:t>
            </w:r>
          </w:p>
        </w:tc>
      </w:tr>
    </w:tbl>
    <w:p w:rsidR="000C1520" w:rsidRPr="00F9383D" w:rsidRDefault="000C1520" w:rsidP="00677BA1">
      <w:pPr>
        <w:spacing w:after="0"/>
        <w:jc w:val="both"/>
        <w:rPr>
          <w:rFonts w:cs="Calibri"/>
          <w:i/>
          <w:sz w:val="20"/>
          <w:szCs w:val="20"/>
        </w:rPr>
      </w:pPr>
      <w:r w:rsidRPr="00592D7A">
        <w:rPr>
          <w:rFonts w:cs="Calibri"/>
          <w:b/>
          <w:i/>
          <w:sz w:val="20"/>
          <w:szCs w:val="20"/>
        </w:rPr>
        <w:t>Izvor:</w:t>
      </w:r>
      <w:r w:rsidRPr="00F9383D">
        <w:rPr>
          <w:rFonts w:cs="Calibri"/>
          <w:i/>
          <w:sz w:val="20"/>
          <w:szCs w:val="20"/>
        </w:rPr>
        <w:t xml:space="preserve"> UNCTA</w:t>
      </w:r>
      <w:r>
        <w:rPr>
          <w:rFonts w:cs="Calibri"/>
          <w:i/>
          <w:sz w:val="20"/>
          <w:szCs w:val="20"/>
        </w:rPr>
        <w:t xml:space="preserve">D, World </w:t>
      </w:r>
      <w:proofErr w:type="spellStart"/>
      <w:r>
        <w:rPr>
          <w:rFonts w:cs="Calibri"/>
          <w:i/>
          <w:sz w:val="20"/>
          <w:szCs w:val="20"/>
        </w:rPr>
        <w:t>Investment</w:t>
      </w:r>
      <w:proofErr w:type="spellEnd"/>
      <w:r>
        <w:rPr>
          <w:rFonts w:cs="Calibri"/>
          <w:i/>
          <w:sz w:val="20"/>
          <w:szCs w:val="20"/>
        </w:rPr>
        <w:t xml:space="preserve"> </w:t>
      </w:r>
      <w:proofErr w:type="spellStart"/>
      <w:r>
        <w:rPr>
          <w:rFonts w:cs="Calibri"/>
          <w:i/>
          <w:sz w:val="20"/>
          <w:szCs w:val="20"/>
        </w:rPr>
        <w:t>Report</w:t>
      </w:r>
      <w:proofErr w:type="spellEnd"/>
      <w:r>
        <w:rPr>
          <w:rFonts w:cs="Calibri"/>
          <w:i/>
          <w:sz w:val="20"/>
          <w:szCs w:val="20"/>
        </w:rPr>
        <w:t xml:space="preserve"> 2012</w:t>
      </w:r>
      <w:r w:rsidR="006D2356">
        <w:rPr>
          <w:rFonts w:cs="Calibri"/>
          <w:i/>
          <w:sz w:val="20"/>
          <w:szCs w:val="20"/>
        </w:rPr>
        <w:t>.</w:t>
      </w:r>
    </w:p>
    <w:p w:rsidR="00677BA1" w:rsidRDefault="00677BA1" w:rsidP="00677BA1">
      <w:pPr>
        <w:spacing w:after="0" w:line="360" w:lineRule="auto"/>
        <w:jc w:val="both"/>
        <w:rPr>
          <w:rFonts w:cs="Calibri"/>
        </w:rPr>
      </w:pPr>
    </w:p>
    <w:p w:rsidR="000C1520" w:rsidRDefault="000C1520" w:rsidP="00677BA1">
      <w:pPr>
        <w:spacing w:after="0" w:line="360" w:lineRule="auto"/>
        <w:jc w:val="both"/>
        <w:rPr>
          <w:rFonts w:cs="Calibri"/>
        </w:rPr>
      </w:pPr>
      <w:r w:rsidRPr="00636499">
        <w:rPr>
          <w:rFonts w:cs="Calibri"/>
        </w:rPr>
        <w:t>Najveća emitivna tržišta za izravne strane investicije u proteklom razdoblju i dalje su zemlje EU</w:t>
      </w:r>
      <w:r>
        <w:rPr>
          <w:rFonts w:cs="Calibri"/>
        </w:rPr>
        <w:t>-a</w:t>
      </w:r>
      <w:r w:rsidRPr="00636499">
        <w:rPr>
          <w:rFonts w:cs="Calibri"/>
        </w:rPr>
        <w:t>, SAD i Japan koji su zabilježili rast od 25% u odnosu na prethodnu godinu. Investicije iz SAD</w:t>
      </w:r>
      <w:r>
        <w:rPr>
          <w:rFonts w:cs="Calibri"/>
        </w:rPr>
        <w:t>-a</w:t>
      </w:r>
      <w:r w:rsidRPr="00636499">
        <w:rPr>
          <w:rFonts w:cs="Calibri"/>
        </w:rPr>
        <w:t xml:space="preserve"> su većinom bile posljedica povećanih razina zadržane dobiti, dok su investicije iz zemalja EU</w:t>
      </w:r>
      <w:r>
        <w:rPr>
          <w:rFonts w:cs="Calibri"/>
        </w:rPr>
        <w:t>-a</w:t>
      </w:r>
      <w:r w:rsidRPr="00636499">
        <w:rPr>
          <w:rFonts w:cs="Calibri"/>
        </w:rPr>
        <w:t xml:space="preserve"> rasle kao posljedica povećanog broja spajanja i </w:t>
      </w:r>
      <w:proofErr w:type="spellStart"/>
      <w:r w:rsidRPr="00636499">
        <w:rPr>
          <w:rFonts w:cs="Calibri"/>
        </w:rPr>
        <w:t>preuzmanja</w:t>
      </w:r>
      <w:proofErr w:type="spellEnd"/>
      <w:r w:rsidRPr="00636499">
        <w:rPr>
          <w:rFonts w:cs="Calibri"/>
        </w:rPr>
        <w:t xml:space="preserve">. Japansko gospodarstvo bilježi rast investicija, </w:t>
      </w:r>
      <w:r>
        <w:rPr>
          <w:rFonts w:cs="Calibri"/>
        </w:rPr>
        <w:t>što je prvenstveno posljedica</w:t>
      </w:r>
      <w:r w:rsidRPr="00636499">
        <w:rPr>
          <w:rFonts w:cs="Calibri"/>
        </w:rPr>
        <w:t xml:space="preserve"> jačanja domaće valute</w:t>
      </w:r>
      <w:r>
        <w:rPr>
          <w:rFonts w:cs="Calibri"/>
        </w:rPr>
        <w:t xml:space="preserve">, a </w:t>
      </w:r>
      <w:r w:rsidRPr="00636499">
        <w:rPr>
          <w:rFonts w:cs="Calibri"/>
        </w:rPr>
        <w:t>preuzimanja i spajanja japanskih tvrtki u Sjevernoj Americi i Europi zabilježila</w:t>
      </w:r>
      <w:r>
        <w:rPr>
          <w:rFonts w:cs="Calibri"/>
        </w:rPr>
        <w:t xml:space="preserve"> su</w:t>
      </w:r>
      <w:r w:rsidRPr="00636499">
        <w:rPr>
          <w:rFonts w:cs="Calibri"/>
        </w:rPr>
        <w:t xml:space="preserve"> godišnji rast od 132%. </w:t>
      </w:r>
    </w:p>
    <w:p w:rsidR="000C1520" w:rsidRDefault="000C1520" w:rsidP="003351C8">
      <w:pPr>
        <w:spacing w:after="0" w:line="240" w:lineRule="auto"/>
        <w:jc w:val="both"/>
        <w:rPr>
          <w:rFonts w:cs="Calibri"/>
          <w:i/>
        </w:rPr>
      </w:pPr>
      <w:r>
        <w:rPr>
          <w:rFonts w:cs="Calibri"/>
          <w:b/>
          <w:i/>
        </w:rPr>
        <w:t>Grafički prikaz</w:t>
      </w:r>
      <w:r w:rsidRPr="00197F28">
        <w:rPr>
          <w:rFonts w:cs="Calibri"/>
          <w:b/>
          <w:i/>
        </w:rPr>
        <w:t xml:space="preserve"> 1.</w:t>
      </w:r>
      <w:r w:rsidRPr="00197F28">
        <w:rPr>
          <w:rFonts w:cs="Calibri"/>
          <w:i/>
        </w:rPr>
        <w:t xml:space="preserve"> Kretanje izravnih stranih investicij</w:t>
      </w:r>
      <w:r>
        <w:rPr>
          <w:rFonts w:cs="Calibri"/>
          <w:i/>
        </w:rPr>
        <w:t>a u zemljama u okruženju (u milijunima dolara</w:t>
      </w:r>
      <w:r w:rsidRPr="00197F28">
        <w:rPr>
          <w:rFonts w:cs="Calibri"/>
          <w:i/>
        </w:rPr>
        <w:t>)</w:t>
      </w:r>
    </w:p>
    <w:p w:rsidR="000C1520" w:rsidRPr="00923D77" w:rsidRDefault="00D87C12" w:rsidP="003351C8">
      <w:pPr>
        <w:spacing w:after="0" w:line="240" w:lineRule="auto"/>
        <w:jc w:val="both"/>
        <w:rPr>
          <w:rFonts w:cs="Calibri"/>
          <w:i/>
        </w:rPr>
      </w:pPr>
      <w:r>
        <w:rPr>
          <w:noProof/>
        </w:rPr>
        <w:drawing>
          <wp:inline distT="0" distB="0" distL="0" distR="0" wp14:anchorId="7F4E23CE" wp14:editId="73C094B0">
            <wp:extent cx="5819775" cy="1609725"/>
            <wp:effectExtent l="0" t="0" r="0" b="0"/>
            <wp:docPr id="2" name="Chart 8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C1520" w:rsidRPr="00923D77" w:rsidRDefault="000C1520" w:rsidP="00677BA1">
      <w:pPr>
        <w:spacing w:after="0" w:line="240" w:lineRule="auto"/>
        <w:jc w:val="both"/>
        <w:rPr>
          <w:rFonts w:cs="Calibri"/>
          <w:i/>
        </w:rPr>
      </w:pPr>
      <w:r w:rsidRPr="00197F28">
        <w:rPr>
          <w:rFonts w:cs="Calibri"/>
          <w:b/>
          <w:i/>
          <w:sz w:val="20"/>
          <w:szCs w:val="20"/>
        </w:rPr>
        <w:t>Izvor:</w:t>
      </w:r>
      <w:r w:rsidRPr="00197F28">
        <w:rPr>
          <w:rFonts w:cs="Calibri"/>
          <w:i/>
          <w:sz w:val="20"/>
          <w:szCs w:val="20"/>
        </w:rPr>
        <w:t xml:space="preserve"> World </w:t>
      </w:r>
      <w:proofErr w:type="spellStart"/>
      <w:r w:rsidRPr="00197F28">
        <w:rPr>
          <w:rFonts w:cs="Calibri"/>
          <w:i/>
          <w:sz w:val="20"/>
          <w:szCs w:val="20"/>
        </w:rPr>
        <w:t>Investment</w:t>
      </w:r>
      <w:proofErr w:type="spellEnd"/>
      <w:r w:rsidRPr="00197F28">
        <w:rPr>
          <w:rFonts w:cs="Calibri"/>
          <w:i/>
          <w:sz w:val="20"/>
          <w:szCs w:val="20"/>
        </w:rPr>
        <w:t xml:space="preserve"> </w:t>
      </w:r>
      <w:proofErr w:type="spellStart"/>
      <w:r w:rsidRPr="00197F28">
        <w:rPr>
          <w:rFonts w:cs="Calibri"/>
          <w:i/>
          <w:sz w:val="20"/>
          <w:szCs w:val="20"/>
        </w:rPr>
        <w:t>Report</w:t>
      </w:r>
      <w:proofErr w:type="spellEnd"/>
      <w:r w:rsidRPr="00197F28">
        <w:rPr>
          <w:rFonts w:cs="Calibri"/>
          <w:i/>
          <w:sz w:val="20"/>
          <w:szCs w:val="20"/>
        </w:rPr>
        <w:t xml:space="preserve"> 2013</w:t>
      </w:r>
      <w:r w:rsidR="006D2356">
        <w:rPr>
          <w:rFonts w:cs="Calibri"/>
          <w:i/>
          <w:sz w:val="20"/>
          <w:szCs w:val="20"/>
        </w:rPr>
        <w:t>.</w:t>
      </w:r>
      <w:r w:rsidRPr="00197F28">
        <w:rPr>
          <w:rFonts w:cs="Calibri"/>
          <w:i/>
          <w:sz w:val="20"/>
          <w:szCs w:val="20"/>
        </w:rPr>
        <w:t xml:space="preserve"> (UNCTAD)</w:t>
      </w:r>
    </w:p>
    <w:p w:rsidR="00677BA1" w:rsidRDefault="00677BA1" w:rsidP="00677BA1">
      <w:pPr>
        <w:spacing w:after="0" w:line="360" w:lineRule="auto"/>
        <w:jc w:val="both"/>
        <w:rPr>
          <w:rFonts w:cs="Calibri"/>
        </w:rPr>
      </w:pPr>
    </w:p>
    <w:p w:rsidR="000C1520" w:rsidRDefault="000C1520" w:rsidP="00677BA1">
      <w:pPr>
        <w:spacing w:after="0" w:line="360" w:lineRule="auto"/>
        <w:jc w:val="both"/>
        <w:rPr>
          <w:rFonts w:cs="Calibri"/>
        </w:rPr>
      </w:pPr>
      <w:r w:rsidRPr="00923D77">
        <w:rPr>
          <w:rFonts w:cs="Calibri"/>
        </w:rPr>
        <w:t xml:space="preserve">Ako se promatra kretanje izravnih stranih investicija u zemljama u okruženju kroz razdoblje 2005. – </w:t>
      </w:r>
      <w:r>
        <w:rPr>
          <w:rFonts w:cs="Calibri"/>
        </w:rPr>
        <w:t>2012</w:t>
      </w:r>
      <w:r w:rsidRPr="00597A43">
        <w:rPr>
          <w:rFonts w:cs="Calibri"/>
        </w:rPr>
        <w:t>. (Grafički prikaz 1.), najveći</w:t>
      </w:r>
      <w:r w:rsidRPr="00923D77">
        <w:rPr>
          <w:rFonts w:cs="Calibri"/>
        </w:rPr>
        <w:t xml:space="preserve"> rast investicija u razdoblju od 2005. </w:t>
      </w:r>
      <w:r w:rsidRPr="00197F28">
        <w:rPr>
          <w:rFonts w:cs="Calibri"/>
        </w:rPr>
        <w:t>do 2008.</w:t>
      </w:r>
      <w:r w:rsidRPr="00923D77">
        <w:rPr>
          <w:rFonts w:cs="Calibri"/>
        </w:rPr>
        <w:t xml:space="preserve"> godine ostvarile su Bugarska i Rumunjska, koje s dolaskom svjetske ekonomske krize doživljavaju i najveći pad izravnih stranih investicija. Utjecaj svjetske krize vidljiv je u svim navedenim zemljama (među njima i Hrvatskoj), budući da se primjećuje osjetni pad izravnih stranih investicija za sve zemlje u 2009. godini, nakon čega slijedi tek vrlo blagi oporavak ili stagnacija istih, </w:t>
      </w:r>
      <w:r w:rsidRPr="00197F28">
        <w:rPr>
          <w:rFonts w:cs="Calibri"/>
        </w:rPr>
        <w:t>uz izuzetak Mađarske i Češke koje su ostvarile rekordan rast u razdoblju između 2011. i 2012. godine.</w:t>
      </w:r>
    </w:p>
    <w:p w:rsidR="00677BA1" w:rsidRDefault="00677BA1" w:rsidP="00923D77">
      <w:pPr>
        <w:spacing w:after="0" w:line="240" w:lineRule="auto"/>
        <w:jc w:val="both"/>
        <w:rPr>
          <w:rFonts w:cs="Calibri"/>
          <w:b/>
          <w:i/>
        </w:rPr>
      </w:pPr>
    </w:p>
    <w:p w:rsidR="00677BA1" w:rsidRDefault="00677BA1" w:rsidP="00923D77">
      <w:pPr>
        <w:spacing w:after="0" w:line="240" w:lineRule="auto"/>
        <w:jc w:val="both"/>
        <w:rPr>
          <w:rFonts w:cs="Calibri"/>
          <w:b/>
          <w:i/>
        </w:rPr>
      </w:pPr>
    </w:p>
    <w:p w:rsidR="00677BA1" w:rsidRDefault="00677BA1" w:rsidP="00923D77">
      <w:pPr>
        <w:spacing w:after="0" w:line="240" w:lineRule="auto"/>
        <w:jc w:val="both"/>
        <w:rPr>
          <w:rFonts w:cs="Calibri"/>
          <w:b/>
          <w:i/>
        </w:rPr>
      </w:pPr>
    </w:p>
    <w:p w:rsidR="00677BA1" w:rsidRDefault="00677BA1" w:rsidP="00923D77">
      <w:pPr>
        <w:spacing w:after="0" w:line="240" w:lineRule="auto"/>
        <w:jc w:val="both"/>
        <w:rPr>
          <w:rFonts w:cs="Calibri"/>
          <w:b/>
          <w:i/>
        </w:rPr>
      </w:pPr>
    </w:p>
    <w:p w:rsidR="00677BA1" w:rsidRDefault="00677BA1" w:rsidP="00923D77">
      <w:pPr>
        <w:spacing w:after="0" w:line="240" w:lineRule="auto"/>
        <w:jc w:val="both"/>
        <w:rPr>
          <w:rFonts w:cs="Calibri"/>
          <w:b/>
          <w:i/>
        </w:rPr>
      </w:pPr>
    </w:p>
    <w:p w:rsidR="00677BA1" w:rsidRDefault="00677BA1" w:rsidP="00923D77">
      <w:pPr>
        <w:spacing w:after="0" w:line="240" w:lineRule="auto"/>
        <w:jc w:val="both"/>
        <w:rPr>
          <w:rFonts w:cs="Calibri"/>
          <w:b/>
          <w:i/>
        </w:rPr>
      </w:pPr>
    </w:p>
    <w:p w:rsidR="00677BA1" w:rsidRDefault="00677BA1" w:rsidP="00923D77">
      <w:pPr>
        <w:spacing w:after="0" w:line="240" w:lineRule="auto"/>
        <w:jc w:val="both"/>
        <w:rPr>
          <w:rFonts w:cs="Calibri"/>
          <w:b/>
          <w:i/>
        </w:rPr>
      </w:pPr>
    </w:p>
    <w:p w:rsidR="000C1520" w:rsidRPr="00923D77" w:rsidRDefault="000C1520" w:rsidP="00923D77">
      <w:pPr>
        <w:spacing w:after="0" w:line="240" w:lineRule="auto"/>
        <w:jc w:val="both"/>
        <w:rPr>
          <w:rFonts w:cs="Calibri"/>
          <w:i/>
        </w:rPr>
      </w:pPr>
      <w:r>
        <w:rPr>
          <w:rFonts w:cs="Calibri"/>
          <w:b/>
          <w:i/>
        </w:rPr>
        <w:lastRenderedPageBreak/>
        <w:t>Grafički prikaz</w:t>
      </w:r>
      <w:r w:rsidRPr="003351C8">
        <w:rPr>
          <w:rFonts w:cs="Calibri"/>
          <w:b/>
          <w:i/>
        </w:rPr>
        <w:t xml:space="preserve"> </w:t>
      </w:r>
      <w:r>
        <w:rPr>
          <w:rFonts w:cs="Calibri"/>
          <w:b/>
          <w:i/>
        </w:rPr>
        <w:t>2</w:t>
      </w:r>
      <w:r w:rsidRPr="003351C8">
        <w:rPr>
          <w:rFonts w:cs="Calibri"/>
          <w:b/>
          <w:i/>
        </w:rPr>
        <w:t>.</w:t>
      </w:r>
      <w:r w:rsidRPr="003351C8">
        <w:rPr>
          <w:rFonts w:cs="Calibri"/>
          <w:i/>
        </w:rPr>
        <w:t xml:space="preserve"> Ukupni iznos izravnih stranih investicij</w:t>
      </w:r>
      <w:r>
        <w:rPr>
          <w:rFonts w:cs="Calibri"/>
          <w:i/>
        </w:rPr>
        <w:t>a</w:t>
      </w:r>
      <w:r w:rsidRPr="003351C8">
        <w:rPr>
          <w:rFonts w:cs="Calibri"/>
          <w:i/>
        </w:rPr>
        <w:t xml:space="preserve"> u zemlj</w:t>
      </w:r>
      <w:r>
        <w:rPr>
          <w:rFonts w:cs="Calibri"/>
          <w:i/>
        </w:rPr>
        <w:t>ama u okruženju po stanovniku (u dolarima</w:t>
      </w:r>
      <w:r w:rsidRPr="003351C8">
        <w:rPr>
          <w:rFonts w:cs="Calibri"/>
          <w:i/>
        </w:rPr>
        <w:t>)</w:t>
      </w:r>
    </w:p>
    <w:p w:rsidR="000C1520" w:rsidRPr="00A1182E" w:rsidRDefault="00D87C12" w:rsidP="00923D77">
      <w:pPr>
        <w:spacing w:line="240" w:lineRule="auto"/>
        <w:jc w:val="both"/>
        <w:rPr>
          <w:rFonts w:cs="Calibri"/>
          <w:i/>
        </w:rPr>
      </w:pPr>
      <w:r>
        <w:rPr>
          <w:noProof/>
        </w:rPr>
        <w:drawing>
          <wp:inline distT="0" distB="0" distL="0" distR="0" wp14:anchorId="3E1511B5" wp14:editId="49552AA4">
            <wp:extent cx="5781675" cy="1847850"/>
            <wp:effectExtent l="0" t="0" r="0" b="0"/>
            <wp:docPr id="3" name="Chart 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0C1520" w:rsidRPr="003351C8">
        <w:rPr>
          <w:rFonts w:cs="Calibri"/>
          <w:b/>
          <w:i/>
          <w:sz w:val="20"/>
          <w:szCs w:val="20"/>
        </w:rPr>
        <w:t>Izvor:</w:t>
      </w:r>
      <w:r w:rsidR="000C1520" w:rsidRPr="003351C8">
        <w:rPr>
          <w:rFonts w:cs="Calibri"/>
          <w:i/>
          <w:sz w:val="20"/>
          <w:szCs w:val="20"/>
        </w:rPr>
        <w:t xml:space="preserve"> World </w:t>
      </w:r>
      <w:proofErr w:type="spellStart"/>
      <w:r w:rsidR="000C1520" w:rsidRPr="003351C8">
        <w:rPr>
          <w:rFonts w:cs="Calibri"/>
          <w:i/>
          <w:sz w:val="20"/>
          <w:szCs w:val="20"/>
        </w:rPr>
        <w:t>Investment</w:t>
      </w:r>
      <w:proofErr w:type="spellEnd"/>
      <w:r w:rsidR="000C1520" w:rsidRPr="003351C8">
        <w:rPr>
          <w:rFonts w:cs="Calibri"/>
          <w:i/>
          <w:sz w:val="20"/>
          <w:szCs w:val="20"/>
        </w:rPr>
        <w:t xml:space="preserve"> </w:t>
      </w:r>
      <w:proofErr w:type="spellStart"/>
      <w:r w:rsidR="000C1520" w:rsidRPr="003351C8">
        <w:rPr>
          <w:rFonts w:cs="Calibri"/>
          <w:i/>
          <w:sz w:val="20"/>
          <w:szCs w:val="20"/>
        </w:rPr>
        <w:t>Report</w:t>
      </w:r>
      <w:proofErr w:type="spellEnd"/>
      <w:r w:rsidR="000C1520" w:rsidRPr="003351C8">
        <w:rPr>
          <w:rFonts w:cs="Calibri"/>
          <w:i/>
          <w:sz w:val="20"/>
          <w:szCs w:val="20"/>
        </w:rPr>
        <w:t xml:space="preserve"> 2013</w:t>
      </w:r>
      <w:r w:rsidR="006D2356">
        <w:rPr>
          <w:rFonts w:cs="Calibri"/>
          <w:i/>
          <w:sz w:val="20"/>
          <w:szCs w:val="20"/>
        </w:rPr>
        <w:t>.</w:t>
      </w:r>
      <w:r w:rsidR="000C1520" w:rsidRPr="003351C8">
        <w:rPr>
          <w:rFonts w:cs="Calibri"/>
          <w:i/>
          <w:sz w:val="20"/>
          <w:szCs w:val="20"/>
        </w:rPr>
        <w:t xml:space="preserve"> (UNCTAD)</w:t>
      </w:r>
    </w:p>
    <w:p w:rsidR="00E603EE" w:rsidRDefault="000C1520" w:rsidP="00E603EE">
      <w:pPr>
        <w:spacing w:after="0" w:line="360" w:lineRule="auto"/>
        <w:jc w:val="both"/>
        <w:rPr>
          <w:rFonts w:cs="Calibri"/>
        </w:rPr>
      </w:pPr>
      <w:r>
        <w:rPr>
          <w:rFonts w:cs="Calibri"/>
        </w:rPr>
        <w:t>Na grafičkom prikazu 3. naveden</w:t>
      </w:r>
      <w:r w:rsidRPr="00923D77">
        <w:rPr>
          <w:rFonts w:cs="Calibri"/>
        </w:rPr>
        <w:t xml:space="preserve">i </w:t>
      </w:r>
      <w:r>
        <w:rPr>
          <w:rFonts w:cs="Calibri"/>
        </w:rPr>
        <w:t xml:space="preserve">su </w:t>
      </w:r>
      <w:r w:rsidRPr="00923D77">
        <w:rPr>
          <w:rFonts w:cs="Calibri"/>
        </w:rPr>
        <w:t xml:space="preserve">ukupni iznosi izravnih stranih investicija u zemljama u okruženju po stanovniku za razdoblje od 2005. do </w:t>
      </w:r>
      <w:r w:rsidRPr="003351C8">
        <w:rPr>
          <w:rFonts w:cs="Calibri"/>
        </w:rPr>
        <w:t>2012.</w:t>
      </w:r>
      <w:r w:rsidRPr="00923D77">
        <w:rPr>
          <w:rFonts w:cs="Calibri"/>
        </w:rPr>
        <w:t xml:space="preserve"> godine. </w:t>
      </w:r>
      <w:r w:rsidRPr="003351C8">
        <w:rPr>
          <w:rFonts w:cs="Calibri"/>
        </w:rPr>
        <w:t>Daleko najviše izravnih stran</w:t>
      </w:r>
      <w:r>
        <w:rPr>
          <w:rFonts w:cs="Calibri"/>
        </w:rPr>
        <w:t xml:space="preserve">ih investicija po stanovniku </w:t>
      </w:r>
      <w:r w:rsidRPr="003351C8">
        <w:rPr>
          <w:rFonts w:cs="Calibri"/>
        </w:rPr>
        <w:t xml:space="preserve">ostvarila </w:t>
      </w:r>
      <w:r>
        <w:rPr>
          <w:rFonts w:cs="Calibri"/>
        </w:rPr>
        <w:t xml:space="preserve">je </w:t>
      </w:r>
      <w:r w:rsidRPr="003351C8">
        <w:rPr>
          <w:rFonts w:cs="Calibri"/>
        </w:rPr>
        <w:t>Bugarska</w:t>
      </w:r>
      <w:r>
        <w:rPr>
          <w:rFonts w:cs="Calibri"/>
        </w:rPr>
        <w:t>,</w:t>
      </w:r>
      <w:r w:rsidRPr="003351C8">
        <w:rPr>
          <w:rFonts w:cs="Calibri"/>
        </w:rPr>
        <w:t xml:space="preserve"> dok je RH na trećem mjestu. Najmanje izravnih stranih investicija po stanovniku ostvarila je Slovenija koja ima najmanje stanovnika, zatim slijedi Rumunjska koja ima daleko najviše stanovnika u odnosu na promatrane zemlje.</w:t>
      </w:r>
    </w:p>
    <w:p w:rsidR="000C1520" w:rsidRPr="00923D77" w:rsidRDefault="000C1520" w:rsidP="00E603EE">
      <w:pPr>
        <w:spacing w:after="0" w:line="360" w:lineRule="auto"/>
        <w:jc w:val="both"/>
        <w:rPr>
          <w:rFonts w:cs="Calibri"/>
        </w:rPr>
      </w:pPr>
      <w:r w:rsidRPr="00923D77">
        <w:rPr>
          <w:rFonts w:cs="Calibri"/>
        </w:rPr>
        <w:t xml:space="preserve">Što se tiče </w:t>
      </w:r>
      <w:r>
        <w:rPr>
          <w:rFonts w:cs="Calibri"/>
        </w:rPr>
        <w:t xml:space="preserve">izravnih stranih investicija u </w:t>
      </w:r>
      <w:proofErr w:type="spellStart"/>
      <w:r w:rsidRPr="00597A43">
        <w:rPr>
          <w:rFonts w:cs="Calibri"/>
          <w:i/>
        </w:rPr>
        <w:t>greenfield</w:t>
      </w:r>
      <w:proofErr w:type="spellEnd"/>
      <w:r>
        <w:rPr>
          <w:rFonts w:cs="Calibri"/>
        </w:rPr>
        <w:t xml:space="preserve"> projekte iz grafičkog prikaza 3.,</w:t>
      </w:r>
      <w:r w:rsidRPr="00923D77">
        <w:rPr>
          <w:rFonts w:cs="Calibri"/>
        </w:rPr>
        <w:t xml:space="preserve"> vid</w:t>
      </w:r>
      <w:r>
        <w:rPr>
          <w:rFonts w:cs="Calibri"/>
        </w:rPr>
        <w:t>ljivo je da je ekonomska kriza imala velik</w:t>
      </w:r>
      <w:r w:rsidRPr="00923D77">
        <w:rPr>
          <w:rFonts w:cs="Calibri"/>
        </w:rPr>
        <w:t xml:space="preserve"> utjecaj na ekonomiju zemalja u okruženju.</w:t>
      </w:r>
    </w:p>
    <w:p w:rsidR="000C1520" w:rsidRPr="00923D77" w:rsidRDefault="000C1520" w:rsidP="00923D77">
      <w:pPr>
        <w:spacing w:after="0" w:line="240" w:lineRule="auto"/>
        <w:jc w:val="both"/>
        <w:rPr>
          <w:rFonts w:cs="Calibri"/>
          <w:i/>
        </w:rPr>
      </w:pPr>
      <w:r>
        <w:rPr>
          <w:rFonts w:cs="Calibri"/>
          <w:b/>
          <w:i/>
        </w:rPr>
        <w:t>Grafički prikaz</w:t>
      </w:r>
      <w:r w:rsidRPr="003351C8">
        <w:rPr>
          <w:rFonts w:cs="Calibri"/>
          <w:b/>
          <w:i/>
        </w:rPr>
        <w:t xml:space="preserve"> 3.</w:t>
      </w:r>
      <w:r>
        <w:rPr>
          <w:rFonts w:cs="Calibri"/>
          <w:i/>
        </w:rPr>
        <w:t xml:space="preserve"> Vrijednost </w:t>
      </w:r>
      <w:proofErr w:type="spellStart"/>
      <w:r>
        <w:rPr>
          <w:rFonts w:cs="Calibri"/>
          <w:i/>
        </w:rPr>
        <w:t>greenfield</w:t>
      </w:r>
      <w:proofErr w:type="spellEnd"/>
      <w:r>
        <w:rPr>
          <w:rFonts w:cs="Calibri"/>
          <w:i/>
        </w:rPr>
        <w:t xml:space="preserve"> projekata u zemljama u okruženju (u milijunima dolara</w:t>
      </w:r>
      <w:r w:rsidRPr="003351C8">
        <w:rPr>
          <w:rFonts w:cs="Calibri"/>
          <w:i/>
        </w:rPr>
        <w:t>)</w:t>
      </w:r>
    </w:p>
    <w:p w:rsidR="005F4C10" w:rsidRDefault="00D87C12" w:rsidP="00597A43">
      <w:pPr>
        <w:spacing w:line="240" w:lineRule="auto"/>
        <w:jc w:val="both"/>
        <w:rPr>
          <w:rFonts w:cs="Calibri"/>
          <w:b/>
          <w:i/>
          <w:sz w:val="20"/>
          <w:szCs w:val="20"/>
        </w:rPr>
      </w:pPr>
      <w:r>
        <w:rPr>
          <w:noProof/>
        </w:rPr>
        <w:drawing>
          <wp:inline distT="0" distB="0" distL="0" distR="0" wp14:anchorId="63519FE8" wp14:editId="4D706850">
            <wp:extent cx="5781675" cy="1762125"/>
            <wp:effectExtent l="0" t="0" r="0" b="0"/>
            <wp:docPr id="4" name="Chart 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C1520" w:rsidRPr="00597A43" w:rsidRDefault="000C1520" w:rsidP="00597A43">
      <w:pPr>
        <w:spacing w:line="240" w:lineRule="auto"/>
        <w:jc w:val="both"/>
        <w:rPr>
          <w:rFonts w:cs="Calibri"/>
          <w:i/>
        </w:rPr>
      </w:pPr>
      <w:r w:rsidRPr="003351C8">
        <w:rPr>
          <w:rFonts w:cs="Calibri"/>
          <w:b/>
          <w:i/>
          <w:sz w:val="20"/>
          <w:szCs w:val="20"/>
        </w:rPr>
        <w:t>Izvor:</w:t>
      </w:r>
      <w:r w:rsidRPr="003351C8">
        <w:rPr>
          <w:rFonts w:cs="Calibri"/>
          <w:i/>
          <w:sz w:val="20"/>
          <w:szCs w:val="20"/>
        </w:rPr>
        <w:t xml:space="preserve"> World </w:t>
      </w:r>
      <w:proofErr w:type="spellStart"/>
      <w:r w:rsidRPr="003351C8">
        <w:rPr>
          <w:rFonts w:cs="Calibri"/>
          <w:i/>
          <w:sz w:val="20"/>
          <w:szCs w:val="20"/>
        </w:rPr>
        <w:t>Investment</w:t>
      </w:r>
      <w:proofErr w:type="spellEnd"/>
      <w:r w:rsidRPr="003351C8">
        <w:rPr>
          <w:rFonts w:cs="Calibri"/>
          <w:i/>
          <w:sz w:val="20"/>
          <w:szCs w:val="20"/>
        </w:rPr>
        <w:t xml:space="preserve"> </w:t>
      </w:r>
      <w:proofErr w:type="spellStart"/>
      <w:r w:rsidRPr="003351C8">
        <w:rPr>
          <w:rFonts w:cs="Calibri"/>
          <w:i/>
          <w:sz w:val="20"/>
          <w:szCs w:val="20"/>
        </w:rPr>
        <w:t>Report</w:t>
      </w:r>
      <w:proofErr w:type="spellEnd"/>
      <w:r w:rsidRPr="003351C8">
        <w:rPr>
          <w:rFonts w:cs="Calibri"/>
          <w:i/>
          <w:sz w:val="20"/>
          <w:szCs w:val="20"/>
        </w:rPr>
        <w:t xml:space="preserve"> 2013</w:t>
      </w:r>
      <w:r w:rsidR="006D2356">
        <w:rPr>
          <w:rFonts w:cs="Calibri"/>
          <w:i/>
          <w:sz w:val="20"/>
          <w:szCs w:val="20"/>
        </w:rPr>
        <w:t>.</w:t>
      </w:r>
      <w:r w:rsidRPr="003351C8">
        <w:rPr>
          <w:rFonts w:cs="Calibri"/>
          <w:i/>
          <w:sz w:val="20"/>
          <w:szCs w:val="20"/>
        </w:rPr>
        <w:t xml:space="preserve"> (UNCTAD)</w:t>
      </w:r>
    </w:p>
    <w:p w:rsidR="000C1520" w:rsidRPr="00923D77" w:rsidRDefault="000C1520" w:rsidP="00923D77">
      <w:pPr>
        <w:spacing w:line="360" w:lineRule="auto"/>
        <w:jc w:val="both"/>
        <w:rPr>
          <w:rFonts w:cs="Calibri"/>
        </w:rPr>
      </w:pPr>
      <w:r w:rsidRPr="00923D77">
        <w:rPr>
          <w:rFonts w:cs="Calibri"/>
        </w:rPr>
        <w:t>Na</w:t>
      </w:r>
      <w:r>
        <w:rPr>
          <w:rFonts w:cs="Calibri"/>
        </w:rPr>
        <w:t xml:space="preserve">jveća koncentracija </w:t>
      </w:r>
      <w:proofErr w:type="spellStart"/>
      <w:r w:rsidRPr="00532454">
        <w:rPr>
          <w:rFonts w:cs="Calibri"/>
          <w:i/>
        </w:rPr>
        <w:t>greenfield</w:t>
      </w:r>
      <w:proofErr w:type="spellEnd"/>
      <w:r w:rsidRPr="00923D77">
        <w:rPr>
          <w:rFonts w:cs="Calibri"/>
        </w:rPr>
        <w:t xml:space="preserve"> </w:t>
      </w:r>
      <w:r>
        <w:rPr>
          <w:rFonts w:cs="Calibri"/>
        </w:rPr>
        <w:t xml:space="preserve">investicija </w:t>
      </w:r>
      <w:r w:rsidRPr="00923D77">
        <w:rPr>
          <w:rFonts w:cs="Calibri"/>
        </w:rPr>
        <w:t>bila je u Rumunj</w:t>
      </w:r>
      <w:r>
        <w:rPr>
          <w:rFonts w:cs="Calibri"/>
        </w:rPr>
        <w:t>skoj dok se najmanje ulagalo</w:t>
      </w:r>
      <w:r w:rsidRPr="00923D77">
        <w:rPr>
          <w:rFonts w:cs="Calibri"/>
        </w:rPr>
        <w:t xml:space="preserve"> u Sloven</w:t>
      </w:r>
      <w:r w:rsidR="006D2356">
        <w:rPr>
          <w:rFonts w:cs="Calibri"/>
        </w:rPr>
        <w:t>iji. Vrijednosti pokazuju kako</w:t>
      </w:r>
      <w:r w:rsidRPr="00923D77">
        <w:rPr>
          <w:rFonts w:cs="Calibri"/>
        </w:rPr>
        <w:t xml:space="preserve"> se</w:t>
      </w:r>
      <w:r>
        <w:rPr>
          <w:rFonts w:cs="Calibri"/>
        </w:rPr>
        <w:t xml:space="preserve"> u Republici Hrvatskoj u razdoblju</w:t>
      </w:r>
      <w:r w:rsidRPr="00923D77">
        <w:rPr>
          <w:rFonts w:cs="Calibri"/>
        </w:rPr>
        <w:t xml:space="preserve"> od osam</w:t>
      </w:r>
      <w:r>
        <w:rPr>
          <w:rFonts w:cs="Calibri"/>
        </w:rPr>
        <w:t xml:space="preserve"> godina znatno manje ulagalo u </w:t>
      </w:r>
      <w:proofErr w:type="spellStart"/>
      <w:r w:rsidRPr="00532454">
        <w:rPr>
          <w:rFonts w:cs="Calibri"/>
          <w:i/>
        </w:rPr>
        <w:t>greenfield</w:t>
      </w:r>
      <w:proofErr w:type="spellEnd"/>
      <w:r w:rsidRPr="00923D77">
        <w:rPr>
          <w:rFonts w:cs="Calibri"/>
        </w:rPr>
        <w:t xml:space="preserve"> projekte</w:t>
      </w:r>
      <w:r>
        <w:rPr>
          <w:rFonts w:cs="Calibri"/>
        </w:rPr>
        <w:t>, u usporedbi s drugim zemljama</w:t>
      </w:r>
      <w:r w:rsidR="006D2356">
        <w:rPr>
          <w:rFonts w:cs="Calibri"/>
        </w:rPr>
        <w:t xml:space="preserve"> u okruženju</w:t>
      </w:r>
      <w:r w:rsidRPr="00923D77">
        <w:rPr>
          <w:rFonts w:cs="Calibri"/>
        </w:rPr>
        <w:t xml:space="preserve"> te da bi Hrvatska t</w:t>
      </w:r>
      <w:r>
        <w:rPr>
          <w:rFonts w:cs="Calibri"/>
        </w:rPr>
        <w:t>rebala više poticati investiranje</w:t>
      </w:r>
      <w:r w:rsidRPr="00923D77">
        <w:rPr>
          <w:rFonts w:cs="Calibri"/>
        </w:rPr>
        <w:t xml:space="preserve"> u takve projekte.</w:t>
      </w:r>
    </w:p>
    <w:p w:rsidR="000C1520" w:rsidRPr="00923D77" w:rsidRDefault="000C1520" w:rsidP="00923D77">
      <w:pPr>
        <w:spacing w:line="360" w:lineRule="auto"/>
        <w:jc w:val="both"/>
        <w:rPr>
          <w:rFonts w:cs="Calibri"/>
        </w:rPr>
      </w:pPr>
      <w:r>
        <w:rPr>
          <w:rFonts w:cs="Calibri"/>
        </w:rPr>
        <w:t>Djelatnosti u koje se</w:t>
      </w:r>
      <w:r w:rsidRPr="00923D77">
        <w:rPr>
          <w:rFonts w:cs="Calibri"/>
        </w:rPr>
        <w:t xml:space="preserve"> najčešće investiralo </w:t>
      </w:r>
      <w:r w:rsidR="00F5458F">
        <w:rPr>
          <w:rFonts w:cs="Calibri"/>
        </w:rPr>
        <w:t xml:space="preserve">na području </w:t>
      </w:r>
      <w:r w:rsidRPr="00923D77">
        <w:rPr>
          <w:rFonts w:cs="Calibri"/>
        </w:rPr>
        <w:t xml:space="preserve">zemalja u okruženju </w:t>
      </w:r>
      <w:r>
        <w:rPr>
          <w:rFonts w:cs="Calibri"/>
        </w:rPr>
        <w:t>je</w:t>
      </w:r>
      <w:r w:rsidRPr="00923D77">
        <w:rPr>
          <w:rFonts w:cs="Calibri"/>
        </w:rPr>
        <w:t xml:space="preserve">su proizvodnja motornih </w:t>
      </w:r>
      <w:r w:rsidR="006D2356">
        <w:rPr>
          <w:rFonts w:cs="Calibri"/>
        </w:rPr>
        <w:t>vozila, električne i elektroničke opreme te strojeva</w:t>
      </w:r>
      <w:r w:rsidRPr="00923D77">
        <w:rPr>
          <w:rFonts w:cs="Calibri"/>
        </w:rPr>
        <w:t>. Zatim se investiralo u energetski sektor, s naglaskom na</w:t>
      </w:r>
      <w:r>
        <w:rPr>
          <w:rFonts w:cs="Calibri"/>
        </w:rPr>
        <w:t xml:space="preserve"> </w:t>
      </w:r>
      <w:r w:rsidRPr="00923D77">
        <w:rPr>
          <w:rFonts w:cs="Calibri"/>
        </w:rPr>
        <w:t>proizvodnju energije putem obnovljivih izvora ene</w:t>
      </w:r>
      <w:r>
        <w:rPr>
          <w:rFonts w:cs="Calibri"/>
        </w:rPr>
        <w:t xml:space="preserve">rgije, kemijsku industriju i </w:t>
      </w:r>
      <w:r w:rsidRPr="00923D77">
        <w:rPr>
          <w:rFonts w:cs="Calibri"/>
        </w:rPr>
        <w:t xml:space="preserve">bankarski </w:t>
      </w:r>
      <w:r w:rsidRPr="00923D77">
        <w:rPr>
          <w:rFonts w:cs="Calibri"/>
        </w:rPr>
        <w:lastRenderedPageBreak/>
        <w:t>sektor. Zemlje koje su najviše inve</w:t>
      </w:r>
      <w:r>
        <w:rPr>
          <w:rFonts w:cs="Calibri"/>
        </w:rPr>
        <w:t xml:space="preserve">stirale u zemlje u okruženju </w:t>
      </w:r>
      <w:r w:rsidRPr="00923D77">
        <w:rPr>
          <w:rFonts w:cs="Calibri"/>
        </w:rPr>
        <w:t xml:space="preserve">ekonomski </w:t>
      </w:r>
      <w:r>
        <w:rPr>
          <w:rFonts w:cs="Calibri"/>
        </w:rPr>
        <w:t xml:space="preserve">su najstabilnije zemlje </w:t>
      </w:r>
      <w:proofErr w:type="spellStart"/>
      <w:r>
        <w:rPr>
          <w:rFonts w:cs="Calibri"/>
        </w:rPr>
        <w:t>Eurozone</w:t>
      </w:r>
      <w:proofErr w:type="spellEnd"/>
      <w:r>
        <w:rPr>
          <w:rFonts w:cs="Calibri"/>
        </w:rPr>
        <w:t xml:space="preserve"> – </w:t>
      </w:r>
      <w:r w:rsidRPr="00923D77">
        <w:rPr>
          <w:rFonts w:cs="Calibri"/>
        </w:rPr>
        <w:t>Niz</w:t>
      </w:r>
      <w:r>
        <w:rPr>
          <w:rFonts w:cs="Calibri"/>
        </w:rPr>
        <w:t>ozemska,</w:t>
      </w:r>
      <w:r w:rsidRPr="00923D77">
        <w:rPr>
          <w:rFonts w:cs="Calibri"/>
        </w:rPr>
        <w:t xml:space="preserve"> Njemačka i Austrija.</w:t>
      </w:r>
    </w:p>
    <w:p w:rsidR="000C1520" w:rsidRPr="00923D77" w:rsidRDefault="000C1520" w:rsidP="00923D77">
      <w:pPr>
        <w:spacing w:line="360" w:lineRule="auto"/>
        <w:jc w:val="both"/>
        <w:rPr>
          <w:rFonts w:cs="Calibri"/>
        </w:rPr>
      </w:pPr>
      <w:r>
        <w:rPr>
          <w:rFonts w:cs="Calibri"/>
        </w:rPr>
        <w:t xml:space="preserve">S obzirom na </w:t>
      </w:r>
      <w:r w:rsidRPr="00923D77">
        <w:rPr>
          <w:rFonts w:cs="Calibri"/>
        </w:rPr>
        <w:t xml:space="preserve">vrijednosti </w:t>
      </w:r>
      <w:r>
        <w:rPr>
          <w:rFonts w:cs="Calibri"/>
        </w:rPr>
        <w:t>navedene u grafičkim prikazima</w:t>
      </w:r>
      <w:r w:rsidRPr="00923D77">
        <w:rPr>
          <w:rFonts w:cs="Calibri"/>
        </w:rPr>
        <w:t xml:space="preserve">, može se zaključiti da je trend investiranja </w:t>
      </w:r>
      <w:r>
        <w:rPr>
          <w:rFonts w:cs="Calibri"/>
        </w:rPr>
        <w:t xml:space="preserve">u RH i zemljama u okruženju </w:t>
      </w:r>
      <w:r w:rsidRPr="00923D77">
        <w:rPr>
          <w:rFonts w:cs="Calibri"/>
        </w:rPr>
        <w:t>bio u porastu. Međ</w:t>
      </w:r>
      <w:r>
        <w:rPr>
          <w:rFonts w:cs="Calibri"/>
        </w:rPr>
        <w:t>utim, pojavom ekonomske krize 2009. godine</w:t>
      </w:r>
      <w:r w:rsidRPr="00923D77">
        <w:rPr>
          <w:rFonts w:cs="Calibri"/>
        </w:rPr>
        <w:t xml:space="preserve"> došlo je do stagnacije i pada investiranja</w:t>
      </w:r>
      <w:r>
        <w:rPr>
          <w:rFonts w:cs="Calibri"/>
        </w:rPr>
        <w:t>, pa</w:t>
      </w:r>
      <w:r w:rsidRPr="00923D77">
        <w:rPr>
          <w:rFonts w:cs="Calibri"/>
        </w:rPr>
        <w:t xml:space="preserve"> se prema pokazat</w:t>
      </w:r>
      <w:r>
        <w:rPr>
          <w:rFonts w:cs="Calibri"/>
        </w:rPr>
        <w:t>eljima može zaključiti da će sl</w:t>
      </w:r>
      <w:r w:rsidRPr="00923D77">
        <w:rPr>
          <w:rFonts w:cs="Calibri"/>
        </w:rPr>
        <w:t>jedeć</w:t>
      </w:r>
      <w:r>
        <w:rPr>
          <w:rFonts w:cs="Calibri"/>
        </w:rPr>
        <w:t>ih nekoliko godina investiranje u zemljama u okruženju</w:t>
      </w:r>
      <w:r w:rsidRPr="00923D77">
        <w:rPr>
          <w:rFonts w:cs="Calibri"/>
        </w:rPr>
        <w:t xml:space="preserve"> biti u padu s obzirom na politič</w:t>
      </w:r>
      <w:r>
        <w:rPr>
          <w:rFonts w:cs="Calibri"/>
        </w:rPr>
        <w:t xml:space="preserve">ku i ekonomsku situaciju u </w:t>
      </w:r>
      <w:proofErr w:type="spellStart"/>
      <w:r>
        <w:rPr>
          <w:rFonts w:cs="Calibri"/>
        </w:rPr>
        <w:t>Euro</w:t>
      </w:r>
      <w:r w:rsidRPr="00923D77">
        <w:rPr>
          <w:rFonts w:cs="Calibri"/>
        </w:rPr>
        <w:t>zoni</w:t>
      </w:r>
      <w:proofErr w:type="spellEnd"/>
      <w:r w:rsidRPr="00923D77">
        <w:rPr>
          <w:rFonts w:cs="Calibri"/>
        </w:rPr>
        <w:t>.</w:t>
      </w:r>
    </w:p>
    <w:p w:rsidR="000C1520" w:rsidRPr="00923D77" w:rsidRDefault="000C1520" w:rsidP="00D74ECD">
      <w:pPr>
        <w:pStyle w:val="Heading3"/>
        <w:rPr>
          <w:rFonts w:cs="Calibri"/>
        </w:rPr>
      </w:pPr>
      <w:bookmarkStart w:id="13" w:name="_Toc373137855"/>
      <w:r>
        <w:t>1.2</w:t>
      </w:r>
      <w:r w:rsidRPr="00923D77">
        <w:t xml:space="preserve">  ANALIZA DOSADAŠNJIH INVESTICIJA U REPUBLICI HRVATSKOJ</w:t>
      </w:r>
      <w:bookmarkEnd w:id="13"/>
    </w:p>
    <w:p w:rsidR="000C1520" w:rsidRPr="009C0EBF" w:rsidRDefault="000C1520" w:rsidP="009C0EBF">
      <w:pPr>
        <w:spacing w:line="360" w:lineRule="auto"/>
        <w:jc w:val="both"/>
        <w:rPr>
          <w:rFonts w:cs="Calibri"/>
        </w:rPr>
      </w:pPr>
      <w:r w:rsidRPr="00923D77">
        <w:rPr>
          <w:rFonts w:cs="Calibri"/>
        </w:rPr>
        <w:t>Politika poticanja investicija važan je dio gospodarske razvojne politike RH i ima velik značaj za zapošljavanje i održiv rast hrva</w:t>
      </w:r>
      <w:r w:rsidR="00F5458F">
        <w:rPr>
          <w:rFonts w:cs="Calibri"/>
        </w:rPr>
        <w:t>tskog gospodarstva. Mali broj</w:t>
      </w:r>
      <w:r w:rsidRPr="00923D77">
        <w:rPr>
          <w:rFonts w:cs="Calibri"/>
        </w:rPr>
        <w:t xml:space="preserve"> izravnih (stranih) investicija u R</w:t>
      </w:r>
      <w:r>
        <w:rPr>
          <w:rFonts w:cs="Calibri"/>
        </w:rPr>
        <w:t>H na početku i sredinom devedesetih godina prošlog stoljeća</w:t>
      </w:r>
      <w:r w:rsidRPr="00923D77">
        <w:rPr>
          <w:rFonts w:cs="Calibri"/>
        </w:rPr>
        <w:t xml:space="preserve"> uzrokovani Domovinskim ratom i nestabilnom političkom situacijom u zemlji usporili su dinamiku priljeva investicija, a time i djelomič</w:t>
      </w:r>
      <w:r>
        <w:rPr>
          <w:rFonts w:cs="Calibri"/>
        </w:rPr>
        <w:t>no umanjili privlačnost tržišta</w:t>
      </w:r>
      <w:r w:rsidRPr="00923D77">
        <w:rPr>
          <w:rFonts w:cs="Calibri"/>
        </w:rPr>
        <w:t xml:space="preserve"> koja, između ostaloga,</w:t>
      </w:r>
      <w:r>
        <w:rPr>
          <w:rFonts w:cs="Calibri"/>
        </w:rPr>
        <w:t xml:space="preserve"> proizlazi iz stabilnosti okruženj</w:t>
      </w:r>
      <w:r w:rsidRPr="00923D77">
        <w:rPr>
          <w:rFonts w:cs="Calibri"/>
        </w:rPr>
        <w:t>a i aglom</w:t>
      </w:r>
      <w:r w:rsidR="009C0EBF">
        <w:rPr>
          <w:rFonts w:cs="Calibri"/>
        </w:rPr>
        <w:t xml:space="preserve">eracije (stranih) investicija. </w:t>
      </w:r>
      <w:r>
        <w:rPr>
          <w:rFonts w:cs="Calibri"/>
          <w:szCs w:val="20"/>
        </w:rPr>
        <w:t>Kad je riječ</w:t>
      </w:r>
      <w:r w:rsidRPr="00923D77">
        <w:rPr>
          <w:rFonts w:cs="Calibri"/>
          <w:szCs w:val="20"/>
        </w:rPr>
        <w:t xml:space="preserve"> o izravnim stranim investicijama, strani kapital u RH najviše je ciljao </w:t>
      </w:r>
      <w:r>
        <w:rPr>
          <w:rFonts w:cs="Calibri"/>
          <w:szCs w:val="20"/>
        </w:rPr>
        <w:t xml:space="preserve">na </w:t>
      </w:r>
      <w:r w:rsidRPr="00923D77">
        <w:rPr>
          <w:rFonts w:cs="Calibri"/>
          <w:szCs w:val="20"/>
        </w:rPr>
        <w:t xml:space="preserve">sektore s razvijenom infrastrukturom i relativno visokim prinosima uz dani rizik. </w:t>
      </w:r>
    </w:p>
    <w:p w:rsidR="000C1520" w:rsidRPr="00923D77" w:rsidRDefault="000C1520" w:rsidP="00923D77">
      <w:pPr>
        <w:spacing w:after="0" w:line="240" w:lineRule="auto"/>
        <w:rPr>
          <w:rFonts w:cs="Calibri"/>
          <w:i/>
        </w:rPr>
      </w:pPr>
      <w:r w:rsidRPr="003351C8">
        <w:rPr>
          <w:rFonts w:cs="Calibri"/>
          <w:b/>
          <w:i/>
        </w:rPr>
        <w:t xml:space="preserve">Tablica </w:t>
      </w:r>
      <w:r>
        <w:rPr>
          <w:rFonts w:cs="Calibri"/>
          <w:b/>
          <w:i/>
        </w:rPr>
        <w:t>3</w:t>
      </w:r>
      <w:r w:rsidRPr="003351C8">
        <w:rPr>
          <w:rFonts w:cs="Calibri"/>
          <w:b/>
          <w:i/>
        </w:rPr>
        <w:t>.</w:t>
      </w:r>
      <w:r w:rsidRPr="003351C8">
        <w:rPr>
          <w:rFonts w:cs="Calibri"/>
          <w:i/>
        </w:rPr>
        <w:t xml:space="preserve"> Izravne strane investicije u Re</w:t>
      </w:r>
      <w:r>
        <w:rPr>
          <w:rFonts w:cs="Calibri"/>
          <w:i/>
        </w:rPr>
        <w:t xml:space="preserve">publici Hrvatskoj od 1993. do 2013. </w:t>
      </w:r>
      <w:r w:rsidR="001F4002">
        <w:rPr>
          <w:rFonts w:cs="Calibri"/>
          <w:i/>
        </w:rPr>
        <w:t>godine</w:t>
      </w:r>
      <w:r>
        <w:rPr>
          <w:rFonts w:cs="Calibri"/>
          <w:i/>
        </w:rPr>
        <w:t>(u milijunima eura</w:t>
      </w:r>
      <w:r w:rsidRPr="003351C8">
        <w:rPr>
          <w:rFonts w:cs="Calibri"/>
          <w:i/>
        </w:rPr>
        <w:t>)</w:t>
      </w:r>
    </w:p>
    <w:tbl>
      <w:tblPr>
        <w:tblpPr w:leftFromText="180" w:rightFromText="180" w:vertAnchor="text" w:horzAnchor="margin" w:tblpY="15"/>
        <w:tblW w:w="4928" w:type="dxa"/>
        <w:tblLook w:val="00A0" w:firstRow="1" w:lastRow="0" w:firstColumn="1" w:lastColumn="0" w:noHBand="0" w:noVBand="0"/>
      </w:tblPr>
      <w:tblGrid>
        <w:gridCol w:w="1526"/>
        <w:gridCol w:w="3402"/>
      </w:tblGrid>
      <w:tr w:rsidR="000C1520" w:rsidRPr="00623771" w:rsidTr="00147CB7">
        <w:trPr>
          <w:trHeight w:val="255"/>
        </w:trPr>
        <w:tc>
          <w:tcPr>
            <w:tcW w:w="1526" w:type="dxa"/>
            <w:tcBorders>
              <w:top w:val="nil"/>
              <w:left w:val="nil"/>
              <w:bottom w:val="single" w:sz="12" w:space="0" w:color="FFFFFF"/>
              <w:right w:val="single" w:sz="4" w:space="0" w:color="FFFFFF"/>
            </w:tcBorders>
            <w:shd w:val="clear" w:color="auto" w:fill="8DB3E2"/>
            <w:noWrap/>
            <w:vAlign w:val="bottom"/>
          </w:tcPr>
          <w:p w:rsidR="000C1520" w:rsidRPr="00623771" w:rsidRDefault="000C1520" w:rsidP="00923D77">
            <w:pPr>
              <w:spacing w:after="0" w:line="240" w:lineRule="auto"/>
              <w:jc w:val="both"/>
              <w:rPr>
                <w:rFonts w:cs="Calibri"/>
                <w:b/>
                <w:bCs/>
                <w:color w:val="000000"/>
                <w:sz w:val="20"/>
                <w:szCs w:val="20"/>
                <w:lang w:eastAsia="zh-CN"/>
              </w:rPr>
            </w:pPr>
            <w:r w:rsidRPr="00623771">
              <w:rPr>
                <w:rFonts w:cs="Calibri"/>
                <w:b/>
                <w:bCs/>
                <w:color w:val="000000"/>
                <w:sz w:val="20"/>
                <w:szCs w:val="20"/>
                <w:lang w:eastAsia="zh-CN"/>
              </w:rPr>
              <w:t>Godina</w:t>
            </w:r>
          </w:p>
        </w:tc>
        <w:tc>
          <w:tcPr>
            <w:tcW w:w="3402" w:type="dxa"/>
            <w:tcBorders>
              <w:top w:val="nil"/>
              <w:left w:val="nil"/>
              <w:bottom w:val="single" w:sz="12" w:space="0" w:color="FFFFFF"/>
              <w:right w:val="nil"/>
            </w:tcBorders>
            <w:shd w:val="clear" w:color="auto" w:fill="8DB3E2"/>
            <w:noWrap/>
            <w:vAlign w:val="bottom"/>
          </w:tcPr>
          <w:p w:rsidR="000C1520" w:rsidRPr="00623771" w:rsidRDefault="000C1520" w:rsidP="00923D77">
            <w:pPr>
              <w:spacing w:after="0" w:line="240" w:lineRule="auto"/>
              <w:ind w:right="-250"/>
              <w:jc w:val="both"/>
              <w:rPr>
                <w:rFonts w:cs="Calibri"/>
                <w:b/>
                <w:bCs/>
                <w:color w:val="000000"/>
                <w:sz w:val="20"/>
                <w:szCs w:val="20"/>
                <w:lang w:eastAsia="zh-CN"/>
              </w:rPr>
            </w:pPr>
            <w:r w:rsidRPr="00623771">
              <w:rPr>
                <w:rFonts w:cs="Calibri"/>
                <w:b/>
                <w:bCs/>
                <w:color w:val="000000"/>
                <w:sz w:val="20"/>
                <w:szCs w:val="20"/>
                <w:lang w:eastAsia="zh-CN"/>
              </w:rPr>
              <w:t>Iznos investicija</w:t>
            </w:r>
          </w:p>
        </w:tc>
      </w:tr>
      <w:tr w:rsidR="001F4002" w:rsidRPr="00623771" w:rsidTr="00677BA1">
        <w:trPr>
          <w:trHeight w:val="134"/>
        </w:trPr>
        <w:tc>
          <w:tcPr>
            <w:tcW w:w="1526" w:type="dxa"/>
            <w:tcBorders>
              <w:top w:val="nil"/>
              <w:left w:val="nil"/>
              <w:bottom w:val="single" w:sz="4" w:space="0" w:color="FFFFFF"/>
              <w:right w:val="single" w:sz="4" w:space="0" w:color="FFFFFF"/>
            </w:tcBorders>
            <w:shd w:val="clear" w:color="auto" w:fill="F2F2F2"/>
            <w:noWrap/>
            <w:vAlign w:val="bottom"/>
          </w:tcPr>
          <w:p w:rsidR="001F4002" w:rsidRPr="00623771" w:rsidRDefault="001F4002" w:rsidP="00923D77">
            <w:pPr>
              <w:spacing w:after="0" w:line="240" w:lineRule="auto"/>
              <w:jc w:val="both"/>
              <w:rPr>
                <w:rFonts w:cs="Calibri"/>
                <w:color w:val="000000"/>
                <w:sz w:val="20"/>
                <w:szCs w:val="20"/>
                <w:lang w:eastAsia="zh-CN"/>
              </w:rPr>
            </w:pPr>
            <w:r w:rsidRPr="00623771">
              <w:rPr>
                <w:rFonts w:cs="Calibri"/>
                <w:color w:val="000000"/>
                <w:sz w:val="20"/>
                <w:szCs w:val="20"/>
                <w:lang w:eastAsia="zh-CN"/>
              </w:rPr>
              <w:t>1993.</w:t>
            </w:r>
          </w:p>
        </w:tc>
        <w:tc>
          <w:tcPr>
            <w:tcW w:w="3402" w:type="dxa"/>
            <w:tcBorders>
              <w:top w:val="nil"/>
              <w:left w:val="nil"/>
              <w:bottom w:val="single" w:sz="4" w:space="0" w:color="FFFFFF"/>
              <w:right w:val="nil"/>
            </w:tcBorders>
            <w:shd w:val="clear" w:color="auto" w:fill="F2F2F2"/>
            <w:noWrap/>
          </w:tcPr>
          <w:p w:rsidR="001F4002" w:rsidRPr="00623771" w:rsidRDefault="001F4002" w:rsidP="00923D77">
            <w:pPr>
              <w:spacing w:after="0" w:line="240" w:lineRule="auto"/>
              <w:jc w:val="both"/>
              <w:rPr>
                <w:rFonts w:cs="Calibri"/>
                <w:color w:val="000000"/>
                <w:sz w:val="20"/>
                <w:szCs w:val="20"/>
                <w:lang w:eastAsia="zh-CN"/>
              </w:rPr>
            </w:pPr>
            <w:r w:rsidRPr="00CB3338">
              <w:t xml:space="preserve">101.0   </w:t>
            </w:r>
          </w:p>
        </w:tc>
      </w:tr>
      <w:tr w:rsidR="001F4002" w:rsidRPr="00623771" w:rsidTr="00677BA1">
        <w:trPr>
          <w:trHeight w:val="179"/>
        </w:trPr>
        <w:tc>
          <w:tcPr>
            <w:tcW w:w="1526" w:type="dxa"/>
            <w:tcBorders>
              <w:top w:val="nil"/>
              <w:left w:val="nil"/>
              <w:bottom w:val="single" w:sz="4" w:space="0" w:color="FFFFFF"/>
              <w:right w:val="single" w:sz="4" w:space="0" w:color="FFFFFF"/>
            </w:tcBorders>
            <w:shd w:val="clear" w:color="auto" w:fill="B8CCE4"/>
            <w:noWrap/>
            <w:vAlign w:val="bottom"/>
          </w:tcPr>
          <w:p w:rsidR="001F4002" w:rsidRPr="00623771" w:rsidRDefault="001F4002" w:rsidP="00923D77">
            <w:pPr>
              <w:spacing w:after="0" w:line="240" w:lineRule="auto"/>
              <w:jc w:val="both"/>
              <w:rPr>
                <w:rFonts w:cs="Calibri"/>
                <w:color w:val="000000"/>
                <w:sz w:val="20"/>
                <w:szCs w:val="20"/>
                <w:lang w:eastAsia="zh-CN"/>
              </w:rPr>
            </w:pPr>
            <w:r w:rsidRPr="00623771">
              <w:rPr>
                <w:rFonts w:cs="Calibri"/>
                <w:color w:val="000000"/>
                <w:sz w:val="20"/>
                <w:szCs w:val="20"/>
                <w:lang w:eastAsia="zh-CN"/>
              </w:rPr>
              <w:t>1994.</w:t>
            </w:r>
          </w:p>
        </w:tc>
        <w:tc>
          <w:tcPr>
            <w:tcW w:w="3402" w:type="dxa"/>
            <w:tcBorders>
              <w:top w:val="nil"/>
              <w:left w:val="nil"/>
              <w:bottom w:val="single" w:sz="4" w:space="0" w:color="FFFFFF"/>
              <w:right w:val="nil"/>
            </w:tcBorders>
            <w:shd w:val="clear" w:color="auto" w:fill="B8CCE4"/>
            <w:noWrap/>
          </w:tcPr>
          <w:p w:rsidR="001F4002" w:rsidRPr="00623771" w:rsidRDefault="001F4002" w:rsidP="00923D77">
            <w:pPr>
              <w:spacing w:after="0" w:line="240" w:lineRule="auto"/>
              <w:jc w:val="both"/>
              <w:rPr>
                <w:rFonts w:cs="Calibri"/>
                <w:color w:val="000000"/>
                <w:sz w:val="20"/>
                <w:szCs w:val="20"/>
                <w:lang w:eastAsia="zh-CN"/>
              </w:rPr>
            </w:pPr>
            <w:r w:rsidRPr="00CB3338">
              <w:t xml:space="preserve">92.8   </w:t>
            </w:r>
          </w:p>
        </w:tc>
      </w:tr>
      <w:tr w:rsidR="001F4002" w:rsidRPr="00623771" w:rsidTr="00677BA1">
        <w:trPr>
          <w:trHeight w:val="148"/>
        </w:trPr>
        <w:tc>
          <w:tcPr>
            <w:tcW w:w="1526" w:type="dxa"/>
            <w:tcBorders>
              <w:top w:val="nil"/>
              <w:left w:val="nil"/>
              <w:bottom w:val="single" w:sz="4" w:space="0" w:color="FFFFFF"/>
              <w:right w:val="single" w:sz="4" w:space="0" w:color="FFFFFF"/>
            </w:tcBorders>
            <w:shd w:val="clear" w:color="auto" w:fill="F2F2F2"/>
            <w:noWrap/>
            <w:vAlign w:val="bottom"/>
          </w:tcPr>
          <w:p w:rsidR="001F4002" w:rsidRPr="00623771" w:rsidRDefault="001F4002" w:rsidP="00923D77">
            <w:pPr>
              <w:spacing w:after="0" w:line="240" w:lineRule="auto"/>
              <w:jc w:val="both"/>
              <w:rPr>
                <w:rFonts w:cs="Calibri"/>
                <w:color w:val="000000"/>
                <w:sz w:val="20"/>
                <w:szCs w:val="20"/>
                <w:lang w:eastAsia="zh-CN"/>
              </w:rPr>
            </w:pPr>
            <w:r w:rsidRPr="00623771">
              <w:rPr>
                <w:rFonts w:cs="Calibri"/>
                <w:color w:val="000000"/>
                <w:sz w:val="20"/>
                <w:szCs w:val="20"/>
                <w:lang w:eastAsia="zh-CN"/>
              </w:rPr>
              <w:t>1995.</w:t>
            </w:r>
          </w:p>
        </w:tc>
        <w:tc>
          <w:tcPr>
            <w:tcW w:w="3402" w:type="dxa"/>
            <w:tcBorders>
              <w:top w:val="nil"/>
              <w:left w:val="nil"/>
              <w:bottom w:val="single" w:sz="4" w:space="0" w:color="FFFFFF"/>
              <w:right w:val="nil"/>
            </w:tcBorders>
            <w:shd w:val="clear" w:color="auto" w:fill="F2F2F2"/>
            <w:noWrap/>
          </w:tcPr>
          <w:p w:rsidR="001F4002" w:rsidRPr="00623771" w:rsidRDefault="001F4002" w:rsidP="00923D77">
            <w:pPr>
              <w:spacing w:after="0" w:line="240" w:lineRule="auto"/>
              <w:jc w:val="both"/>
              <w:rPr>
                <w:rFonts w:cs="Calibri"/>
                <w:color w:val="000000"/>
                <w:sz w:val="20"/>
                <w:szCs w:val="20"/>
                <w:lang w:eastAsia="zh-CN"/>
              </w:rPr>
            </w:pPr>
            <w:r w:rsidRPr="00CB3338">
              <w:t xml:space="preserve">79.1   </w:t>
            </w:r>
          </w:p>
        </w:tc>
      </w:tr>
      <w:tr w:rsidR="001F4002" w:rsidRPr="00623771" w:rsidTr="00677BA1">
        <w:trPr>
          <w:trHeight w:val="165"/>
        </w:trPr>
        <w:tc>
          <w:tcPr>
            <w:tcW w:w="1526" w:type="dxa"/>
            <w:tcBorders>
              <w:top w:val="nil"/>
              <w:left w:val="nil"/>
              <w:bottom w:val="single" w:sz="4" w:space="0" w:color="FFFFFF"/>
              <w:right w:val="single" w:sz="4" w:space="0" w:color="FFFFFF"/>
            </w:tcBorders>
            <w:shd w:val="clear" w:color="auto" w:fill="B8CCE4"/>
            <w:noWrap/>
            <w:vAlign w:val="bottom"/>
          </w:tcPr>
          <w:p w:rsidR="001F4002" w:rsidRPr="00623771" w:rsidRDefault="001F4002" w:rsidP="00923D77">
            <w:pPr>
              <w:spacing w:after="0" w:line="240" w:lineRule="auto"/>
              <w:jc w:val="both"/>
              <w:rPr>
                <w:rFonts w:cs="Calibri"/>
                <w:color w:val="000000"/>
                <w:sz w:val="20"/>
                <w:szCs w:val="20"/>
                <w:lang w:eastAsia="zh-CN"/>
              </w:rPr>
            </w:pPr>
            <w:r w:rsidRPr="00623771">
              <w:rPr>
                <w:rFonts w:cs="Calibri"/>
                <w:color w:val="000000"/>
                <w:sz w:val="20"/>
                <w:szCs w:val="20"/>
                <w:lang w:eastAsia="zh-CN"/>
              </w:rPr>
              <w:t>1996.</w:t>
            </w:r>
          </w:p>
        </w:tc>
        <w:tc>
          <w:tcPr>
            <w:tcW w:w="3402" w:type="dxa"/>
            <w:tcBorders>
              <w:top w:val="nil"/>
              <w:left w:val="nil"/>
              <w:bottom w:val="single" w:sz="4" w:space="0" w:color="FFFFFF"/>
              <w:right w:val="nil"/>
            </w:tcBorders>
            <w:shd w:val="clear" w:color="auto" w:fill="B8CCE4"/>
            <w:noWrap/>
          </w:tcPr>
          <w:p w:rsidR="001F4002" w:rsidRPr="00623771" w:rsidRDefault="001F4002" w:rsidP="00923D77">
            <w:pPr>
              <w:spacing w:after="0" w:line="240" w:lineRule="auto"/>
              <w:jc w:val="both"/>
              <w:rPr>
                <w:rFonts w:cs="Calibri"/>
                <w:color w:val="000000"/>
                <w:sz w:val="20"/>
                <w:szCs w:val="20"/>
                <w:lang w:eastAsia="zh-CN"/>
              </w:rPr>
            </w:pPr>
            <w:r w:rsidRPr="00CB3338">
              <w:t xml:space="preserve">382.1   </w:t>
            </w:r>
          </w:p>
        </w:tc>
      </w:tr>
      <w:tr w:rsidR="001F4002" w:rsidRPr="00623771" w:rsidTr="00677BA1">
        <w:trPr>
          <w:trHeight w:val="156"/>
        </w:trPr>
        <w:tc>
          <w:tcPr>
            <w:tcW w:w="1526" w:type="dxa"/>
            <w:tcBorders>
              <w:top w:val="nil"/>
              <w:left w:val="nil"/>
              <w:bottom w:val="single" w:sz="4" w:space="0" w:color="FFFFFF"/>
              <w:right w:val="single" w:sz="4" w:space="0" w:color="FFFFFF"/>
            </w:tcBorders>
            <w:shd w:val="clear" w:color="auto" w:fill="F2F2F2"/>
            <w:noWrap/>
            <w:vAlign w:val="bottom"/>
          </w:tcPr>
          <w:p w:rsidR="001F4002" w:rsidRPr="00623771" w:rsidRDefault="001F4002" w:rsidP="00923D77">
            <w:pPr>
              <w:spacing w:after="0" w:line="240" w:lineRule="auto"/>
              <w:jc w:val="both"/>
              <w:rPr>
                <w:rFonts w:cs="Calibri"/>
                <w:color w:val="000000"/>
                <w:sz w:val="20"/>
                <w:szCs w:val="20"/>
                <w:lang w:eastAsia="zh-CN"/>
              </w:rPr>
            </w:pPr>
            <w:r w:rsidRPr="00623771">
              <w:rPr>
                <w:rFonts w:cs="Calibri"/>
                <w:color w:val="000000"/>
                <w:sz w:val="20"/>
                <w:szCs w:val="20"/>
                <w:lang w:eastAsia="zh-CN"/>
              </w:rPr>
              <w:t>1997.</w:t>
            </w:r>
          </w:p>
        </w:tc>
        <w:tc>
          <w:tcPr>
            <w:tcW w:w="3402" w:type="dxa"/>
            <w:tcBorders>
              <w:top w:val="nil"/>
              <w:left w:val="nil"/>
              <w:bottom w:val="single" w:sz="4" w:space="0" w:color="FFFFFF"/>
              <w:right w:val="nil"/>
            </w:tcBorders>
            <w:shd w:val="clear" w:color="auto" w:fill="F2F2F2"/>
            <w:noWrap/>
          </w:tcPr>
          <w:p w:rsidR="001F4002" w:rsidRPr="00623771" w:rsidRDefault="001F4002" w:rsidP="00923D77">
            <w:pPr>
              <w:spacing w:after="0" w:line="240" w:lineRule="auto"/>
              <w:jc w:val="both"/>
              <w:rPr>
                <w:rFonts w:cs="Calibri"/>
                <w:color w:val="000000"/>
                <w:sz w:val="20"/>
                <w:szCs w:val="20"/>
                <w:lang w:eastAsia="zh-CN"/>
              </w:rPr>
            </w:pPr>
            <w:r w:rsidRPr="00CB3338">
              <w:t xml:space="preserve">480.2   </w:t>
            </w:r>
          </w:p>
        </w:tc>
      </w:tr>
      <w:tr w:rsidR="001F4002" w:rsidRPr="00623771" w:rsidTr="00677BA1">
        <w:trPr>
          <w:trHeight w:val="136"/>
        </w:trPr>
        <w:tc>
          <w:tcPr>
            <w:tcW w:w="1526" w:type="dxa"/>
            <w:tcBorders>
              <w:top w:val="nil"/>
              <w:left w:val="nil"/>
              <w:bottom w:val="single" w:sz="4" w:space="0" w:color="FFFFFF"/>
              <w:right w:val="single" w:sz="4" w:space="0" w:color="FFFFFF"/>
            </w:tcBorders>
            <w:shd w:val="clear" w:color="auto" w:fill="B8CCE4"/>
            <w:noWrap/>
            <w:vAlign w:val="bottom"/>
          </w:tcPr>
          <w:p w:rsidR="001F4002" w:rsidRPr="00623771" w:rsidRDefault="001F4002" w:rsidP="00923D77">
            <w:pPr>
              <w:spacing w:after="0" w:line="240" w:lineRule="auto"/>
              <w:jc w:val="both"/>
              <w:rPr>
                <w:rFonts w:cs="Calibri"/>
                <w:color w:val="000000"/>
                <w:sz w:val="20"/>
                <w:szCs w:val="20"/>
                <w:lang w:eastAsia="zh-CN"/>
              </w:rPr>
            </w:pPr>
            <w:r w:rsidRPr="00623771">
              <w:rPr>
                <w:rFonts w:cs="Calibri"/>
                <w:color w:val="000000"/>
                <w:sz w:val="20"/>
                <w:szCs w:val="20"/>
                <w:lang w:eastAsia="zh-CN"/>
              </w:rPr>
              <w:t>1998.</w:t>
            </w:r>
          </w:p>
        </w:tc>
        <w:tc>
          <w:tcPr>
            <w:tcW w:w="3402" w:type="dxa"/>
            <w:tcBorders>
              <w:top w:val="nil"/>
              <w:left w:val="nil"/>
              <w:bottom w:val="single" w:sz="4" w:space="0" w:color="FFFFFF"/>
              <w:right w:val="nil"/>
            </w:tcBorders>
            <w:shd w:val="clear" w:color="auto" w:fill="B8CCE4"/>
            <w:noWrap/>
          </w:tcPr>
          <w:p w:rsidR="001F4002" w:rsidRPr="00623771" w:rsidRDefault="001F4002" w:rsidP="00923D77">
            <w:pPr>
              <w:spacing w:after="0" w:line="240" w:lineRule="auto"/>
              <w:jc w:val="both"/>
              <w:rPr>
                <w:rFonts w:cs="Calibri"/>
                <w:color w:val="000000"/>
                <w:sz w:val="20"/>
                <w:szCs w:val="20"/>
                <w:lang w:eastAsia="zh-CN"/>
              </w:rPr>
            </w:pPr>
            <w:r w:rsidRPr="00CB3338">
              <w:t xml:space="preserve">849.7   </w:t>
            </w:r>
          </w:p>
        </w:tc>
      </w:tr>
      <w:tr w:rsidR="001F4002" w:rsidRPr="00623771" w:rsidTr="00677BA1">
        <w:trPr>
          <w:trHeight w:val="124"/>
        </w:trPr>
        <w:tc>
          <w:tcPr>
            <w:tcW w:w="1526" w:type="dxa"/>
            <w:tcBorders>
              <w:top w:val="nil"/>
              <w:left w:val="nil"/>
              <w:bottom w:val="single" w:sz="4" w:space="0" w:color="FFFFFF"/>
              <w:right w:val="single" w:sz="4" w:space="0" w:color="FFFFFF"/>
            </w:tcBorders>
            <w:shd w:val="clear" w:color="auto" w:fill="F2F2F2"/>
            <w:noWrap/>
            <w:vAlign w:val="bottom"/>
          </w:tcPr>
          <w:p w:rsidR="001F4002" w:rsidRPr="00623771" w:rsidRDefault="001F4002" w:rsidP="00923D77">
            <w:pPr>
              <w:spacing w:after="0" w:line="240" w:lineRule="auto"/>
              <w:jc w:val="both"/>
              <w:rPr>
                <w:rFonts w:cs="Calibri"/>
                <w:color w:val="000000"/>
                <w:sz w:val="20"/>
                <w:szCs w:val="20"/>
                <w:lang w:eastAsia="zh-CN"/>
              </w:rPr>
            </w:pPr>
            <w:r w:rsidRPr="00623771">
              <w:rPr>
                <w:rFonts w:cs="Calibri"/>
                <w:color w:val="000000"/>
                <w:sz w:val="20"/>
                <w:szCs w:val="20"/>
                <w:lang w:eastAsia="zh-CN"/>
              </w:rPr>
              <w:t>1999.</w:t>
            </w:r>
          </w:p>
        </w:tc>
        <w:tc>
          <w:tcPr>
            <w:tcW w:w="3402" w:type="dxa"/>
            <w:tcBorders>
              <w:top w:val="nil"/>
              <w:left w:val="nil"/>
              <w:bottom w:val="single" w:sz="4" w:space="0" w:color="FFFFFF"/>
              <w:right w:val="nil"/>
            </w:tcBorders>
            <w:shd w:val="clear" w:color="auto" w:fill="F2F2F2"/>
            <w:noWrap/>
          </w:tcPr>
          <w:p w:rsidR="001F4002" w:rsidRPr="00623771" w:rsidRDefault="001F4002" w:rsidP="00923D77">
            <w:pPr>
              <w:spacing w:after="0" w:line="240" w:lineRule="auto"/>
              <w:jc w:val="both"/>
              <w:rPr>
                <w:rFonts w:cs="Calibri"/>
                <w:color w:val="000000"/>
                <w:sz w:val="20"/>
                <w:szCs w:val="20"/>
                <w:lang w:eastAsia="zh-CN"/>
              </w:rPr>
            </w:pPr>
            <w:r w:rsidRPr="00CB3338">
              <w:t xml:space="preserve">1,362.9   </w:t>
            </w:r>
          </w:p>
        </w:tc>
      </w:tr>
      <w:tr w:rsidR="001F4002" w:rsidRPr="00623771" w:rsidTr="00677BA1">
        <w:trPr>
          <w:trHeight w:val="156"/>
        </w:trPr>
        <w:tc>
          <w:tcPr>
            <w:tcW w:w="1526" w:type="dxa"/>
            <w:tcBorders>
              <w:top w:val="nil"/>
              <w:left w:val="nil"/>
              <w:bottom w:val="single" w:sz="4" w:space="0" w:color="FFFFFF"/>
              <w:right w:val="single" w:sz="4" w:space="0" w:color="FFFFFF"/>
            </w:tcBorders>
            <w:shd w:val="clear" w:color="auto" w:fill="B8CCE4"/>
            <w:noWrap/>
            <w:vAlign w:val="bottom"/>
          </w:tcPr>
          <w:p w:rsidR="001F4002" w:rsidRPr="00623771" w:rsidRDefault="001F4002" w:rsidP="00923D77">
            <w:pPr>
              <w:spacing w:after="0" w:line="240" w:lineRule="auto"/>
              <w:jc w:val="both"/>
              <w:rPr>
                <w:rFonts w:cs="Calibri"/>
                <w:color w:val="000000"/>
                <w:sz w:val="20"/>
                <w:szCs w:val="20"/>
                <w:lang w:eastAsia="zh-CN"/>
              </w:rPr>
            </w:pPr>
            <w:r w:rsidRPr="00623771">
              <w:rPr>
                <w:rFonts w:cs="Calibri"/>
                <w:color w:val="000000"/>
                <w:sz w:val="20"/>
                <w:szCs w:val="20"/>
                <w:lang w:eastAsia="zh-CN"/>
              </w:rPr>
              <w:t>2000.</w:t>
            </w:r>
          </w:p>
        </w:tc>
        <w:tc>
          <w:tcPr>
            <w:tcW w:w="3402" w:type="dxa"/>
            <w:tcBorders>
              <w:top w:val="nil"/>
              <w:left w:val="nil"/>
              <w:bottom w:val="single" w:sz="4" w:space="0" w:color="FFFFFF"/>
              <w:right w:val="nil"/>
            </w:tcBorders>
            <w:shd w:val="clear" w:color="auto" w:fill="B8CCE4"/>
            <w:noWrap/>
          </w:tcPr>
          <w:p w:rsidR="001F4002" w:rsidRPr="00623771" w:rsidRDefault="001F4002" w:rsidP="00923D77">
            <w:pPr>
              <w:spacing w:after="0" w:line="240" w:lineRule="auto"/>
              <w:jc w:val="both"/>
              <w:rPr>
                <w:rFonts w:cs="Calibri"/>
                <w:color w:val="000000"/>
                <w:sz w:val="20"/>
                <w:szCs w:val="20"/>
                <w:lang w:eastAsia="zh-CN"/>
              </w:rPr>
            </w:pPr>
            <w:r w:rsidRPr="00CB3338">
              <w:t xml:space="preserve">1,140.6   </w:t>
            </w:r>
          </w:p>
        </w:tc>
      </w:tr>
      <w:tr w:rsidR="001F4002" w:rsidRPr="00623771" w:rsidTr="00677BA1">
        <w:trPr>
          <w:trHeight w:val="202"/>
        </w:trPr>
        <w:tc>
          <w:tcPr>
            <w:tcW w:w="1526" w:type="dxa"/>
            <w:tcBorders>
              <w:top w:val="nil"/>
              <w:left w:val="nil"/>
              <w:bottom w:val="single" w:sz="4" w:space="0" w:color="FFFFFF"/>
              <w:right w:val="single" w:sz="4" w:space="0" w:color="FFFFFF"/>
            </w:tcBorders>
            <w:shd w:val="clear" w:color="auto" w:fill="F2F2F2"/>
            <w:noWrap/>
            <w:vAlign w:val="bottom"/>
          </w:tcPr>
          <w:p w:rsidR="001F4002" w:rsidRPr="00623771" w:rsidRDefault="001F4002" w:rsidP="00923D77">
            <w:pPr>
              <w:spacing w:after="0" w:line="240" w:lineRule="auto"/>
              <w:jc w:val="both"/>
              <w:rPr>
                <w:rFonts w:cs="Calibri"/>
                <w:color w:val="000000"/>
                <w:sz w:val="20"/>
                <w:szCs w:val="20"/>
                <w:lang w:eastAsia="zh-CN"/>
              </w:rPr>
            </w:pPr>
            <w:r w:rsidRPr="00623771">
              <w:rPr>
                <w:rFonts w:cs="Calibri"/>
                <w:color w:val="000000"/>
                <w:sz w:val="20"/>
                <w:szCs w:val="20"/>
                <w:lang w:eastAsia="zh-CN"/>
              </w:rPr>
              <w:t>2001.</w:t>
            </w:r>
          </w:p>
        </w:tc>
        <w:tc>
          <w:tcPr>
            <w:tcW w:w="3402" w:type="dxa"/>
            <w:tcBorders>
              <w:top w:val="nil"/>
              <w:left w:val="nil"/>
              <w:bottom w:val="single" w:sz="4" w:space="0" w:color="FFFFFF"/>
              <w:right w:val="nil"/>
            </w:tcBorders>
            <w:shd w:val="clear" w:color="auto" w:fill="F2F2F2"/>
            <w:noWrap/>
          </w:tcPr>
          <w:p w:rsidR="001F4002" w:rsidRPr="00623771" w:rsidRDefault="001F4002" w:rsidP="00923D77">
            <w:pPr>
              <w:spacing w:after="0" w:line="240" w:lineRule="auto"/>
              <w:jc w:val="both"/>
              <w:rPr>
                <w:rFonts w:cs="Calibri"/>
                <w:color w:val="000000"/>
                <w:sz w:val="20"/>
                <w:szCs w:val="20"/>
                <w:lang w:eastAsia="zh-CN"/>
              </w:rPr>
            </w:pPr>
            <w:r w:rsidRPr="00CB3338">
              <w:t xml:space="preserve">1,467.5   </w:t>
            </w:r>
          </w:p>
        </w:tc>
      </w:tr>
      <w:tr w:rsidR="001F4002" w:rsidRPr="00623771" w:rsidTr="00677BA1">
        <w:trPr>
          <w:trHeight w:val="106"/>
        </w:trPr>
        <w:tc>
          <w:tcPr>
            <w:tcW w:w="1526" w:type="dxa"/>
            <w:tcBorders>
              <w:top w:val="nil"/>
              <w:left w:val="nil"/>
              <w:bottom w:val="single" w:sz="4" w:space="0" w:color="FFFFFF"/>
              <w:right w:val="single" w:sz="4" w:space="0" w:color="FFFFFF"/>
            </w:tcBorders>
            <w:shd w:val="clear" w:color="auto" w:fill="B8CCE4"/>
            <w:noWrap/>
            <w:vAlign w:val="bottom"/>
          </w:tcPr>
          <w:p w:rsidR="001F4002" w:rsidRPr="00623771" w:rsidRDefault="001F4002" w:rsidP="00923D77">
            <w:pPr>
              <w:spacing w:after="0" w:line="240" w:lineRule="auto"/>
              <w:jc w:val="both"/>
              <w:rPr>
                <w:rFonts w:cs="Calibri"/>
                <w:color w:val="000000"/>
                <w:sz w:val="20"/>
                <w:szCs w:val="20"/>
                <w:lang w:eastAsia="zh-CN"/>
              </w:rPr>
            </w:pPr>
            <w:r w:rsidRPr="00623771">
              <w:rPr>
                <w:rFonts w:cs="Calibri"/>
                <w:color w:val="000000"/>
                <w:sz w:val="20"/>
                <w:szCs w:val="20"/>
                <w:lang w:eastAsia="zh-CN"/>
              </w:rPr>
              <w:t>2002.</w:t>
            </w:r>
          </w:p>
        </w:tc>
        <w:tc>
          <w:tcPr>
            <w:tcW w:w="3402" w:type="dxa"/>
            <w:tcBorders>
              <w:top w:val="nil"/>
              <w:left w:val="nil"/>
              <w:bottom w:val="single" w:sz="4" w:space="0" w:color="FFFFFF"/>
              <w:right w:val="nil"/>
            </w:tcBorders>
            <w:shd w:val="clear" w:color="auto" w:fill="B8CCE4"/>
            <w:noWrap/>
          </w:tcPr>
          <w:p w:rsidR="001F4002" w:rsidRPr="00623771" w:rsidRDefault="001F4002" w:rsidP="00923D77">
            <w:pPr>
              <w:spacing w:after="0" w:line="240" w:lineRule="auto"/>
              <w:jc w:val="both"/>
              <w:rPr>
                <w:rFonts w:cs="Calibri"/>
                <w:color w:val="000000"/>
                <w:sz w:val="20"/>
                <w:szCs w:val="20"/>
                <w:lang w:eastAsia="zh-CN"/>
              </w:rPr>
            </w:pPr>
            <w:r w:rsidRPr="00CB3338">
              <w:t xml:space="preserve">1,137.9   </w:t>
            </w:r>
          </w:p>
        </w:tc>
      </w:tr>
      <w:tr w:rsidR="001F4002" w:rsidRPr="00623771" w:rsidTr="00677BA1">
        <w:trPr>
          <w:trHeight w:val="151"/>
        </w:trPr>
        <w:tc>
          <w:tcPr>
            <w:tcW w:w="1526" w:type="dxa"/>
            <w:tcBorders>
              <w:top w:val="nil"/>
              <w:left w:val="nil"/>
              <w:bottom w:val="single" w:sz="4" w:space="0" w:color="FFFFFF"/>
              <w:right w:val="single" w:sz="4" w:space="0" w:color="FFFFFF"/>
            </w:tcBorders>
            <w:shd w:val="clear" w:color="auto" w:fill="F2F2F2"/>
            <w:noWrap/>
            <w:vAlign w:val="bottom"/>
          </w:tcPr>
          <w:p w:rsidR="001F4002" w:rsidRPr="00623771" w:rsidRDefault="001F4002" w:rsidP="00923D77">
            <w:pPr>
              <w:spacing w:after="0" w:line="240" w:lineRule="auto"/>
              <w:jc w:val="both"/>
              <w:rPr>
                <w:rFonts w:cs="Calibri"/>
                <w:color w:val="000000"/>
                <w:sz w:val="20"/>
                <w:szCs w:val="20"/>
                <w:lang w:eastAsia="zh-CN"/>
              </w:rPr>
            </w:pPr>
            <w:r w:rsidRPr="00623771">
              <w:rPr>
                <w:rFonts w:cs="Calibri"/>
                <w:color w:val="000000"/>
                <w:sz w:val="20"/>
                <w:szCs w:val="20"/>
                <w:lang w:eastAsia="zh-CN"/>
              </w:rPr>
              <w:t>2003.</w:t>
            </w:r>
          </w:p>
        </w:tc>
        <w:tc>
          <w:tcPr>
            <w:tcW w:w="3402" w:type="dxa"/>
            <w:tcBorders>
              <w:top w:val="nil"/>
              <w:left w:val="nil"/>
              <w:bottom w:val="single" w:sz="4" w:space="0" w:color="FFFFFF"/>
              <w:right w:val="nil"/>
            </w:tcBorders>
            <w:shd w:val="clear" w:color="auto" w:fill="F2F2F2"/>
            <w:noWrap/>
          </w:tcPr>
          <w:p w:rsidR="001F4002" w:rsidRPr="00623771" w:rsidRDefault="001F4002" w:rsidP="00923D77">
            <w:pPr>
              <w:spacing w:after="0" w:line="240" w:lineRule="auto"/>
              <w:jc w:val="both"/>
              <w:rPr>
                <w:rFonts w:cs="Calibri"/>
                <w:color w:val="000000"/>
                <w:sz w:val="20"/>
                <w:szCs w:val="20"/>
                <w:lang w:eastAsia="zh-CN"/>
              </w:rPr>
            </w:pPr>
            <w:r w:rsidRPr="00CB3338">
              <w:t xml:space="preserve">1,762.4   </w:t>
            </w:r>
          </w:p>
        </w:tc>
      </w:tr>
      <w:tr w:rsidR="001F4002" w:rsidRPr="00623771" w:rsidTr="00677BA1">
        <w:trPr>
          <w:trHeight w:val="200"/>
        </w:trPr>
        <w:tc>
          <w:tcPr>
            <w:tcW w:w="1526" w:type="dxa"/>
            <w:tcBorders>
              <w:top w:val="nil"/>
              <w:left w:val="nil"/>
              <w:bottom w:val="single" w:sz="4" w:space="0" w:color="FFFFFF"/>
              <w:right w:val="single" w:sz="4" w:space="0" w:color="FFFFFF"/>
            </w:tcBorders>
            <w:shd w:val="clear" w:color="auto" w:fill="B8CCE4"/>
            <w:noWrap/>
            <w:vAlign w:val="bottom"/>
          </w:tcPr>
          <w:p w:rsidR="001F4002" w:rsidRPr="00623771" w:rsidRDefault="001F4002" w:rsidP="00923D77">
            <w:pPr>
              <w:spacing w:after="0" w:line="240" w:lineRule="auto"/>
              <w:jc w:val="both"/>
              <w:rPr>
                <w:rFonts w:cs="Calibri"/>
                <w:color w:val="000000"/>
                <w:sz w:val="20"/>
                <w:szCs w:val="20"/>
                <w:lang w:eastAsia="zh-CN"/>
              </w:rPr>
            </w:pPr>
            <w:r w:rsidRPr="00623771">
              <w:rPr>
                <w:rFonts w:cs="Calibri"/>
                <w:color w:val="000000"/>
                <w:sz w:val="20"/>
                <w:szCs w:val="20"/>
                <w:lang w:eastAsia="zh-CN"/>
              </w:rPr>
              <w:t>2004.</w:t>
            </w:r>
          </w:p>
        </w:tc>
        <w:tc>
          <w:tcPr>
            <w:tcW w:w="3402" w:type="dxa"/>
            <w:tcBorders>
              <w:top w:val="nil"/>
              <w:left w:val="nil"/>
              <w:bottom w:val="single" w:sz="4" w:space="0" w:color="FFFFFF"/>
              <w:right w:val="nil"/>
            </w:tcBorders>
            <w:shd w:val="clear" w:color="auto" w:fill="B8CCE4"/>
            <w:noWrap/>
          </w:tcPr>
          <w:p w:rsidR="001F4002" w:rsidRPr="00623771" w:rsidRDefault="001F4002" w:rsidP="00923D77">
            <w:pPr>
              <w:spacing w:after="0" w:line="240" w:lineRule="auto"/>
              <w:jc w:val="both"/>
              <w:rPr>
                <w:rFonts w:cs="Calibri"/>
                <w:color w:val="000000"/>
                <w:sz w:val="20"/>
                <w:szCs w:val="20"/>
                <w:lang w:eastAsia="zh-CN"/>
              </w:rPr>
            </w:pPr>
            <w:r w:rsidRPr="00CB3338">
              <w:t xml:space="preserve">949.6   </w:t>
            </w:r>
          </w:p>
        </w:tc>
      </w:tr>
      <w:tr w:rsidR="001F4002" w:rsidRPr="00623771" w:rsidTr="00677BA1">
        <w:trPr>
          <w:trHeight w:val="102"/>
        </w:trPr>
        <w:tc>
          <w:tcPr>
            <w:tcW w:w="1526" w:type="dxa"/>
            <w:tcBorders>
              <w:top w:val="nil"/>
              <w:left w:val="nil"/>
              <w:bottom w:val="single" w:sz="4" w:space="0" w:color="FFFFFF"/>
              <w:right w:val="single" w:sz="4" w:space="0" w:color="FFFFFF"/>
            </w:tcBorders>
            <w:shd w:val="clear" w:color="auto" w:fill="F2F2F2"/>
            <w:noWrap/>
            <w:vAlign w:val="bottom"/>
          </w:tcPr>
          <w:p w:rsidR="001F4002" w:rsidRPr="00623771" w:rsidRDefault="001F4002" w:rsidP="00923D77">
            <w:pPr>
              <w:spacing w:after="0" w:line="240" w:lineRule="auto"/>
              <w:jc w:val="both"/>
              <w:rPr>
                <w:rFonts w:cs="Calibri"/>
                <w:color w:val="000000"/>
                <w:sz w:val="20"/>
                <w:szCs w:val="20"/>
                <w:lang w:eastAsia="zh-CN"/>
              </w:rPr>
            </w:pPr>
            <w:r w:rsidRPr="00623771">
              <w:rPr>
                <w:rFonts w:cs="Calibri"/>
                <w:color w:val="000000"/>
                <w:sz w:val="20"/>
                <w:szCs w:val="20"/>
                <w:lang w:eastAsia="zh-CN"/>
              </w:rPr>
              <w:t>2005.</w:t>
            </w:r>
          </w:p>
        </w:tc>
        <w:tc>
          <w:tcPr>
            <w:tcW w:w="3402" w:type="dxa"/>
            <w:tcBorders>
              <w:top w:val="nil"/>
              <w:left w:val="nil"/>
              <w:bottom w:val="single" w:sz="4" w:space="0" w:color="FFFFFF"/>
              <w:right w:val="nil"/>
            </w:tcBorders>
            <w:shd w:val="clear" w:color="auto" w:fill="F2F2F2"/>
            <w:noWrap/>
          </w:tcPr>
          <w:p w:rsidR="001F4002" w:rsidRPr="00623771" w:rsidRDefault="001F4002" w:rsidP="00923D77">
            <w:pPr>
              <w:spacing w:after="0" w:line="240" w:lineRule="auto"/>
              <w:jc w:val="both"/>
              <w:rPr>
                <w:rFonts w:cs="Calibri"/>
                <w:color w:val="000000"/>
                <w:sz w:val="20"/>
                <w:szCs w:val="20"/>
                <w:lang w:eastAsia="zh-CN"/>
              </w:rPr>
            </w:pPr>
            <w:r w:rsidRPr="00CB3338">
              <w:t xml:space="preserve">1,467.8   </w:t>
            </w:r>
          </w:p>
        </w:tc>
      </w:tr>
      <w:tr w:rsidR="001F4002" w:rsidRPr="00623771" w:rsidTr="00677BA1">
        <w:trPr>
          <w:trHeight w:val="134"/>
        </w:trPr>
        <w:tc>
          <w:tcPr>
            <w:tcW w:w="1526" w:type="dxa"/>
            <w:tcBorders>
              <w:top w:val="nil"/>
              <w:left w:val="nil"/>
              <w:bottom w:val="single" w:sz="4" w:space="0" w:color="FFFFFF"/>
              <w:right w:val="single" w:sz="4" w:space="0" w:color="FFFFFF"/>
            </w:tcBorders>
            <w:shd w:val="clear" w:color="auto" w:fill="B8CCE4"/>
            <w:noWrap/>
            <w:vAlign w:val="bottom"/>
          </w:tcPr>
          <w:p w:rsidR="001F4002" w:rsidRPr="00623771" w:rsidRDefault="001F4002" w:rsidP="00923D77">
            <w:pPr>
              <w:spacing w:after="0" w:line="240" w:lineRule="auto"/>
              <w:jc w:val="both"/>
              <w:rPr>
                <w:rFonts w:cs="Calibri"/>
                <w:color w:val="000000"/>
                <w:sz w:val="20"/>
                <w:szCs w:val="20"/>
                <w:lang w:eastAsia="zh-CN"/>
              </w:rPr>
            </w:pPr>
            <w:r w:rsidRPr="00623771">
              <w:rPr>
                <w:rFonts w:cs="Calibri"/>
                <w:color w:val="000000"/>
                <w:sz w:val="20"/>
                <w:szCs w:val="20"/>
                <w:lang w:eastAsia="zh-CN"/>
              </w:rPr>
              <w:t>2006.</w:t>
            </w:r>
          </w:p>
        </w:tc>
        <w:tc>
          <w:tcPr>
            <w:tcW w:w="3402" w:type="dxa"/>
            <w:tcBorders>
              <w:top w:val="nil"/>
              <w:left w:val="nil"/>
              <w:bottom w:val="single" w:sz="4" w:space="0" w:color="FFFFFF"/>
              <w:right w:val="nil"/>
            </w:tcBorders>
            <w:shd w:val="clear" w:color="auto" w:fill="B8CCE4"/>
            <w:noWrap/>
          </w:tcPr>
          <w:p w:rsidR="001F4002" w:rsidRPr="00623771" w:rsidRDefault="001F4002" w:rsidP="00923D77">
            <w:pPr>
              <w:spacing w:after="0" w:line="240" w:lineRule="auto"/>
              <w:jc w:val="both"/>
              <w:rPr>
                <w:rFonts w:cs="Calibri"/>
                <w:color w:val="000000"/>
                <w:sz w:val="20"/>
                <w:szCs w:val="20"/>
                <w:lang w:eastAsia="zh-CN"/>
              </w:rPr>
            </w:pPr>
            <w:r w:rsidRPr="00CB3338">
              <w:t xml:space="preserve">2,575.6   </w:t>
            </w:r>
          </w:p>
        </w:tc>
      </w:tr>
      <w:tr w:rsidR="001F4002" w:rsidRPr="00623771" w:rsidTr="00677BA1">
        <w:trPr>
          <w:trHeight w:val="180"/>
        </w:trPr>
        <w:tc>
          <w:tcPr>
            <w:tcW w:w="1526" w:type="dxa"/>
            <w:tcBorders>
              <w:top w:val="nil"/>
              <w:left w:val="nil"/>
              <w:bottom w:val="single" w:sz="4" w:space="0" w:color="FFFFFF"/>
              <w:right w:val="single" w:sz="4" w:space="0" w:color="FFFFFF"/>
            </w:tcBorders>
            <w:shd w:val="clear" w:color="auto" w:fill="F2F2F2"/>
            <w:noWrap/>
            <w:vAlign w:val="bottom"/>
          </w:tcPr>
          <w:p w:rsidR="001F4002" w:rsidRPr="00623771" w:rsidRDefault="001F4002" w:rsidP="00923D77">
            <w:pPr>
              <w:spacing w:after="0" w:line="240" w:lineRule="auto"/>
              <w:jc w:val="both"/>
              <w:rPr>
                <w:rFonts w:cs="Calibri"/>
                <w:color w:val="000000"/>
                <w:sz w:val="20"/>
                <w:szCs w:val="20"/>
                <w:lang w:eastAsia="zh-CN"/>
              </w:rPr>
            </w:pPr>
            <w:r w:rsidRPr="00623771">
              <w:rPr>
                <w:rFonts w:cs="Calibri"/>
                <w:color w:val="000000"/>
                <w:sz w:val="20"/>
                <w:szCs w:val="20"/>
                <w:lang w:eastAsia="zh-CN"/>
              </w:rPr>
              <w:t>2007.</w:t>
            </w:r>
          </w:p>
        </w:tc>
        <w:tc>
          <w:tcPr>
            <w:tcW w:w="3402" w:type="dxa"/>
            <w:tcBorders>
              <w:top w:val="nil"/>
              <w:left w:val="nil"/>
              <w:bottom w:val="single" w:sz="4" w:space="0" w:color="FFFFFF"/>
              <w:right w:val="nil"/>
            </w:tcBorders>
            <w:shd w:val="clear" w:color="auto" w:fill="F2F2F2"/>
            <w:noWrap/>
          </w:tcPr>
          <w:p w:rsidR="001F4002" w:rsidRPr="00623771" w:rsidRDefault="001F4002" w:rsidP="00923D77">
            <w:pPr>
              <w:spacing w:after="0" w:line="240" w:lineRule="auto"/>
              <w:jc w:val="both"/>
              <w:rPr>
                <w:rFonts w:cs="Calibri"/>
                <w:color w:val="000000"/>
                <w:sz w:val="20"/>
                <w:szCs w:val="20"/>
                <w:lang w:eastAsia="zh-CN"/>
              </w:rPr>
            </w:pPr>
            <w:r w:rsidRPr="00CB3338">
              <w:t xml:space="preserve">3,600.3   </w:t>
            </w:r>
          </w:p>
        </w:tc>
      </w:tr>
      <w:tr w:rsidR="001F4002" w:rsidRPr="00623771" w:rsidTr="00677BA1">
        <w:trPr>
          <w:trHeight w:val="84"/>
        </w:trPr>
        <w:tc>
          <w:tcPr>
            <w:tcW w:w="1526" w:type="dxa"/>
            <w:tcBorders>
              <w:top w:val="nil"/>
              <w:left w:val="nil"/>
              <w:bottom w:val="single" w:sz="4" w:space="0" w:color="FFFFFF"/>
              <w:right w:val="single" w:sz="4" w:space="0" w:color="FFFFFF"/>
            </w:tcBorders>
            <w:shd w:val="clear" w:color="auto" w:fill="B8CCE4"/>
            <w:noWrap/>
            <w:vAlign w:val="bottom"/>
          </w:tcPr>
          <w:p w:rsidR="001F4002" w:rsidRPr="00623771" w:rsidRDefault="001F4002" w:rsidP="00923D77">
            <w:pPr>
              <w:spacing w:after="0" w:line="240" w:lineRule="auto"/>
              <w:jc w:val="both"/>
              <w:rPr>
                <w:rFonts w:cs="Calibri"/>
                <w:color w:val="000000"/>
                <w:sz w:val="20"/>
                <w:szCs w:val="20"/>
                <w:lang w:eastAsia="zh-CN"/>
              </w:rPr>
            </w:pPr>
            <w:r w:rsidRPr="00623771">
              <w:rPr>
                <w:rFonts w:cs="Calibri"/>
                <w:color w:val="000000"/>
                <w:sz w:val="20"/>
                <w:szCs w:val="20"/>
                <w:lang w:eastAsia="zh-CN"/>
              </w:rPr>
              <w:t>2008.</w:t>
            </w:r>
          </w:p>
        </w:tc>
        <w:tc>
          <w:tcPr>
            <w:tcW w:w="3402" w:type="dxa"/>
            <w:tcBorders>
              <w:top w:val="nil"/>
              <w:left w:val="nil"/>
              <w:bottom w:val="single" w:sz="4" w:space="0" w:color="FFFFFF"/>
              <w:right w:val="nil"/>
            </w:tcBorders>
            <w:shd w:val="clear" w:color="auto" w:fill="B8CCE4"/>
            <w:noWrap/>
          </w:tcPr>
          <w:p w:rsidR="001F4002" w:rsidRPr="00623771" w:rsidRDefault="001F4002" w:rsidP="00923D77">
            <w:pPr>
              <w:spacing w:after="0" w:line="240" w:lineRule="auto"/>
              <w:jc w:val="both"/>
              <w:rPr>
                <w:rFonts w:cs="Calibri"/>
                <w:color w:val="000000"/>
                <w:sz w:val="20"/>
                <w:szCs w:val="20"/>
                <w:lang w:eastAsia="zh-CN"/>
              </w:rPr>
            </w:pPr>
            <w:r w:rsidRPr="00CB3338">
              <w:t xml:space="preserve">4,053.8   </w:t>
            </w:r>
          </w:p>
        </w:tc>
      </w:tr>
      <w:tr w:rsidR="001F4002" w:rsidRPr="00623771" w:rsidTr="00677BA1">
        <w:trPr>
          <w:trHeight w:val="130"/>
        </w:trPr>
        <w:tc>
          <w:tcPr>
            <w:tcW w:w="1526" w:type="dxa"/>
            <w:tcBorders>
              <w:top w:val="nil"/>
              <w:left w:val="nil"/>
              <w:bottom w:val="single" w:sz="4" w:space="0" w:color="FFFFFF"/>
              <w:right w:val="single" w:sz="4" w:space="0" w:color="FFFFFF"/>
            </w:tcBorders>
            <w:shd w:val="clear" w:color="auto" w:fill="F2F2F2"/>
            <w:noWrap/>
            <w:vAlign w:val="bottom"/>
          </w:tcPr>
          <w:p w:rsidR="001F4002" w:rsidRPr="00623771" w:rsidRDefault="001F4002" w:rsidP="00923D77">
            <w:pPr>
              <w:spacing w:after="0" w:line="240" w:lineRule="auto"/>
              <w:jc w:val="both"/>
              <w:rPr>
                <w:rFonts w:cs="Calibri"/>
                <w:color w:val="000000"/>
                <w:sz w:val="20"/>
                <w:szCs w:val="20"/>
                <w:lang w:eastAsia="zh-CN"/>
              </w:rPr>
            </w:pPr>
            <w:r w:rsidRPr="00623771">
              <w:rPr>
                <w:rFonts w:cs="Calibri"/>
                <w:color w:val="000000"/>
                <w:sz w:val="20"/>
                <w:szCs w:val="20"/>
                <w:lang w:eastAsia="zh-CN"/>
              </w:rPr>
              <w:t>2009.</w:t>
            </w:r>
          </w:p>
        </w:tc>
        <w:tc>
          <w:tcPr>
            <w:tcW w:w="3402" w:type="dxa"/>
            <w:tcBorders>
              <w:top w:val="nil"/>
              <w:left w:val="nil"/>
              <w:bottom w:val="single" w:sz="4" w:space="0" w:color="FFFFFF"/>
              <w:right w:val="nil"/>
            </w:tcBorders>
            <w:shd w:val="clear" w:color="auto" w:fill="F2F2F2"/>
            <w:noWrap/>
          </w:tcPr>
          <w:p w:rsidR="001F4002" w:rsidRPr="00623771" w:rsidRDefault="001F4002" w:rsidP="00923D77">
            <w:pPr>
              <w:spacing w:after="0" w:line="240" w:lineRule="auto"/>
              <w:jc w:val="both"/>
              <w:rPr>
                <w:rFonts w:cs="Calibri"/>
                <w:color w:val="000000"/>
                <w:sz w:val="20"/>
                <w:szCs w:val="20"/>
                <w:lang w:eastAsia="zh-CN"/>
              </w:rPr>
            </w:pPr>
            <w:r w:rsidRPr="00CB3338">
              <w:t xml:space="preserve">2,408.8   </w:t>
            </w:r>
          </w:p>
        </w:tc>
      </w:tr>
      <w:tr w:rsidR="001F4002" w:rsidRPr="00623771" w:rsidTr="00677BA1">
        <w:trPr>
          <w:trHeight w:val="168"/>
        </w:trPr>
        <w:tc>
          <w:tcPr>
            <w:tcW w:w="1526" w:type="dxa"/>
            <w:tcBorders>
              <w:top w:val="nil"/>
              <w:left w:val="nil"/>
              <w:bottom w:val="single" w:sz="4" w:space="0" w:color="FFFFFF"/>
              <w:right w:val="single" w:sz="4" w:space="0" w:color="FFFFFF"/>
            </w:tcBorders>
            <w:shd w:val="clear" w:color="auto" w:fill="B8CCE4"/>
            <w:noWrap/>
            <w:vAlign w:val="bottom"/>
          </w:tcPr>
          <w:p w:rsidR="001F4002" w:rsidRPr="00623771" w:rsidRDefault="001F4002" w:rsidP="00923D77">
            <w:pPr>
              <w:spacing w:after="0" w:line="240" w:lineRule="auto"/>
              <w:jc w:val="both"/>
              <w:rPr>
                <w:rFonts w:cs="Calibri"/>
                <w:color w:val="000000"/>
                <w:sz w:val="20"/>
                <w:szCs w:val="20"/>
                <w:lang w:eastAsia="zh-CN"/>
              </w:rPr>
            </w:pPr>
            <w:r w:rsidRPr="00623771">
              <w:rPr>
                <w:rFonts w:cs="Calibri"/>
                <w:color w:val="000000"/>
                <w:sz w:val="20"/>
                <w:szCs w:val="20"/>
                <w:lang w:eastAsia="zh-CN"/>
              </w:rPr>
              <w:t>2010.</w:t>
            </w:r>
          </w:p>
        </w:tc>
        <w:tc>
          <w:tcPr>
            <w:tcW w:w="3402" w:type="dxa"/>
            <w:tcBorders>
              <w:top w:val="nil"/>
              <w:left w:val="nil"/>
              <w:bottom w:val="single" w:sz="4" w:space="0" w:color="FFFFFF"/>
              <w:right w:val="nil"/>
            </w:tcBorders>
            <w:shd w:val="clear" w:color="auto" w:fill="B8CCE4"/>
            <w:noWrap/>
          </w:tcPr>
          <w:p w:rsidR="001F4002" w:rsidRPr="00623771" w:rsidRDefault="001F4002" w:rsidP="00923D77">
            <w:pPr>
              <w:spacing w:after="0" w:line="240" w:lineRule="auto"/>
              <w:jc w:val="both"/>
              <w:rPr>
                <w:rFonts w:cs="Calibri"/>
                <w:color w:val="000000"/>
                <w:sz w:val="20"/>
                <w:szCs w:val="20"/>
                <w:lang w:eastAsia="zh-CN"/>
              </w:rPr>
            </w:pPr>
            <w:r w:rsidRPr="00CB3338">
              <w:t xml:space="preserve">370.0   </w:t>
            </w:r>
          </w:p>
        </w:tc>
      </w:tr>
      <w:tr w:rsidR="001F4002" w:rsidRPr="00623771" w:rsidTr="00677BA1">
        <w:trPr>
          <w:trHeight w:val="80"/>
        </w:trPr>
        <w:tc>
          <w:tcPr>
            <w:tcW w:w="1526" w:type="dxa"/>
            <w:tcBorders>
              <w:top w:val="nil"/>
              <w:left w:val="nil"/>
              <w:bottom w:val="single" w:sz="4" w:space="0" w:color="FFFFFF"/>
              <w:right w:val="single" w:sz="4" w:space="0" w:color="FFFFFF"/>
            </w:tcBorders>
            <w:shd w:val="clear" w:color="auto" w:fill="F2F2F2"/>
            <w:noWrap/>
            <w:vAlign w:val="bottom"/>
          </w:tcPr>
          <w:p w:rsidR="001F4002" w:rsidRPr="00623771" w:rsidRDefault="001F4002" w:rsidP="00923D77">
            <w:pPr>
              <w:spacing w:after="0" w:line="240" w:lineRule="auto"/>
              <w:jc w:val="both"/>
              <w:rPr>
                <w:rFonts w:cs="Calibri"/>
                <w:color w:val="000000"/>
                <w:sz w:val="20"/>
                <w:szCs w:val="20"/>
                <w:lang w:eastAsia="zh-CN"/>
              </w:rPr>
            </w:pPr>
            <w:r w:rsidRPr="00623771">
              <w:rPr>
                <w:rFonts w:cs="Calibri"/>
                <w:color w:val="000000"/>
                <w:sz w:val="20"/>
                <w:szCs w:val="20"/>
                <w:lang w:eastAsia="zh-CN"/>
              </w:rPr>
              <w:t>2011.</w:t>
            </w:r>
          </w:p>
        </w:tc>
        <w:tc>
          <w:tcPr>
            <w:tcW w:w="3402" w:type="dxa"/>
            <w:tcBorders>
              <w:top w:val="nil"/>
              <w:left w:val="nil"/>
              <w:bottom w:val="single" w:sz="4" w:space="0" w:color="FFFFFF"/>
              <w:right w:val="nil"/>
            </w:tcBorders>
            <w:shd w:val="clear" w:color="auto" w:fill="F2F2F2"/>
            <w:noWrap/>
          </w:tcPr>
          <w:p w:rsidR="001F4002" w:rsidRPr="00623771" w:rsidRDefault="001F4002" w:rsidP="00923D77">
            <w:pPr>
              <w:spacing w:after="0" w:line="240" w:lineRule="auto"/>
              <w:jc w:val="both"/>
              <w:rPr>
                <w:rFonts w:cs="Calibri"/>
                <w:color w:val="000000"/>
                <w:sz w:val="20"/>
                <w:szCs w:val="20"/>
                <w:lang w:eastAsia="zh-CN"/>
              </w:rPr>
            </w:pPr>
            <w:r w:rsidRPr="00CB3338">
              <w:t xml:space="preserve">1,091.1   </w:t>
            </w:r>
          </w:p>
        </w:tc>
      </w:tr>
      <w:tr w:rsidR="001F4002" w:rsidRPr="00623771" w:rsidTr="00677BA1">
        <w:trPr>
          <w:trHeight w:val="80"/>
        </w:trPr>
        <w:tc>
          <w:tcPr>
            <w:tcW w:w="1526" w:type="dxa"/>
            <w:tcBorders>
              <w:top w:val="nil"/>
              <w:left w:val="nil"/>
              <w:bottom w:val="single" w:sz="4" w:space="0" w:color="FFFFFF"/>
              <w:right w:val="single" w:sz="4" w:space="0" w:color="FFFFFF"/>
            </w:tcBorders>
            <w:shd w:val="clear" w:color="auto" w:fill="B8CCE4"/>
            <w:noWrap/>
            <w:vAlign w:val="bottom"/>
          </w:tcPr>
          <w:p w:rsidR="001F4002" w:rsidRPr="00623771" w:rsidRDefault="001F4002" w:rsidP="00923D77">
            <w:pPr>
              <w:spacing w:after="0" w:line="240" w:lineRule="auto"/>
              <w:jc w:val="both"/>
              <w:rPr>
                <w:rFonts w:cs="Calibri"/>
                <w:color w:val="000000"/>
                <w:sz w:val="20"/>
                <w:szCs w:val="20"/>
                <w:lang w:eastAsia="zh-CN"/>
              </w:rPr>
            </w:pPr>
            <w:r w:rsidRPr="00623771">
              <w:rPr>
                <w:rFonts w:cs="Calibri"/>
                <w:color w:val="000000"/>
                <w:sz w:val="20"/>
                <w:szCs w:val="20"/>
                <w:lang w:eastAsia="zh-CN"/>
              </w:rPr>
              <w:t>2012.</w:t>
            </w:r>
          </w:p>
        </w:tc>
        <w:tc>
          <w:tcPr>
            <w:tcW w:w="3402" w:type="dxa"/>
            <w:tcBorders>
              <w:top w:val="nil"/>
              <w:left w:val="nil"/>
              <w:bottom w:val="single" w:sz="4" w:space="0" w:color="FFFFFF"/>
              <w:right w:val="nil"/>
            </w:tcBorders>
            <w:shd w:val="clear" w:color="auto" w:fill="B8CCE4"/>
            <w:noWrap/>
          </w:tcPr>
          <w:p w:rsidR="001F4002" w:rsidRPr="00623771" w:rsidRDefault="001F4002" w:rsidP="00923D77">
            <w:pPr>
              <w:spacing w:after="0" w:line="240" w:lineRule="auto"/>
              <w:jc w:val="both"/>
              <w:rPr>
                <w:rFonts w:cs="Calibri"/>
                <w:color w:val="000000"/>
                <w:sz w:val="20"/>
                <w:szCs w:val="20"/>
                <w:lang w:eastAsia="zh-CN"/>
              </w:rPr>
            </w:pPr>
            <w:r w:rsidRPr="00CB3338">
              <w:t xml:space="preserve">1,055.0   </w:t>
            </w:r>
          </w:p>
        </w:tc>
      </w:tr>
      <w:tr w:rsidR="001F4002" w:rsidRPr="00623771" w:rsidTr="00677BA1">
        <w:trPr>
          <w:trHeight w:val="204"/>
        </w:trPr>
        <w:tc>
          <w:tcPr>
            <w:tcW w:w="1526" w:type="dxa"/>
            <w:tcBorders>
              <w:top w:val="nil"/>
              <w:left w:val="nil"/>
              <w:bottom w:val="single" w:sz="4" w:space="0" w:color="FFFFFF"/>
              <w:right w:val="single" w:sz="4" w:space="0" w:color="FFFFFF"/>
            </w:tcBorders>
            <w:shd w:val="clear" w:color="auto" w:fill="F2F2F2"/>
            <w:noWrap/>
            <w:vAlign w:val="bottom"/>
          </w:tcPr>
          <w:p w:rsidR="001F4002" w:rsidRPr="00623771" w:rsidRDefault="001F4002" w:rsidP="001F4002">
            <w:pPr>
              <w:spacing w:after="0" w:line="240" w:lineRule="auto"/>
              <w:jc w:val="both"/>
              <w:rPr>
                <w:rFonts w:cs="Calibri"/>
                <w:color w:val="000000"/>
                <w:sz w:val="20"/>
                <w:szCs w:val="20"/>
                <w:lang w:eastAsia="zh-CN"/>
              </w:rPr>
            </w:pPr>
            <w:r w:rsidRPr="00623771">
              <w:rPr>
                <w:rFonts w:cs="Calibri"/>
                <w:color w:val="000000"/>
                <w:sz w:val="20"/>
                <w:szCs w:val="20"/>
                <w:lang w:eastAsia="zh-CN"/>
              </w:rPr>
              <w:t>2013.</w:t>
            </w:r>
          </w:p>
        </w:tc>
        <w:tc>
          <w:tcPr>
            <w:tcW w:w="3402" w:type="dxa"/>
            <w:tcBorders>
              <w:top w:val="nil"/>
              <w:left w:val="nil"/>
              <w:bottom w:val="single" w:sz="4" w:space="0" w:color="FFFFFF"/>
              <w:right w:val="nil"/>
            </w:tcBorders>
            <w:shd w:val="clear" w:color="auto" w:fill="F2F2F2"/>
            <w:noWrap/>
          </w:tcPr>
          <w:p w:rsidR="001F4002" w:rsidRPr="00623771" w:rsidRDefault="001F4002" w:rsidP="00923D77">
            <w:pPr>
              <w:spacing w:after="0" w:line="240" w:lineRule="auto"/>
              <w:jc w:val="both"/>
              <w:rPr>
                <w:rFonts w:cs="Calibri"/>
                <w:color w:val="000000"/>
                <w:sz w:val="20"/>
                <w:szCs w:val="20"/>
                <w:lang w:eastAsia="zh-CN"/>
              </w:rPr>
            </w:pPr>
            <w:r w:rsidRPr="00CB3338">
              <w:t xml:space="preserve">436.9   </w:t>
            </w:r>
          </w:p>
        </w:tc>
      </w:tr>
      <w:tr w:rsidR="000C1520" w:rsidRPr="00623771" w:rsidTr="00147CB7">
        <w:trPr>
          <w:trHeight w:val="95"/>
        </w:trPr>
        <w:tc>
          <w:tcPr>
            <w:tcW w:w="1526" w:type="dxa"/>
            <w:tcBorders>
              <w:top w:val="nil"/>
              <w:left w:val="nil"/>
              <w:bottom w:val="nil"/>
              <w:right w:val="single" w:sz="4" w:space="0" w:color="FFFFFF"/>
            </w:tcBorders>
            <w:shd w:val="clear" w:color="E6B9B8" w:fill="E6B9B8"/>
            <w:noWrap/>
            <w:vAlign w:val="bottom"/>
          </w:tcPr>
          <w:p w:rsidR="000C1520" w:rsidRPr="00623771" w:rsidRDefault="000C1520" w:rsidP="00923D77">
            <w:pPr>
              <w:spacing w:after="0" w:line="240" w:lineRule="auto"/>
              <w:jc w:val="both"/>
              <w:rPr>
                <w:rFonts w:cs="Calibri"/>
                <w:b/>
                <w:color w:val="000000"/>
                <w:sz w:val="20"/>
                <w:szCs w:val="20"/>
                <w:lang w:eastAsia="zh-CN"/>
              </w:rPr>
            </w:pPr>
            <w:r w:rsidRPr="00623771">
              <w:rPr>
                <w:rFonts w:cs="Calibri"/>
                <w:b/>
                <w:color w:val="000000"/>
                <w:sz w:val="20"/>
                <w:szCs w:val="20"/>
                <w:lang w:eastAsia="zh-CN"/>
              </w:rPr>
              <w:t>Ukupno</w:t>
            </w:r>
          </w:p>
        </w:tc>
        <w:tc>
          <w:tcPr>
            <w:tcW w:w="3402" w:type="dxa"/>
            <w:tcBorders>
              <w:top w:val="nil"/>
              <w:left w:val="nil"/>
              <w:bottom w:val="nil"/>
              <w:right w:val="nil"/>
            </w:tcBorders>
            <w:shd w:val="clear" w:color="E6B9B8" w:fill="E6B9B8"/>
            <w:noWrap/>
            <w:vAlign w:val="bottom"/>
          </w:tcPr>
          <w:p w:rsidR="000C1520" w:rsidRPr="00623771" w:rsidRDefault="001F4002" w:rsidP="00923D77">
            <w:pPr>
              <w:spacing w:after="0" w:line="240" w:lineRule="auto"/>
              <w:jc w:val="both"/>
              <w:rPr>
                <w:rFonts w:cs="Calibri"/>
                <w:b/>
                <w:color w:val="000000"/>
                <w:sz w:val="20"/>
                <w:szCs w:val="20"/>
                <w:lang w:eastAsia="zh-CN"/>
              </w:rPr>
            </w:pPr>
            <w:r w:rsidRPr="001F4002">
              <w:rPr>
                <w:rFonts w:cs="Calibri"/>
                <w:b/>
                <w:color w:val="000000"/>
                <w:sz w:val="20"/>
                <w:szCs w:val="20"/>
                <w:lang w:eastAsia="zh-CN"/>
              </w:rPr>
              <w:t xml:space="preserve">26,865.1   </w:t>
            </w:r>
          </w:p>
        </w:tc>
      </w:tr>
    </w:tbl>
    <w:p w:rsidR="000C1520" w:rsidRDefault="000C1520" w:rsidP="00923D77">
      <w:pPr>
        <w:autoSpaceDE w:val="0"/>
        <w:autoSpaceDN w:val="0"/>
        <w:adjustRightInd w:val="0"/>
        <w:spacing w:line="360" w:lineRule="auto"/>
        <w:jc w:val="both"/>
        <w:rPr>
          <w:rFonts w:cs="Calibri"/>
          <w:szCs w:val="20"/>
        </w:rPr>
      </w:pPr>
      <w:r w:rsidRPr="00923D77">
        <w:rPr>
          <w:rFonts w:cs="Calibri"/>
          <w:szCs w:val="20"/>
        </w:rPr>
        <w:t xml:space="preserve">U razdoblju od 1993. </w:t>
      </w:r>
      <w:r>
        <w:rPr>
          <w:rFonts w:cs="Calibri"/>
          <w:szCs w:val="20"/>
        </w:rPr>
        <w:t xml:space="preserve">do </w:t>
      </w:r>
      <w:r w:rsidRPr="00BF4FE0">
        <w:rPr>
          <w:rFonts w:cs="Calibri"/>
          <w:szCs w:val="20"/>
        </w:rPr>
        <w:t>2013.</w:t>
      </w:r>
      <w:r>
        <w:rPr>
          <w:rFonts w:cs="Calibri"/>
          <w:szCs w:val="20"/>
        </w:rPr>
        <w:t xml:space="preserve"> godine</w:t>
      </w:r>
      <w:r w:rsidRPr="00923D77">
        <w:rPr>
          <w:rFonts w:cs="Calibri"/>
          <w:szCs w:val="20"/>
        </w:rPr>
        <w:t xml:space="preserve"> ukupne izravne strane investicije iznos</w:t>
      </w:r>
      <w:r>
        <w:rPr>
          <w:rFonts w:cs="Calibri"/>
          <w:szCs w:val="20"/>
        </w:rPr>
        <w:t>ile su</w:t>
      </w:r>
      <w:r w:rsidRPr="00923D77">
        <w:rPr>
          <w:rFonts w:cs="Calibri"/>
          <w:szCs w:val="20"/>
        </w:rPr>
        <w:t xml:space="preserve"> </w:t>
      </w:r>
      <w:r w:rsidR="001F4002" w:rsidRPr="001F4002">
        <w:rPr>
          <w:rFonts w:cs="Calibri"/>
          <w:szCs w:val="20"/>
        </w:rPr>
        <w:t xml:space="preserve">26,865.1   </w:t>
      </w:r>
      <w:r>
        <w:rPr>
          <w:rFonts w:cs="Calibri"/>
          <w:szCs w:val="20"/>
        </w:rPr>
        <w:t>milijuna eura,</w:t>
      </w:r>
      <w:r w:rsidRPr="00923D77">
        <w:rPr>
          <w:rFonts w:cs="Calibri"/>
          <w:szCs w:val="20"/>
        </w:rPr>
        <w:t xml:space="preserve"> odnosno oko </w:t>
      </w:r>
      <w:r>
        <w:rPr>
          <w:rFonts w:cs="Calibri"/>
          <w:szCs w:val="20"/>
        </w:rPr>
        <w:t xml:space="preserve">6 </w:t>
      </w:r>
      <w:r w:rsidR="001F4002">
        <w:rPr>
          <w:rFonts w:cs="Calibri"/>
          <w:szCs w:val="20"/>
        </w:rPr>
        <w:t>1</w:t>
      </w:r>
      <w:r w:rsidR="001F4002" w:rsidRPr="00BF4FE0">
        <w:rPr>
          <w:rFonts w:cs="Calibri"/>
          <w:szCs w:val="20"/>
        </w:rPr>
        <w:t>00</w:t>
      </w:r>
      <w:r w:rsidR="001F4002">
        <w:rPr>
          <w:rFonts w:cs="Calibri"/>
          <w:szCs w:val="20"/>
        </w:rPr>
        <w:t xml:space="preserve">  </w:t>
      </w:r>
      <w:r>
        <w:rPr>
          <w:rFonts w:cs="Calibri"/>
          <w:szCs w:val="20"/>
        </w:rPr>
        <w:t>eura po stanovniku.</w:t>
      </w:r>
    </w:p>
    <w:p w:rsidR="000C1520" w:rsidRPr="00925F04" w:rsidRDefault="000C1520" w:rsidP="00923D77">
      <w:pPr>
        <w:autoSpaceDE w:val="0"/>
        <w:autoSpaceDN w:val="0"/>
        <w:adjustRightInd w:val="0"/>
        <w:spacing w:line="360" w:lineRule="auto"/>
        <w:jc w:val="both"/>
        <w:rPr>
          <w:rFonts w:cs="Calibri"/>
          <w:szCs w:val="20"/>
        </w:rPr>
      </w:pPr>
      <w:r w:rsidRPr="007C70EB">
        <w:rPr>
          <w:rFonts w:cs="Calibri"/>
          <w:b/>
          <w:i/>
          <w:sz w:val="20"/>
          <w:szCs w:val="20"/>
        </w:rPr>
        <w:t>Izvor:</w:t>
      </w:r>
      <w:r w:rsidRPr="007C70EB">
        <w:rPr>
          <w:rFonts w:cs="Calibri"/>
          <w:i/>
          <w:sz w:val="20"/>
          <w:szCs w:val="20"/>
        </w:rPr>
        <w:t xml:space="preserve"> HNB</w:t>
      </w:r>
    </w:p>
    <w:p w:rsidR="000C1520" w:rsidRPr="00923D77" w:rsidRDefault="000C1520" w:rsidP="00E603EE">
      <w:pPr>
        <w:autoSpaceDE w:val="0"/>
        <w:autoSpaceDN w:val="0"/>
        <w:adjustRightInd w:val="0"/>
        <w:spacing w:line="360" w:lineRule="auto"/>
        <w:ind w:left="4956"/>
        <w:jc w:val="both"/>
        <w:rPr>
          <w:rFonts w:cs="Calibri"/>
        </w:rPr>
      </w:pPr>
      <w:r>
        <w:rPr>
          <w:rFonts w:cs="Calibri"/>
        </w:rPr>
        <w:t>I</w:t>
      </w:r>
      <w:r w:rsidRPr="00923D77">
        <w:rPr>
          <w:rFonts w:cs="Calibri"/>
          <w:szCs w:val="18"/>
        </w:rPr>
        <w:t xml:space="preserve">nozemni kapital počinje znatnije ulaziti </w:t>
      </w:r>
      <w:r>
        <w:rPr>
          <w:rFonts w:cs="Calibri"/>
          <w:szCs w:val="18"/>
        </w:rPr>
        <w:t xml:space="preserve">u RH </w:t>
      </w:r>
      <w:r w:rsidRPr="00340A30">
        <w:rPr>
          <w:rFonts w:cs="Calibri"/>
          <w:szCs w:val="18"/>
        </w:rPr>
        <w:t xml:space="preserve">putem izravnih stranih investicija </w:t>
      </w:r>
      <w:r>
        <w:rPr>
          <w:rFonts w:cs="Calibri"/>
          <w:szCs w:val="18"/>
        </w:rPr>
        <w:t>tek 1996. godine</w:t>
      </w:r>
      <w:r w:rsidRPr="00923D77">
        <w:rPr>
          <w:rFonts w:cs="Calibri"/>
          <w:szCs w:val="18"/>
        </w:rPr>
        <w:t xml:space="preserve">. </w:t>
      </w:r>
      <w:r w:rsidRPr="00923D77">
        <w:rPr>
          <w:rFonts w:cs="Calibri"/>
        </w:rPr>
        <w:t>Velik dio priljeva izravnih stranih investicija u Hrvatskoj u tom razdoblju došao je uslijed privatizacije velikih državnih poduzeća i bio je usmjeren na ba</w:t>
      </w:r>
      <w:r w:rsidR="00D87C12">
        <w:rPr>
          <w:rFonts w:cs="Calibri"/>
        </w:rPr>
        <w:t>nkarski sektor, telekomunikacije</w:t>
      </w:r>
      <w:r w:rsidRPr="00923D77">
        <w:rPr>
          <w:rFonts w:cs="Calibri"/>
        </w:rPr>
        <w:t xml:space="preserve"> i farmaceutsku industriju. Ostali sektori koji su ostvarili izravne strane investicije u RH u tom razdoblju</w:t>
      </w:r>
      <w:r>
        <w:rPr>
          <w:rFonts w:cs="Calibri"/>
        </w:rPr>
        <w:t xml:space="preserve"> bili su manje značajni</w:t>
      </w:r>
      <w:r w:rsidRPr="00923D77">
        <w:rPr>
          <w:rFonts w:cs="Calibri"/>
        </w:rPr>
        <w:t xml:space="preserve"> u </w:t>
      </w:r>
      <w:r w:rsidR="00E603EE">
        <w:rPr>
          <w:rFonts w:cs="Calibri"/>
        </w:rPr>
        <w:t xml:space="preserve">   </w:t>
      </w:r>
      <w:r w:rsidRPr="00923D77">
        <w:rPr>
          <w:rFonts w:cs="Calibri"/>
        </w:rPr>
        <w:t>restrukturira</w:t>
      </w:r>
      <w:r>
        <w:rPr>
          <w:rFonts w:cs="Calibri"/>
        </w:rPr>
        <w:t>n</w:t>
      </w:r>
      <w:r w:rsidRPr="00923D77">
        <w:rPr>
          <w:rFonts w:cs="Calibri"/>
        </w:rPr>
        <w:t>ju gospodarstva.</w:t>
      </w:r>
    </w:p>
    <w:p w:rsidR="000C1520" w:rsidRPr="00923D77" w:rsidRDefault="000C1520" w:rsidP="00923D77">
      <w:pPr>
        <w:spacing w:line="360" w:lineRule="auto"/>
        <w:jc w:val="both"/>
        <w:rPr>
          <w:rFonts w:cs="Calibri"/>
        </w:rPr>
      </w:pPr>
      <w:r w:rsidRPr="00923D77">
        <w:rPr>
          <w:rFonts w:cs="Calibri"/>
          <w:bCs/>
        </w:rPr>
        <w:lastRenderedPageBreak/>
        <w:t>Promatrajući izravne strane inv</w:t>
      </w:r>
      <w:r>
        <w:rPr>
          <w:rFonts w:cs="Calibri"/>
          <w:bCs/>
        </w:rPr>
        <w:t>esticije zadnjih nekoliko godina</w:t>
      </w:r>
      <w:r w:rsidRPr="00923D77">
        <w:rPr>
          <w:rFonts w:cs="Calibri"/>
          <w:bCs/>
        </w:rPr>
        <w:t xml:space="preserve">, u razdoblju </w:t>
      </w:r>
      <w:r>
        <w:rPr>
          <w:rFonts w:cs="Calibri"/>
          <w:bCs/>
        </w:rPr>
        <w:t xml:space="preserve">od </w:t>
      </w:r>
      <w:r w:rsidRPr="00923D77">
        <w:rPr>
          <w:rFonts w:cs="Calibri"/>
        </w:rPr>
        <w:t>2005. godin</w:t>
      </w:r>
      <w:r>
        <w:rPr>
          <w:rFonts w:cs="Calibri"/>
        </w:rPr>
        <w:t>e 2013.</w:t>
      </w:r>
      <w:r w:rsidRPr="00923D77">
        <w:rPr>
          <w:rFonts w:cs="Calibri"/>
        </w:rPr>
        <w:t>, vidljivo je da su izravne strane investicije bile u kontinuiranom porastu u razdoblju od 2005. do 2008. godine, u kojo</w:t>
      </w:r>
      <w:r>
        <w:rPr>
          <w:rFonts w:cs="Calibri"/>
        </w:rPr>
        <w:t xml:space="preserve">j je zabilježeno </w:t>
      </w:r>
      <w:r w:rsidR="00FB1781">
        <w:rPr>
          <w:rFonts w:cs="Calibri"/>
        </w:rPr>
        <w:t xml:space="preserve">preko </w:t>
      </w:r>
      <w:r>
        <w:rPr>
          <w:rFonts w:cs="Calibri"/>
        </w:rPr>
        <w:t>4</w:t>
      </w:r>
      <w:r w:rsidR="00FB1781">
        <w:rPr>
          <w:rFonts w:cs="Calibri"/>
        </w:rPr>
        <w:t>-</w:t>
      </w:r>
      <w:r>
        <w:rPr>
          <w:rFonts w:cs="Calibri"/>
        </w:rPr>
        <w:t xml:space="preserve"> milijarde eura</w:t>
      </w:r>
      <w:r w:rsidRPr="00923D77">
        <w:rPr>
          <w:rFonts w:cs="Calibri"/>
        </w:rPr>
        <w:t xml:space="preserve"> izravnih stranih investicija što je najviše od osamostaljenja RH. Nakon 2008. godine slijedi razdoblje kontinuiranog pada izravnih stranih investicija,</w:t>
      </w:r>
      <w:r>
        <w:rPr>
          <w:rFonts w:cs="Calibri"/>
        </w:rPr>
        <w:t xml:space="preserve"> osim</w:t>
      </w:r>
      <w:r w:rsidRPr="00923D77">
        <w:rPr>
          <w:rFonts w:cs="Calibri"/>
        </w:rPr>
        <w:t xml:space="preserve"> 2011. </w:t>
      </w:r>
      <w:r w:rsidR="00A03E37">
        <w:rPr>
          <w:rFonts w:cs="Calibri"/>
        </w:rPr>
        <w:t>g</w:t>
      </w:r>
      <w:r w:rsidR="00A03E37" w:rsidRPr="00923D77">
        <w:rPr>
          <w:rFonts w:cs="Calibri"/>
        </w:rPr>
        <w:t>odine</w:t>
      </w:r>
      <w:r w:rsidRPr="00923D77">
        <w:rPr>
          <w:rFonts w:cs="Calibri"/>
        </w:rPr>
        <w:t xml:space="preserve">. </w:t>
      </w:r>
      <w:r w:rsidRPr="00BF4FE0">
        <w:rPr>
          <w:rFonts w:cs="Calibri"/>
        </w:rPr>
        <w:t>U 2012. godini ostvareni su rezultati na razini prethodne godine uz blagi pad</w:t>
      </w:r>
      <w:r w:rsidR="00A03E37">
        <w:rPr>
          <w:rFonts w:cs="Calibri"/>
        </w:rPr>
        <w:t>, dok je u 2013. zabilježen drastičan pad investicija</w:t>
      </w:r>
      <w:r w:rsidRPr="00BF4FE0">
        <w:rPr>
          <w:rFonts w:cs="Calibri"/>
        </w:rPr>
        <w:t>.</w:t>
      </w:r>
      <w:r>
        <w:rPr>
          <w:rFonts w:cs="Calibri"/>
        </w:rPr>
        <w:t xml:space="preserve"> P</w:t>
      </w:r>
      <w:r w:rsidRPr="00923D77">
        <w:rPr>
          <w:rFonts w:cs="Calibri"/>
        </w:rPr>
        <w:t xml:space="preserve">rema podacima Hrvatske </w:t>
      </w:r>
      <w:r>
        <w:rPr>
          <w:rFonts w:cs="Calibri"/>
        </w:rPr>
        <w:t>narodne banke</w:t>
      </w:r>
      <w:r w:rsidRPr="00BF4FE0">
        <w:rPr>
          <w:rFonts w:cs="Calibri"/>
        </w:rPr>
        <w:t xml:space="preserve"> </w:t>
      </w:r>
      <w:r>
        <w:rPr>
          <w:rFonts w:cs="Calibri"/>
        </w:rPr>
        <w:t xml:space="preserve">u razdoblju od 2005. do 2013. godine u RH je </w:t>
      </w:r>
      <w:r w:rsidRPr="00923D77">
        <w:rPr>
          <w:rFonts w:cs="Calibri"/>
        </w:rPr>
        <w:t xml:space="preserve">uloženo </w:t>
      </w:r>
      <w:r>
        <w:rPr>
          <w:rFonts w:cs="Calibri"/>
        </w:rPr>
        <w:t>17,</w:t>
      </w:r>
      <w:r w:rsidR="00A03E37">
        <w:rPr>
          <w:rFonts w:cs="Calibri"/>
        </w:rPr>
        <w:t xml:space="preserve">06 </w:t>
      </w:r>
      <w:r>
        <w:rPr>
          <w:rFonts w:cs="Calibri"/>
        </w:rPr>
        <w:t xml:space="preserve">milijardi eura, </w:t>
      </w:r>
      <w:r>
        <w:rPr>
          <w:rFonts w:cs="Calibri"/>
          <w:bCs/>
        </w:rPr>
        <w:t xml:space="preserve">odnosno oko </w:t>
      </w:r>
      <w:r w:rsidR="00A03E37">
        <w:rPr>
          <w:rFonts w:cs="Calibri"/>
          <w:bCs/>
        </w:rPr>
        <w:t>3 900</w:t>
      </w:r>
      <w:r>
        <w:rPr>
          <w:rFonts w:cs="Calibri"/>
          <w:bCs/>
        </w:rPr>
        <w:t xml:space="preserve"> eura</w:t>
      </w:r>
      <w:r w:rsidRPr="00BF4FE0">
        <w:rPr>
          <w:rFonts w:cs="Calibri"/>
          <w:bCs/>
        </w:rPr>
        <w:t xml:space="preserve"> po stanovniku.</w:t>
      </w:r>
    </w:p>
    <w:p w:rsidR="000C1520" w:rsidRPr="00923D77" w:rsidRDefault="000C1520" w:rsidP="00923D77">
      <w:pPr>
        <w:spacing w:line="360" w:lineRule="auto"/>
        <w:jc w:val="both"/>
        <w:rPr>
          <w:rFonts w:cs="Calibri"/>
        </w:rPr>
      </w:pPr>
      <w:r>
        <w:rPr>
          <w:rFonts w:cs="Calibri"/>
        </w:rPr>
        <w:t>Iz grafičkog prikaza</w:t>
      </w:r>
      <w:r w:rsidRPr="00923D77">
        <w:rPr>
          <w:rFonts w:cs="Calibri"/>
        </w:rPr>
        <w:t xml:space="preserve"> 5. vidljivo je da već</w:t>
      </w:r>
      <w:r>
        <w:rPr>
          <w:rFonts w:cs="Calibri"/>
        </w:rPr>
        <w:t>ina izravnih stranih ulaganja</w:t>
      </w:r>
      <w:r w:rsidRPr="00923D77">
        <w:rPr>
          <w:rFonts w:cs="Calibri"/>
        </w:rPr>
        <w:t xml:space="preserve"> dolazi iz</w:t>
      </w:r>
      <w:r>
        <w:rPr>
          <w:rFonts w:cs="Calibri"/>
        </w:rPr>
        <w:t xml:space="preserve"> ostatka Europe</w:t>
      </w:r>
      <w:r w:rsidRPr="00923D77">
        <w:rPr>
          <w:rFonts w:cs="Calibri"/>
        </w:rPr>
        <w:t xml:space="preserve">. </w:t>
      </w:r>
      <w:r>
        <w:rPr>
          <w:rFonts w:cs="Calibri"/>
        </w:rPr>
        <w:t xml:space="preserve">Tradicionalno je najveći investitor u RH </w:t>
      </w:r>
      <w:r w:rsidRPr="00BF4FE0">
        <w:rPr>
          <w:rFonts w:cs="Calibri"/>
        </w:rPr>
        <w:t>Aus</w:t>
      </w:r>
      <w:r>
        <w:rPr>
          <w:rFonts w:cs="Calibri"/>
        </w:rPr>
        <w:t>trija s uloženih 4,4</w:t>
      </w:r>
      <w:r w:rsidR="00F91C55">
        <w:rPr>
          <w:rFonts w:cs="Calibri"/>
        </w:rPr>
        <w:t>5</w:t>
      </w:r>
      <w:r>
        <w:rPr>
          <w:rFonts w:cs="Calibri"/>
        </w:rPr>
        <w:t xml:space="preserve"> milijarde eura. Slijede je Nizozemska s </w:t>
      </w:r>
      <w:r w:rsidR="00F91C55">
        <w:rPr>
          <w:rFonts w:cs="Calibri"/>
        </w:rPr>
        <w:t>2,8</w:t>
      </w:r>
      <w:r>
        <w:rPr>
          <w:rFonts w:cs="Calibri"/>
        </w:rPr>
        <w:t xml:space="preserve">milijarde eura, Mađarska s </w:t>
      </w:r>
      <w:r w:rsidR="00F91C55">
        <w:rPr>
          <w:rFonts w:cs="Calibri"/>
        </w:rPr>
        <w:t>1,7</w:t>
      </w:r>
      <w:r>
        <w:rPr>
          <w:rFonts w:cs="Calibri"/>
        </w:rPr>
        <w:t>milijardi eura</w:t>
      </w:r>
      <w:r w:rsidRPr="00BF4FE0">
        <w:rPr>
          <w:rFonts w:cs="Calibri"/>
        </w:rPr>
        <w:t>, Francusk</w:t>
      </w:r>
      <w:r>
        <w:rPr>
          <w:rFonts w:cs="Calibri"/>
        </w:rPr>
        <w:t>a s 1,</w:t>
      </w:r>
      <w:r w:rsidR="00F91C55">
        <w:rPr>
          <w:rFonts w:cs="Calibri"/>
        </w:rPr>
        <w:t xml:space="preserve">21 </w:t>
      </w:r>
      <w:r>
        <w:rPr>
          <w:rFonts w:cs="Calibri"/>
        </w:rPr>
        <w:t>milijarde eura, Njemačka s 1,</w:t>
      </w:r>
      <w:r w:rsidR="00F91C55">
        <w:rPr>
          <w:rFonts w:cs="Calibri"/>
        </w:rPr>
        <w:t xml:space="preserve">2 </w:t>
      </w:r>
      <w:r>
        <w:rPr>
          <w:rFonts w:cs="Calibri"/>
        </w:rPr>
        <w:t xml:space="preserve">milijardi eura, </w:t>
      </w:r>
      <w:r w:rsidR="00F91C55">
        <w:rPr>
          <w:rFonts w:cs="Calibri"/>
        </w:rPr>
        <w:t xml:space="preserve">potom slijede </w:t>
      </w:r>
      <w:r>
        <w:rPr>
          <w:rFonts w:cs="Calibri"/>
        </w:rPr>
        <w:t>Luksemburg s 1,</w:t>
      </w:r>
      <w:r w:rsidR="00F91C55">
        <w:rPr>
          <w:rFonts w:cs="Calibri"/>
        </w:rPr>
        <w:t xml:space="preserve">18 </w:t>
      </w:r>
      <w:r>
        <w:rPr>
          <w:rFonts w:cs="Calibri"/>
        </w:rPr>
        <w:t xml:space="preserve">milijardi eura, Nizozemski Antili s </w:t>
      </w:r>
      <w:r w:rsidR="00F91C55">
        <w:rPr>
          <w:rFonts w:cs="Calibri"/>
        </w:rPr>
        <w:t xml:space="preserve">870 </w:t>
      </w:r>
      <w:r>
        <w:rPr>
          <w:rFonts w:cs="Calibri"/>
        </w:rPr>
        <w:t xml:space="preserve">milijun eura, Slovenija sa </w:t>
      </w:r>
      <w:r w:rsidR="00F91C55">
        <w:rPr>
          <w:rFonts w:cs="Calibri"/>
        </w:rPr>
        <w:t xml:space="preserve">801 </w:t>
      </w:r>
      <w:r>
        <w:rPr>
          <w:rFonts w:cs="Calibri"/>
        </w:rPr>
        <w:t xml:space="preserve">milijuna eura, Italija sa </w:t>
      </w:r>
      <w:r w:rsidR="00F91C55">
        <w:rPr>
          <w:rFonts w:cs="Calibri"/>
        </w:rPr>
        <w:t xml:space="preserve">695 </w:t>
      </w:r>
      <w:r>
        <w:rPr>
          <w:rFonts w:cs="Calibri"/>
        </w:rPr>
        <w:t xml:space="preserve">milijuna eura i Belgija s </w:t>
      </w:r>
      <w:r w:rsidR="00F91C55">
        <w:rPr>
          <w:rFonts w:cs="Calibri"/>
        </w:rPr>
        <w:t xml:space="preserve">553 </w:t>
      </w:r>
      <w:r>
        <w:rPr>
          <w:rFonts w:cs="Calibri"/>
        </w:rPr>
        <w:t>milijuna eura</w:t>
      </w:r>
      <w:r w:rsidRPr="00BF4FE0">
        <w:rPr>
          <w:rFonts w:cs="Calibri"/>
        </w:rPr>
        <w:t>. Prvih 10 zemalja zaj</w:t>
      </w:r>
      <w:r>
        <w:rPr>
          <w:rFonts w:cs="Calibri"/>
        </w:rPr>
        <w:t xml:space="preserve">edno je uložilo </w:t>
      </w:r>
      <w:r w:rsidR="00A03E37">
        <w:rPr>
          <w:rFonts w:cs="Calibri"/>
        </w:rPr>
        <w:t>15,5</w:t>
      </w:r>
      <w:r>
        <w:rPr>
          <w:rFonts w:cs="Calibri"/>
        </w:rPr>
        <w:t xml:space="preserve"> milijarde eura</w:t>
      </w:r>
      <w:r w:rsidRPr="00BF4FE0">
        <w:rPr>
          <w:rFonts w:cs="Calibri"/>
        </w:rPr>
        <w:t xml:space="preserve"> što iznosi </w:t>
      </w:r>
      <w:r w:rsidR="00A03E37" w:rsidRPr="00BF4FE0">
        <w:rPr>
          <w:rFonts w:cs="Calibri"/>
        </w:rPr>
        <w:t>9</w:t>
      </w:r>
      <w:r w:rsidR="00A03E37">
        <w:rPr>
          <w:rFonts w:cs="Calibri"/>
        </w:rPr>
        <w:t>1</w:t>
      </w:r>
      <w:r w:rsidRPr="00BF4FE0">
        <w:rPr>
          <w:rFonts w:cs="Calibri"/>
        </w:rPr>
        <w:t>% ukup</w:t>
      </w:r>
      <w:r>
        <w:rPr>
          <w:rFonts w:cs="Calibri"/>
        </w:rPr>
        <w:t>nih izravnih stranih ulaganja</w:t>
      </w:r>
      <w:r w:rsidRPr="00BF4FE0">
        <w:rPr>
          <w:rFonts w:cs="Calibri"/>
        </w:rPr>
        <w:t xml:space="preserve"> u </w:t>
      </w:r>
      <w:r>
        <w:rPr>
          <w:rFonts w:cs="Calibri"/>
        </w:rPr>
        <w:t>promatranom razdoblju. Visoku</w:t>
      </w:r>
      <w:r w:rsidRPr="00BF4FE0">
        <w:rPr>
          <w:rFonts w:cs="Calibri"/>
        </w:rPr>
        <w:t xml:space="preserve"> koncentrac</w:t>
      </w:r>
      <w:r>
        <w:rPr>
          <w:rFonts w:cs="Calibri"/>
        </w:rPr>
        <w:t>iju izravnih stranih ulaganja potvrđuje</w:t>
      </w:r>
      <w:r w:rsidRPr="00BF4FE0">
        <w:rPr>
          <w:rFonts w:cs="Calibri"/>
        </w:rPr>
        <w:t xml:space="preserve"> i podatak da je Austrija uložila gotovo </w:t>
      </w:r>
      <w:r w:rsidR="00A03E37">
        <w:rPr>
          <w:rFonts w:cs="Calibri"/>
        </w:rPr>
        <w:t>trećinu</w:t>
      </w:r>
      <w:r w:rsidR="00A03E37" w:rsidRPr="00BF4FE0">
        <w:rPr>
          <w:rFonts w:cs="Calibri"/>
        </w:rPr>
        <w:t xml:space="preserve"> </w:t>
      </w:r>
      <w:r>
        <w:rPr>
          <w:rFonts w:cs="Calibri"/>
        </w:rPr>
        <w:t>sve</w:t>
      </w:r>
      <w:r w:rsidRPr="00BF4FE0">
        <w:rPr>
          <w:rFonts w:cs="Calibri"/>
        </w:rPr>
        <w:t>ukupnih sredstava u promatranom razdoblju.</w:t>
      </w:r>
      <w:r w:rsidRPr="00923D77">
        <w:rPr>
          <w:rFonts w:cs="Calibri"/>
        </w:rPr>
        <w:t xml:space="preserve"> </w:t>
      </w:r>
    </w:p>
    <w:p w:rsidR="000C1520" w:rsidRPr="00923D77" w:rsidRDefault="000C1520" w:rsidP="00923D77">
      <w:pPr>
        <w:spacing w:line="360" w:lineRule="auto"/>
        <w:jc w:val="both"/>
        <w:rPr>
          <w:rFonts w:cs="Calibri"/>
          <w:i/>
        </w:rPr>
      </w:pPr>
      <w:r>
        <w:rPr>
          <w:rFonts w:cs="Calibri"/>
          <w:b/>
          <w:i/>
        </w:rPr>
        <w:t>Grafički prikaz</w:t>
      </w:r>
      <w:r w:rsidRPr="00BF4FE0">
        <w:rPr>
          <w:rFonts w:cs="Calibri"/>
          <w:b/>
          <w:i/>
        </w:rPr>
        <w:t xml:space="preserve"> </w:t>
      </w:r>
      <w:r>
        <w:rPr>
          <w:rFonts w:cs="Calibri"/>
          <w:b/>
          <w:i/>
        </w:rPr>
        <w:t>4</w:t>
      </w:r>
      <w:r w:rsidRPr="00BF4FE0">
        <w:rPr>
          <w:rFonts w:cs="Calibri"/>
          <w:b/>
          <w:i/>
        </w:rPr>
        <w:t>.</w:t>
      </w:r>
      <w:r w:rsidRPr="00BF4FE0">
        <w:rPr>
          <w:rFonts w:cs="Calibri"/>
          <w:i/>
        </w:rPr>
        <w:t xml:space="preserve"> Izravne strane investicije u razdoblju od 2005. do </w:t>
      </w:r>
      <w:r w:rsidR="00057A18">
        <w:rPr>
          <w:rFonts w:cs="Calibri"/>
          <w:i/>
        </w:rPr>
        <w:t>2013</w:t>
      </w:r>
      <w:r>
        <w:rPr>
          <w:rFonts w:cs="Calibri"/>
          <w:i/>
        </w:rPr>
        <w:t>. po zemljama (u milijunima eura</w:t>
      </w:r>
      <w:r w:rsidRPr="00BF4FE0">
        <w:rPr>
          <w:rFonts w:cs="Calibri"/>
          <w:i/>
        </w:rPr>
        <w:t>)</w:t>
      </w:r>
    </w:p>
    <w:p w:rsidR="006F122A" w:rsidRDefault="006F122A" w:rsidP="00592D7A">
      <w:pPr>
        <w:spacing w:line="360" w:lineRule="auto"/>
        <w:jc w:val="both"/>
        <w:rPr>
          <w:rFonts w:cs="Calibri"/>
          <w:i/>
        </w:rPr>
      </w:pPr>
      <w:r>
        <w:rPr>
          <w:noProof/>
        </w:rPr>
        <w:drawing>
          <wp:inline distT="0" distB="0" distL="0" distR="0" wp14:anchorId="30BDD03C" wp14:editId="7CEA5C3E">
            <wp:extent cx="4932485" cy="1802423"/>
            <wp:effectExtent l="0" t="0" r="20955" b="2667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C1520" w:rsidRPr="00923D77" w:rsidRDefault="000C1520" w:rsidP="00592D7A">
      <w:pPr>
        <w:spacing w:line="360" w:lineRule="auto"/>
        <w:jc w:val="both"/>
        <w:rPr>
          <w:rFonts w:cs="Calibri"/>
          <w:i/>
        </w:rPr>
      </w:pPr>
      <w:r>
        <w:rPr>
          <w:rFonts w:cs="Calibri"/>
          <w:i/>
        </w:rPr>
        <w:t xml:space="preserve"> </w:t>
      </w:r>
      <w:r w:rsidRPr="007C70EB">
        <w:rPr>
          <w:rFonts w:cs="Calibri"/>
          <w:b/>
          <w:i/>
          <w:sz w:val="20"/>
          <w:szCs w:val="20"/>
        </w:rPr>
        <w:t>Izvor:</w:t>
      </w:r>
      <w:r w:rsidRPr="00592D7A">
        <w:rPr>
          <w:rFonts w:cs="Calibri"/>
          <w:i/>
          <w:sz w:val="20"/>
          <w:szCs w:val="20"/>
        </w:rPr>
        <w:t xml:space="preserve"> HNB</w:t>
      </w:r>
    </w:p>
    <w:p w:rsidR="000C1520" w:rsidRPr="00923D77" w:rsidRDefault="000C1520" w:rsidP="00923D77">
      <w:pPr>
        <w:autoSpaceDE w:val="0"/>
        <w:autoSpaceDN w:val="0"/>
        <w:adjustRightInd w:val="0"/>
        <w:spacing w:line="360" w:lineRule="auto"/>
        <w:jc w:val="both"/>
        <w:rPr>
          <w:rFonts w:cs="Calibri"/>
          <w:sz w:val="20"/>
          <w:szCs w:val="20"/>
        </w:rPr>
      </w:pPr>
      <w:r>
        <w:rPr>
          <w:rFonts w:cs="Calibri"/>
        </w:rPr>
        <w:t>Kad je riječ o strukturi investicija (grafički prikaz</w:t>
      </w:r>
      <w:r w:rsidRPr="00923D77">
        <w:rPr>
          <w:rFonts w:cs="Calibri"/>
        </w:rPr>
        <w:t xml:space="preserve"> 6.)</w:t>
      </w:r>
      <w:r>
        <w:rPr>
          <w:rFonts w:cs="Calibri"/>
        </w:rPr>
        <w:t>,</w:t>
      </w:r>
      <w:r w:rsidRPr="00923D77">
        <w:rPr>
          <w:rFonts w:cs="Calibri"/>
        </w:rPr>
        <w:t xml:space="preserve"> vidljivo je da</w:t>
      </w:r>
      <w:r>
        <w:rPr>
          <w:rFonts w:cs="Calibri"/>
        </w:rPr>
        <w:t xml:space="preserve"> se većina </w:t>
      </w:r>
      <w:r w:rsidRPr="00923D77">
        <w:rPr>
          <w:rFonts w:cs="Calibri"/>
        </w:rPr>
        <w:t>odnosi na vlasnička ulaganja, odnosno dokapitalizaciju bankarskog sektora.</w:t>
      </w:r>
      <w:r w:rsidRPr="00923D77">
        <w:rPr>
          <w:rFonts w:cs="Calibri"/>
          <w:bCs/>
        </w:rPr>
        <w:t xml:space="preserve"> Nadalje, najveći dio investicija, uz bankarstvo, privukli su sektori trgovine i poslovanja nekretninama što ukazuje na činjenicu da je većina novih izravnih stranih inve</w:t>
      </w:r>
      <w:r>
        <w:rPr>
          <w:rFonts w:cs="Calibri"/>
          <w:bCs/>
        </w:rPr>
        <w:t>sticija otišla u uslužni sektor,</w:t>
      </w:r>
      <w:r w:rsidRPr="00923D77">
        <w:rPr>
          <w:rFonts w:cs="Calibri"/>
          <w:bCs/>
        </w:rPr>
        <w:t xml:space="preserve"> a ne u proizvodnju. </w:t>
      </w:r>
      <w:r w:rsidRPr="00BF4FE0">
        <w:rPr>
          <w:rFonts w:cs="Calibri"/>
          <w:bCs/>
        </w:rPr>
        <w:t xml:space="preserve">Investicije u ovih šest sektora </w:t>
      </w:r>
      <w:r w:rsidRPr="00BF4FE0">
        <w:rPr>
          <w:rFonts w:cs="Calibri"/>
          <w:bCs/>
        </w:rPr>
        <w:lastRenderedPageBreak/>
        <w:t xml:space="preserve">iznosile su </w:t>
      </w:r>
      <w:r w:rsidR="00EE195C">
        <w:rPr>
          <w:rFonts w:cs="Calibri"/>
          <w:bCs/>
        </w:rPr>
        <w:t>gotovo</w:t>
      </w:r>
      <w:r w:rsidRPr="00BF4FE0">
        <w:rPr>
          <w:rFonts w:cs="Calibri"/>
          <w:bCs/>
        </w:rPr>
        <w:t xml:space="preserve"> 13,1 </w:t>
      </w:r>
      <w:r>
        <w:rPr>
          <w:rFonts w:cs="Calibri"/>
        </w:rPr>
        <w:t>milijardu eura</w:t>
      </w:r>
      <w:r w:rsidRPr="00BF4FE0">
        <w:rPr>
          <w:rFonts w:cs="Calibri"/>
        </w:rPr>
        <w:t xml:space="preserve"> ili </w:t>
      </w:r>
      <w:r w:rsidR="00F911E7">
        <w:rPr>
          <w:rFonts w:cs="Calibri"/>
        </w:rPr>
        <w:t>77</w:t>
      </w:r>
      <w:r w:rsidRPr="00BF4FE0">
        <w:rPr>
          <w:rFonts w:cs="Calibri"/>
        </w:rPr>
        <w:t>% ukupnih izravnih stranih investicija za razdoblje od 2005. do 2013. godine.</w:t>
      </w:r>
      <w:r w:rsidRPr="00923D77">
        <w:rPr>
          <w:rFonts w:cs="Calibri"/>
        </w:rPr>
        <w:t xml:space="preserve"> </w:t>
      </w:r>
    </w:p>
    <w:p w:rsidR="000C1520" w:rsidRDefault="000C1520" w:rsidP="00923D77">
      <w:pPr>
        <w:spacing w:after="0" w:line="240" w:lineRule="auto"/>
        <w:rPr>
          <w:rFonts w:cs="Calibri"/>
          <w:i/>
        </w:rPr>
      </w:pPr>
      <w:r>
        <w:rPr>
          <w:rFonts w:cs="Calibri"/>
          <w:b/>
          <w:i/>
        </w:rPr>
        <w:t>Grafički prikaz</w:t>
      </w:r>
      <w:r w:rsidRPr="00BF4FE0">
        <w:rPr>
          <w:rFonts w:cs="Calibri"/>
          <w:b/>
          <w:i/>
        </w:rPr>
        <w:t xml:space="preserve"> </w:t>
      </w:r>
      <w:r>
        <w:rPr>
          <w:rFonts w:cs="Calibri"/>
          <w:b/>
          <w:i/>
        </w:rPr>
        <w:t>5</w:t>
      </w:r>
      <w:r w:rsidRPr="00BF4FE0">
        <w:rPr>
          <w:rFonts w:cs="Calibri"/>
          <w:b/>
          <w:i/>
        </w:rPr>
        <w:t>.</w:t>
      </w:r>
      <w:r w:rsidRPr="00BF4FE0">
        <w:rPr>
          <w:rFonts w:cs="Calibri"/>
          <w:i/>
        </w:rPr>
        <w:t xml:space="preserve"> Struktura investicija </w:t>
      </w:r>
      <w:r w:rsidRPr="00F5458F">
        <w:rPr>
          <w:rFonts w:cs="Calibri"/>
          <w:i/>
        </w:rPr>
        <w:t xml:space="preserve">u razdoblju </w:t>
      </w:r>
      <w:r w:rsidR="00F5458F">
        <w:rPr>
          <w:rFonts w:cs="Calibri"/>
          <w:i/>
        </w:rPr>
        <w:t xml:space="preserve">od 2005. do </w:t>
      </w:r>
      <w:r w:rsidRPr="00BF4FE0">
        <w:rPr>
          <w:rFonts w:cs="Calibri"/>
          <w:i/>
        </w:rPr>
        <w:t>2013.</w:t>
      </w:r>
    </w:p>
    <w:p w:rsidR="00EE195C" w:rsidRDefault="00EE195C" w:rsidP="00923D77">
      <w:pPr>
        <w:spacing w:after="0" w:line="240" w:lineRule="auto"/>
        <w:rPr>
          <w:rFonts w:cs="Calibri"/>
          <w:i/>
        </w:rPr>
      </w:pPr>
    </w:p>
    <w:p w:rsidR="00EE195C" w:rsidRDefault="00EE195C" w:rsidP="00923D77">
      <w:pPr>
        <w:spacing w:after="0" w:line="240" w:lineRule="auto"/>
        <w:rPr>
          <w:rFonts w:cs="Calibri"/>
          <w:i/>
        </w:rPr>
      </w:pPr>
      <w:r>
        <w:rPr>
          <w:noProof/>
        </w:rPr>
        <w:drawing>
          <wp:inline distT="0" distB="0" distL="0" distR="0" wp14:anchorId="013065C8" wp14:editId="38BD6CB8">
            <wp:extent cx="5451231" cy="2875084"/>
            <wp:effectExtent l="0" t="0" r="16510" b="2095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E195C" w:rsidRPr="00923D77" w:rsidRDefault="00EE195C" w:rsidP="00923D77">
      <w:pPr>
        <w:spacing w:after="0" w:line="240" w:lineRule="auto"/>
        <w:rPr>
          <w:rFonts w:cs="Calibri"/>
          <w:i/>
        </w:rPr>
      </w:pPr>
    </w:p>
    <w:p w:rsidR="000C1520" w:rsidRPr="00592D7A" w:rsidRDefault="000C1520" w:rsidP="00923D77">
      <w:pPr>
        <w:jc w:val="both"/>
        <w:rPr>
          <w:rFonts w:cs="Calibri"/>
          <w:i/>
          <w:sz w:val="20"/>
          <w:szCs w:val="20"/>
        </w:rPr>
      </w:pPr>
      <w:r>
        <w:rPr>
          <w:noProof/>
        </w:rPr>
        <w:t xml:space="preserve"> </w:t>
      </w:r>
      <w:r w:rsidRPr="007C70EB">
        <w:rPr>
          <w:rFonts w:cs="Calibri"/>
          <w:b/>
          <w:i/>
          <w:sz w:val="20"/>
          <w:szCs w:val="20"/>
        </w:rPr>
        <w:t>Izvor:</w:t>
      </w:r>
      <w:r w:rsidRPr="00923D77">
        <w:rPr>
          <w:rFonts w:cs="Calibri"/>
          <w:i/>
          <w:sz w:val="20"/>
          <w:szCs w:val="20"/>
        </w:rPr>
        <w:t xml:space="preserve"> HNB</w:t>
      </w:r>
    </w:p>
    <w:p w:rsidR="000C1520" w:rsidRPr="00923D77" w:rsidRDefault="000C1520" w:rsidP="00923D77">
      <w:pPr>
        <w:tabs>
          <w:tab w:val="left" w:pos="5184"/>
        </w:tabs>
        <w:spacing w:after="0"/>
        <w:jc w:val="both"/>
        <w:rPr>
          <w:rFonts w:cs="Calibri"/>
          <w:i/>
          <w:sz w:val="14"/>
          <w:szCs w:val="14"/>
        </w:rPr>
      </w:pPr>
    </w:p>
    <w:p w:rsidR="000C1520" w:rsidRPr="00923D77" w:rsidRDefault="000C1520" w:rsidP="00923D77">
      <w:pPr>
        <w:autoSpaceDE w:val="0"/>
        <w:autoSpaceDN w:val="0"/>
        <w:adjustRightInd w:val="0"/>
        <w:spacing w:line="360" w:lineRule="auto"/>
        <w:jc w:val="both"/>
        <w:rPr>
          <w:rFonts w:cs="Calibri"/>
          <w:sz w:val="20"/>
          <w:szCs w:val="20"/>
        </w:rPr>
      </w:pPr>
      <w:r>
        <w:rPr>
          <w:rFonts w:cs="Calibri"/>
          <w:szCs w:val="20"/>
        </w:rPr>
        <w:t>Struktura sektora u koji</w:t>
      </w:r>
      <w:r w:rsidRPr="00923D77">
        <w:rPr>
          <w:rFonts w:cs="Calibri"/>
          <w:szCs w:val="20"/>
        </w:rPr>
        <w:t xml:space="preserve"> se investiralo nedvojbeno je utjecala na izvozni potencijal RH kao zemlje primatelja izravnih stranih investicija. Budući da je hrvatsko gospodarstvo primalo izravne strane investicije uglavnom u uslužni sektor, a ne u proiz</w:t>
      </w:r>
      <w:r>
        <w:rPr>
          <w:rFonts w:cs="Calibri"/>
          <w:szCs w:val="20"/>
        </w:rPr>
        <w:t>vodnju namijenjenu izvozu, izostao je učinak na izvoz</w:t>
      </w:r>
      <w:r w:rsidRPr="00923D77">
        <w:rPr>
          <w:rFonts w:cs="Calibri"/>
          <w:sz w:val="20"/>
          <w:szCs w:val="20"/>
        </w:rPr>
        <w:t>.</w:t>
      </w:r>
    </w:p>
    <w:p w:rsidR="000C1520" w:rsidRPr="00BF4FE0" w:rsidRDefault="000C1520" w:rsidP="00857923">
      <w:pPr>
        <w:spacing w:line="360" w:lineRule="auto"/>
        <w:jc w:val="both"/>
        <w:rPr>
          <w:lang w:eastAsia="en-US"/>
        </w:rPr>
      </w:pPr>
      <w:r w:rsidRPr="00923D77">
        <w:rPr>
          <w:rFonts w:cs="Calibri"/>
        </w:rPr>
        <w:t>Također, unatoč relativno visokoj razini izravnih stranih investici</w:t>
      </w:r>
      <w:r>
        <w:rPr>
          <w:rFonts w:cs="Calibri"/>
        </w:rPr>
        <w:t>ja u RH u razdoblju koje je prethodilo svjetskoj gospodarskoj krizi, izostao je pozitivan učinak</w:t>
      </w:r>
      <w:r w:rsidRPr="00923D77">
        <w:rPr>
          <w:rFonts w:cs="Calibri"/>
        </w:rPr>
        <w:t xml:space="preserve"> na rast zaposlenosti, proiz</w:t>
      </w:r>
      <w:r>
        <w:rPr>
          <w:rFonts w:cs="Calibri"/>
        </w:rPr>
        <w:t xml:space="preserve">vodnje i izvoza, prvenstveno zbog </w:t>
      </w:r>
      <w:r w:rsidRPr="00923D77">
        <w:rPr>
          <w:rFonts w:cs="Calibri"/>
        </w:rPr>
        <w:t xml:space="preserve">nepovoljne strukture izravnih stranih investicija. Iz tablice 5. vidljivo je da su u razdoblju od 2005. </w:t>
      </w:r>
      <w:r w:rsidRPr="00BF4FE0">
        <w:rPr>
          <w:rFonts w:cs="Calibri"/>
        </w:rPr>
        <w:t xml:space="preserve">do </w:t>
      </w:r>
      <w:r>
        <w:rPr>
          <w:rFonts w:cs="Calibri"/>
        </w:rPr>
        <w:t xml:space="preserve">2013. godine </w:t>
      </w:r>
      <w:proofErr w:type="spellStart"/>
      <w:r w:rsidRPr="0078105E">
        <w:rPr>
          <w:rFonts w:cs="Calibri"/>
          <w:i/>
        </w:rPr>
        <w:t>greenfield</w:t>
      </w:r>
      <w:proofErr w:type="spellEnd"/>
      <w:r w:rsidRPr="00BF4FE0">
        <w:rPr>
          <w:rFonts w:cs="Calibri"/>
        </w:rPr>
        <w:t xml:space="preserve"> investicije </w:t>
      </w:r>
      <w:r w:rsidR="00C11628">
        <w:rPr>
          <w:rFonts w:cs="Calibri"/>
        </w:rPr>
        <w:t>bile zastupljene</w:t>
      </w:r>
      <w:r w:rsidR="00C11628" w:rsidRPr="00BF4FE0">
        <w:rPr>
          <w:rFonts w:cs="Calibri"/>
        </w:rPr>
        <w:t xml:space="preserve"> </w:t>
      </w:r>
      <w:r w:rsidRPr="00BF4FE0">
        <w:rPr>
          <w:rFonts w:cs="Calibri"/>
        </w:rPr>
        <w:t xml:space="preserve">s najviše 51% u ukupnim izravnim stranim investicijama, </w:t>
      </w:r>
      <w:r w:rsidR="00C11628">
        <w:rPr>
          <w:rFonts w:cs="Calibri"/>
        </w:rPr>
        <w:t xml:space="preserve">a  preuzimanja i dokapitalizacija preuzetih poduzeća, odnosno </w:t>
      </w:r>
      <w:proofErr w:type="spellStart"/>
      <w:r w:rsidR="00C11628">
        <w:rPr>
          <w:rFonts w:cs="Calibri"/>
        </w:rPr>
        <w:t>brownfield</w:t>
      </w:r>
      <w:proofErr w:type="spellEnd"/>
      <w:r w:rsidR="00C11628">
        <w:rPr>
          <w:rFonts w:cs="Calibri"/>
        </w:rPr>
        <w:t xml:space="preserve"> sa 49%</w:t>
      </w:r>
      <w:r w:rsidRPr="00BF4FE0">
        <w:rPr>
          <w:rFonts w:cs="Calibri"/>
        </w:rPr>
        <w:t>.</w:t>
      </w:r>
      <w:r w:rsidRPr="00BF4FE0">
        <w:rPr>
          <w:rFonts w:cs="Calibri"/>
          <w:vertAlign w:val="superscript"/>
        </w:rPr>
        <w:footnoteReference w:id="1"/>
      </w:r>
      <w:r>
        <w:rPr>
          <w:rFonts w:cs="Calibri"/>
        </w:rPr>
        <w:t xml:space="preserve"> </w:t>
      </w:r>
      <w:r w:rsidRPr="00BF4FE0">
        <w:rPr>
          <w:lang w:eastAsia="en-US"/>
        </w:rPr>
        <w:t>Isto tako</w:t>
      </w:r>
      <w:r w:rsidR="00D87C12">
        <w:rPr>
          <w:lang w:eastAsia="en-US"/>
        </w:rPr>
        <w:t>,</w:t>
      </w:r>
      <w:r w:rsidRPr="00BF4FE0">
        <w:rPr>
          <w:lang w:eastAsia="en-US"/>
        </w:rPr>
        <w:t xml:space="preserve"> u tablici 5. vidljivo je odstupanje u ukupnom iznosu izravnih stranih inves</w:t>
      </w:r>
      <w:r>
        <w:rPr>
          <w:lang w:eastAsia="en-US"/>
        </w:rPr>
        <w:t xml:space="preserve">ticija. Razlika od </w:t>
      </w:r>
      <w:r w:rsidR="00C11628">
        <w:rPr>
          <w:lang w:eastAsia="en-US"/>
        </w:rPr>
        <w:t xml:space="preserve">gotovo 2,5 </w:t>
      </w:r>
      <w:r>
        <w:rPr>
          <w:lang w:eastAsia="en-US"/>
        </w:rPr>
        <w:t>milijarde eura</w:t>
      </w:r>
      <w:r w:rsidRPr="00BF4FE0">
        <w:rPr>
          <w:lang w:eastAsia="en-US"/>
        </w:rPr>
        <w:t xml:space="preserve"> nast</w:t>
      </w:r>
      <w:r>
        <w:rPr>
          <w:lang w:eastAsia="en-US"/>
        </w:rPr>
        <w:t xml:space="preserve">ala je jer su </w:t>
      </w:r>
      <w:r w:rsidR="00C11628">
        <w:rPr>
          <w:lang w:eastAsia="en-US"/>
        </w:rPr>
        <w:t xml:space="preserve">u ovom prikazu </w:t>
      </w:r>
      <w:r>
        <w:rPr>
          <w:lang w:eastAsia="en-US"/>
        </w:rPr>
        <w:t>zabilježena</w:t>
      </w:r>
      <w:r w:rsidRPr="00BF4FE0">
        <w:rPr>
          <w:lang w:eastAsia="en-US"/>
        </w:rPr>
        <w:t xml:space="preserve"> samo vlasnička ulaganja i zadržane dobiti.</w:t>
      </w:r>
    </w:p>
    <w:p w:rsidR="000C1520" w:rsidRPr="00BF4FE0" w:rsidRDefault="000C1520" w:rsidP="00BF4FE0">
      <w:pPr>
        <w:spacing w:after="0" w:line="360" w:lineRule="auto"/>
        <w:jc w:val="both"/>
        <w:rPr>
          <w:lang w:eastAsia="en-US"/>
        </w:rPr>
      </w:pPr>
      <w:r w:rsidRPr="00BF4FE0">
        <w:rPr>
          <w:lang w:eastAsia="en-US"/>
        </w:rPr>
        <w:lastRenderedPageBreak/>
        <w:t xml:space="preserve">Negativni predznak ispred iznosa ulaganja označava neto povlačenje ulaganja za razdoblje za koje je iznos prikazan. Negativni iznos ulaganja nastao je kao posljedica djelomičnog povlačenja uloženog kapitala, prodaje postojećih vlasničkih udjela rezidentima, gubitaka u poslovanju </w:t>
      </w:r>
      <w:r>
        <w:rPr>
          <w:lang w:eastAsia="en-US"/>
        </w:rPr>
        <w:t xml:space="preserve">i </w:t>
      </w:r>
      <w:r w:rsidRPr="00BF4FE0">
        <w:rPr>
          <w:lang w:eastAsia="en-US"/>
        </w:rPr>
        <w:t>isplaćivanja dividend</w:t>
      </w:r>
      <w:r>
        <w:rPr>
          <w:lang w:eastAsia="en-US"/>
        </w:rPr>
        <w:t>i većih od ostvarene dobiti koje</w:t>
      </w:r>
      <w:r w:rsidRPr="00BF4FE0">
        <w:rPr>
          <w:lang w:eastAsia="en-US"/>
        </w:rPr>
        <w:t xml:space="preserve"> onda utječu na negativnu zadržanu dobit u okviru izravnih </w:t>
      </w:r>
      <w:r w:rsidRPr="00597A43">
        <w:rPr>
          <w:lang w:eastAsia="en-US"/>
        </w:rPr>
        <w:t>stranih investicija.</w:t>
      </w:r>
    </w:p>
    <w:p w:rsidR="000C1520" w:rsidRDefault="000C1520" w:rsidP="00923D77">
      <w:pPr>
        <w:spacing w:after="0" w:line="240" w:lineRule="auto"/>
        <w:jc w:val="both"/>
        <w:rPr>
          <w:rFonts w:cs="Calibri"/>
          <w:sz w:val="18"/>
          <w:szCs w:val="18"/>
        </w:rPr>
      </w:pPr>
      <w:r w:rsidRPr="00BF4FE0">
        <w:rPr>
          <w:rFonts w:cs="Calibri"/>
          <w:b/>
          <w:i/>
        </w:rPr>
        <w:t xml:space="preserve">Tablica </w:t>
      </w:r>
      <w:r>
        <w:rPr>
          <w:rFonts w:cs="Calibri"/>
          <w:b/>
          <w:i/>
        </w:rPr>
        <w:t>4</w:t>
      </w:r>
      <w:r w:rsidRPr="00BF4FE0">
        <w:rPr>
          <w:rFonts w:cs="Calibri"/>
          <w:b/>
          <w:i/>
        </w:rPr>
        <w:t xml:space="preserve">. </w:t>
      </w:r>
      <w:r w:rsidRPr="00BF4FE0">
        <w:rPr>
          <w:rFonts w:cs="Calibri"/>
          <w:i/>
        </w:rPr>
        <w:t>Izravne strane investicije p</w:t>
      </w:r>
      <w:r>
        <w:rPr>
          <w:rFonts w:cs="Calibri"/>
          <w:i/>
        </w:rPr>
        <w:t xml:space="preserve">o vrsti investicija (2005. – drugo tromjesečje </w:t>
      </w:r>
      <w:r w:rsidRPr="00BF4FE0">
        <w:rPr>
          <w:rFonts w:cs="Calibri"/>
          <w:i/>
        </w:rPr>
        <w:t>2013.)</w:t>
      </w:r>
      <w:r>
        <w:rPr>
          <w:rFonts w:cs="Calibri"/>
          <w:sz w:val="18"/>
          <w:szCs w:val="18"/>
        </w:rPr>
        <w:t xml:space="preserve">           u mil. </w:t>
      </w:r>
      <w:r w:rsidR="003520DE">
        <w:rPr>
          <w:rFonts w:cs="Calibri"/>
          <w:sz w:val="18"/>
          <w:szCs w:val="18"/>
        </w:rPr>
        <w:t>E</w:t>
      </w:r>
      <w:r>
        <w:rPr>
          <w:rFonts w:cs="Calibri"/>
          <w:sz w:val="18"/>
          <w:szCs w:val="18"/>
        </w:rPr>
        <w:t>ura</w:t>
      </w:r>
    </w:p>
    <w:p w:rsidR="003520DE" w:rsidRDefault="003520DE" w:rsidP="00923D77">
      <w:pPr>
        <w:spacing w:after="0" w:line="240" w:lineRule="auto"/>
        <w:jc w:val="both"/>
        <w:rPr>
          <w:rFonts w:cs="Calibri"/>
          <w:sz w:val="18"/>
          <w:szCs w:val="18"/>
        </w:rPr>
      </w:pPr>
    </w:p>
    <w:p w:rsidR="003520DE" w:rsidRDefault="003520DE" w:rsidP="00923D77">
      <w:pPr>
        <w:spacing w:after="0" w:line="240" w:lineRule="auto"/>
        <w:jc w:val="both"/>
        <w:rPr>
          <w:rFonts w:cs="Calibri"/>
          <w:sz w:val="18"/>
          <w:szCs w:val="18"/>
        </w:rPr>
      </w:pPr>
    </w:p>
    <w:p w:rsidR="003520DE" w:rsidRDefault="003520DE" w:rsidP="00923D77">
      <w:pPr>
        <w:spacing w:after="0" w:line="240" w:lineRule="auto"/>
        <w:jc w:val="both"/>
        <w:rPr>
          <w:rFonts w:cs="Calibri"/>
          <w:sz w:val="18"/>
          <w:szCs w:val="18"/>
        </w:rPr>
      </w:pPr>
    </w:p>
    <w:tbl>
      <w:tblPr>
        <w:tblW w:w="8920" w:type="dxa"/>
        <w:tblInd w:w="93" w:type="dxa"/>
        <w:tblLook w:val="04A0" w:firstRow="1" w:lastRow="0" w:firstColumn="1" w:lastColumn="0" w:noHBand="0" w:noVBand="1"/>
      </w:tblPr>
      <w:tblGrid>
        <w:gridCol w:w="1433"/>
        <w:gridCol w:w="684"/>
        <w:gridCol w:w="840"/>
        <w:gridCol w:w="720"/>
        <w:gridCol w:w="780"/>
        <w:gridCol w:w="780"/>
        <w:gridCol w:w="760"/>
        <w:gridCol w:w="760"/>
        <w:gridCol w:w="720"/>
        <w:gridCol w:w="660"/>
        <w:gridCol w:w="820"/>
      </w:tblGrid>
      <w:tr w:rsidR="003A1C12" w:rsidRPr="003A1C12" w:rsidTr="00677BA1">
        <w:trPr>
          <w:trHeight w:val="420"/>
        </w:trPr>
        <w:tc>
          <w:tcPr>
            <w:tcW w:w="1433" w:type="dxa"/>
            <w:tcBorders>
              <w:top w:val="single" w:sz="8" w:space="0" w:color="auto"/>
              <w:left w:val="single" w:sz="8" w:space="0" w:color="auto"/>
              <w:bottom w:val="single" w:sz="4" w:space="0" w:color="auto"/>
              <w:right w:val="single" w:sz="4" w:space="0" w:color="auto"/>
            </w:tcBorders>
            <w:shd w:val="clear" w:color="000000" w:fill="B7DEE8"/>
            <w:noWrap/>
            <w:vAlign w:val="bottom"/>
            <w:hideMark/>
          </w:tcPr>
          <w:p w:rsidR="003A1C12" w:rsidRPr="003A1C12" w:rsidRDefault="003A1C12" w:rsidP="003A1C12">
            <w:pPr>
              <w:spacing w:after="0" w:line="240" w:lineRule="auto"/>
              <w:jc w:val="center"/>
              <w:rPr>
                <w:b/>
                <w:bCs/>
                <w:color w:val="000000"/>
                <w:sz w:val="16"/>
                <w:szCs w:val="16"/>
                <w:lang w:val="en-GB" w:eastAsia="en-GB"/>
              </w:rPr>
            </w:pPr>
            <w:proofErr w:type="spellStart"/>
            <w:r w:rsidRPr="003A1C12">
              <w:rPr>
                <w:b/>
                <w:bCs/>
                <w:color w:val="000000"/>
                <w:sz w:val="16"/>
                <w:szCs w:val="16"/>
                <w:lang w:val="en-GB" w:eastAsia="en-GB"/>
              </w:rPr>
              <w:t>Vrsta</w:t>
            </w:r>
            <w:proofErr w:type="spellEnd"/>
            <w:r w:rsidRPr="003A1C12">
              <w:rPr>
                <w:b/>
                <w:bCs/>
                <w:color w:val="000000"/>
                <w:sz w:val="16"/>
                <w:szCs w:val="16"/>
                <w:lang w:val="en-GB" w:eastAsia="en-GB"/>
              </w:rPr>
              <w:t xml:space="preserve"> </w:t>
            </w:r>
            <w:proofErr w:type="spellStart"/>
            <w:r w:rsidRPr="003A1C12">
              <w:rPr>
                <w:b/>
                <w:bCs/>
                <w:color w:val="000000"/>
                <w:sz w:val="16"/>
                <w:szCs w:val="16"/>
                <w:lang w:val="en-GB" w:eastAsia="en-GB"/>
              </w:rPr>
              <w:t>investicije</w:t>
            </w:r>
            <w:proofErr w:type="spellEnd"/>
          </w:p>
        </w:tc>
        <w:tc>
          <w:tcPr>
            <w:tcW w:w="647" w:type="dxa"/>
            <w:tcBorders>
              <w:top w:val="single" w:sz="8" w:space="0" w:color="auto"/>
              <w:left w:val="nil"/>
              <w:bottom w:val="single" w:sz="4" w:space="0" w:color="auto"/>
              <w:right w:val="single" w:sz="4" w:space="0" w:color="auto"/>
            </w:tcBorders>
            <w:shd w:val="clear" w:color="000000" w:fill="B7DEE8"/>
            <w:noWrap/>
            <w:vAlign w:val="bottom"/>
            <w:hideMark/>
          </w:tcPr>
          <w:p w:rsidR="003A1C12" w:rsidRPr="003A1C12" w:rsidRDefault="003A1C12" w:rsidP="003A1C12">
            <w:pPr>
              <w:spacing w:after="0" w:line="240" w:lineRule="auto"/>
              <w:jc w:val="center"/>
              <w:rPr>
                <w:b/>
                <w:bCs/>
                <w:color w:val="000000"/>
                <w:sz w:val="16"/>
                <w:szCs w:val="16"/>
                <w:lang w:val="en-GB" w:eastAsia="en-GB"/>
              </w:rPr>
            </w:pPr>
            <w:r w:rsidRPr="003A1C12">
              <w:rPr>
                <w:b/>
                <w:bCs/>
                <w:color w:val="000000"/>
                <w:sz w:val="16"/>
                <w:szCs w:val="16"/>
                <w:lang w:val="en-GB" w:eastAsia="en-GB"/>
              </w:rPr>
              <w:t>2005</w:t>
            </w:r>
            <w:r>
              <w:rPr>
                <w:b/>
                <w:bCs/>
                <w:color w:val="000000"/>
                <w:sz w:val="16"/>
                <w:szCs w:val="16"/>
                <w:lang w:val="en-GB" w:eastAsia="en-GB"/>
              </w:rPr>
              <w:t>.</w:t>
            </w:r>
          </w:p>
        </w:tc>
        <w:tc>
          <w:tcPr>
            <w:tcW w:w="840" w:type="dxa"/>
            <w:tcBorders>
              <w:top w:val="single" w:sz="8" w:space="0" w:color="auto"/>
              <w:left w:val="nil"/>
              <w:bottom w:val="single" w:sz="4" w:space="0" w:color="auto"/>
              <w:right w:val="single" w:sz="4" w:space="0" w:color="auto"/>
            </w:tcBorders>
            <w:shd w:val="clear" w:color="000000" w:fill="B7DEE8"/>
            <w:noWrap/>
            <w:vAlign w:val="bottom"/>
            <w:hideMark/>
          </w:tcPr>
          <w:p w:rsidR="003A1C12" w:rsidRPr="003A1C12" w:rsidRDefault="003A1C12" w:rsidP="003A1C12">
            <w:pPr>
              <w:spacing w:after="0" w:line="240" w:lineRule="auto"/>
              <w:jc w:val="center"/>
              <w:rPr>
                <w:b/>
                <w:bCs/>
                <w:color w:val="000000"/>
                <w:sz w:val="16"/>
                <w:szCs w:val="16"/>
                <w:lang w:val="en-GB" w:eastAsia="en-GB"/>
              </w:rPr>
            </w:pPr>
            <w:r w:rsidRPr="003A1C12">
              <w:rPr>
                <w:b/>
                <w:bCs/>
                <w:color w:val="000000"/>
                <w:sz w:val="16"/>
                <w:szCs w:val="16"/>
                <w:lang w:val="en-GB" w:eastAsia="en-GB"/>
              </w:rPr>
              <w:t>2006</w:t>
            </w:r>
            <w:r>
              <w:rPr>
                <w:b/>
                <w:bCs/>
                <w:color w:val="000000"/>
                <w:sz w:val="16"/>
                <w:szCs w:val="16"/>
                <w:lang w:val="en-GB" w:eastAsia="en-GB"/>
              </w:rPr>
              <w:t>.</w:t>
            </w:r>
          </w:p>
        </w:tc>
        <w:tc>
          <w:tcPr>
            <w:tcW w:w="720" w:type="dxa"/>
            <w:tcBorders>
              <w:top w:val="single" w:sz="8" w:space="0" w:color="auto"/>
              <w:left w:val="nil"/>
              <w:bottom w:val="single" w:sz="4" w:space="0" w:color="auto"/>
              <w:right w:val="single" w:sz="4" w:space="0" w:color="auto"/>
            </w:tcBorders>
            <w:shd w:val="clear" w:color="000000" w:fill="B7DEE8"/>
            <w:noWrap/>
            <w:vAlign w:val="bottom"/>
            <w:hideMark/>
          </w:tcPr>
          <w:p w:rsidR="003A1C12" w:rsidRPr="003A1C12" w:rsidRDefault="003A1C12" w:rsidP="003A1C12">
            <w:pPr>
              <w:spacing w:after="0" w:line="240" w:lineRule="auto"/>
              <w:jc w:val="center"/>
              <w:rPr>
                <w:b/>
                <w:bCs/>
                <w:color w:val="000000"/>
                <w:sz w:val="16"/>
                <w:szCs w:val="16"/>
                <w:lang w:val="en-GB" w:eastAsia="en-GB"/>
              </w:rPr>
            </w:pPr>
            <w:r w:rsidRPr="003A1C12">
              <w:rPr>
                <w:b/>
                <w:bCs/>
                <w:color w:val="000000"/>
                <w:sz w:val="16"/>
                <w:szCs w:val="16"/>
                <w:lang w:val="en-GB" w:eastAsia="en-GB"/>
              </w:rPr>
              <w:t>2007</w:t>
            </w:r>
            <w:r>
              <w:rPr>
                <w:b/>
                <w:bCs/>
                <w:color w:val="000000"/>
                <w:sz w:val="16"/>
                <w:szCs w:val="16"/>
                <w:lang w:val="en-GB" w:eastAsia="en-GB"/>
              </w:rPr>
              <w:t>.</w:t>
            </w:r>
          </w:p>
        </w:tc>
        <w:tc>
          <w:tcPr>
            <w:tcW w:w="780" w:type="dxa"/>
            <w:tcBorders>
              <w:top w:val="single" w:sz="8" w:space="0" w:color="auto"/>
              <w:left w:val="nil"/>
              <w:bottom w:val="single" w:sz="4" w:space="0" w:color="auto"/>
              <w:right w:val="single" w:sz="4" w:space="0" w:color="auto"/>
            </w:tcBorders>
            <w:shd w:val="clear" w:color="000000" w:fill="B7DEE8"/>
            <w:noWrap/>
            <w:vAlign w:val="bottom"/>
            <w:hideMark/>
          </w:tcPr>
          <w:p w:rsidR="003A1C12" w:rsidRPr="003A1C12" w:rsidRDefault="003A1C12" w:rsidP="003A1C12">
            <w:pPr>
              <w:spacing w:after="0" w:line="240" w:lineRule="auto"/>
              <w:jc w:val="center"/>
              <w:rPr>
                <w:b/>
                <w:bCs/>
                <w:color w:val="000000"/>
                <w:sz w:val="16"/>
                <w:szCs w:val="16"/>
                <w:lang w:val="en-GB" w:eastAsia="en-GB"/>
              </w:rPr>
            </w:pPr>
            <w:r w:rsidRPr="003A1C12">
              <w:rPr>
                <w:b/>
                <w:bCs/>
                <w:color w:val="000000"/>
                <w:sz w:val="16"/>
                <w:szCs w:val="16"/>
                <w:lang w:val="en-GB" w:eastAsia="en-GB"/>
              </w:rPr>
              <w:t>2008</w:t>
            </w:r>
            <w:r>
              <w:rPr>
                <w:b/>
                <w:bCs/>
                <w:color w:val="000000"/>
                <w:sz w:val="16"/>
                <w:szCs w:val="16"/>
                <w:lang w:val="en-GB" w:eastAsia="en-GB"/>
              </w:rPr>
              <w:t>.</w:t>
            </w:r>
          </w:p>
        </w:tc>
        <w:tc>
          <w:tcPr>
            <w:tcW w:w="780" w:type="dxa"/>
            <w:tcBorders>
              <w:top w:val="single" w:sz="8" w:space="0" w:color="auto"/>
              <w:left w:val="nil"/>
              <w:bottom w:val="single" w:sz="4" w:space="0" w:color="auto"/>
              <w:right w:val="single" w:sz="4" w:space="0" w:color="auto"/>
            </w:tcBorders>
            <w:shd w:val="clear" w:color="000000" w:fill="B7DEE8"/>
            <w:noWrap/>
            <w:vAlign w:val="bottom"/>
            <w:hideMark/>
          </w:tcPr>
          <w:p w:rsidR="003A1C12" w:rsidRPr="003A1C12" w:rsidRDefault="003A1C12" w:rsidP="003A1C12">
            <w:pPr>
              <w:spacing w:after="0" w:line="240" w:lineRule="auto"/>
              <w:jc w:val="center"/>
              <w:rPr>
                <w:b/>
                <w:bCs/>
                <w:color w:val="000000"/>
                <w:sz w:val="16"/>
                <w:szCs w:val="16"/>
                <w:lang w:val="en-GB" w:eastAsia="en-GB"/>
              </w:rPr>
            </w:pPr>
            <w:r w:rsidRPr="003A1C12">
              <w:rPr>
                <w:b/>
                <w:bCs/>
                <w:color w:val="000000"/>
                <w:sz w:val="16"/>
                <w:szCs w:val="16"/>
                <w:lang w:val="en-GB" w:eastAsia="en-GB"/>
              </w:rPr>
              <w:t>2009</w:t>
            </w:r>
            <w:r>
              <w:rPr>
                <w:b/>
                <w:bCs/>
                <w:color w:val="000000"/>
                <w:sz w:val="16"/>
                <w:szCs w:val="16"/>
                <w:lang w:val="en-GB" w:eastAsia="en-GB"/>
              </w:rPr>
              <w:t>.</w:t>
            </w:r>
          </w:p>
        </w:tc>
        <w:tc>
          <w:tcPr>
            <w:tcW w:w="760" w:type="dxa"/>
            <w:tcBorders>
              <w:top w:val="single" w:sz="8" w:space="0" w:color="auto"/>
              <w:left w:val="nil"/>
              <w:bottom w:val="single" w:sz="4" w:space="0" w:color="auto"/>
              <w:right w:val="single" w:sz="4" w:space="0" w:color="auto"/>
            </w:tcBorders>
            <w:shd w:val="clear" w:color="000000" w:fill="B7DEE8"/>
            <w:noWrap/>
            <w:vAlign w:val="bottom"/>
            <w:hideMark/>
          </w:tcPr>
          <w:p w:rsidR="003A1C12" w:rsidRPr="003A1C12" w:rsidRDefault="003A1C12" w:rsidP="003A1C12">
            <w:pPr>
              <w:spacing w:after="0" w:line="240" w:lineRule="auto"/>
              <w:jc w:val="center"/>
              <w:rPr>
                <w:b/>
                <w:bCs/>
                <w:color w:val="000000"/>
                <w:sz w:val="16"/>
                <w:szCs w:val="16"/>
                <w:lang w:val="en-GB" w:eastAsia="en-GB"/>
              </w:rPr>
            </w:pPr>
            <w:r w:rsidRPr="003A1C12">
              <w:rPr>
                <w:b/>
                <w:bCs/>
                <w:color w:val="000000"/>
                <w:sz w:val="16"/>
                <w:szCs w:val="16"/>
                <w:lang w:val="en-GB" w:eastAsia="en-GB"/>
              </w:rPr>
              <w:t>2010</w:t>
            </w:r>
            <w:r>
              <w:rPr>
                <w:b/>
                <w:bCs/>
                <w:color w:val="000000"/>
                <w:sz w:val="16"/>
                <w:szCs w:val="16"/>
                <w:lang w:val="en-GB" w:eastAsia="en-GB"/>
              </w:rPr>
              <w:t>.</w:t>
            </w:r>
          </w:p>
        </w:tc>
        <w:tc>
          <w:tcPr>
            <w:tcW w:w="760" w:type="dxa"/>
            <w:tcBorders>
              <w:top w:val="single" w:sz="8" w:space="0" w:color="auto"/>
              <w:left w:val="nil"/>
              <w:bottom w:val="single" w:sz="4" w:space="0" w:color="auto"/>
              <w:right w:val="single" w:sz="4" w:space="0" w:color="auto"/>
            </w:tcBorders>
            <w:shd w:val="clear" w:color="000000" w:fill="B7DEE8"/>
            <w:noWrap/>
            <w:vAlign w:val="bottom"/>
            <w:hideMark/>
          </w:tcPr>
          <w:p w:rsidR="003A1C12" w:rsidRPr="003A1C12" w:rsidRDefault="003A1C12" w:rsidP="003A1C12">
            <w:pPr>
              <w:spacing w:after="0" w:line="240" w:lineRule="auto"/>
              <w:jc w:val="center"/>
              <w:rPr>
                <w:b/>
                <w:bCs/>
                <w:color w:val="000000"/>
                <w:sz w:val="16"/>
                <w:szCs w:val="16"/>
                <w:lang w:val="en-GB" w:eastAsia="en-GB"/>
              </w:rPr>
            </w:pPr>
            <w:r w:rsidRPr="003A1C12">
              <w:rPr>
                <w:b/>
                <w:bCs/>
                <w:color w:val="000000"/>
                <w:sz w:val="16"/>
                <w:szCs w:val="16"/>
                <w:lang w:val="en-GB" w:eastAsia="en-GB"/>
              </w:rPr>
              <w:t>2011</w:t>
            </w:r>
            <w:r>
              <w:rPr>
                <w:b/>
                <w:bCs/>
                <w:color w:val="000000"/>
                <w:sz w:val="16"/>
                <w:szCs w:val="16"/>
                <w:lang w:val="en-GB" w:eastAsia="en-GB"/>
              </w:rPr>
              <w:t>.</w:t>
            </w:r>
          </w:p>
        </w:tc>
        <w:tc>
          <w:tcPr>
            <w:tcW w:w="720" w:type="dxa"/>
            <w:tcBorders>
              <w:top w:val="single" w:sz="8" w:space="0" w:color="auto"/>
              <w:left w:val="nil"/>
              <w:bottom w:val="single" w:sz="4" w:space="0" w:color="auto"/>
              <w:right w:val="single" w:sz="4" w:space="0" w:color="auto"/>
            </w:tcBorders>
            <w:shd w:val="clear" w:color="000000" w:fill="B7DEE8"/>
            <w:noWrap/>
            <w:vAlign w:val="bottom"/>
            <w:hideMark/>
          </w:tcPr>
          <w:p w:rsidR="003A1C12" w:rsidRPr="003A1C12" w:rsidRDefault="003A1C12" w:rsidP="003A1C12">
            <w:pPr>
              <w:spacing w:after="0" w:line="240" w:lineRule="auto"/>
              <w:jc w:val="center"/>
              <w:rPr>
                <w:b/>
                <w:bCs/>
                <w:color w:val="000000"/>
                <w:sz w:val="16"/>
                <w:szCs w:val="16"/>
                <w:lang w:val="en-GB" w:eastAsia="en-GB"/>
              </w:rPr>
            </w:pPr>
            <w:r w:rsidRPr="003A1C12">
              <w:rPr>
                <w:b/>
                <w:bCs/>
                <w:color w:val="000000"/>
                <w:sz w:val="16"/>
                <w:szCs w:val="16"/>
                <w:lang w:val="en-GB" w:eastAsia="en-GB"/>
              </w:rPr>
              <w:t>2012</w:t>
            </w:r>
            <w:r>
              <w:rPr>
                <w:b/>
                <w:bCs/>
                <w:color w:val="000000"/>
                <w:sz w:val="16"/>
                <w:szCs w:val="16"/>
                <w:lang w:val="en-GB" w:eastAsia="en-GB"/>
              </w:rPr>
              <w:t>.</w:t>
            </w:r>
          </w:p>
        </w:tc>
        <w:tc>
          <w:tcPr>
            <w:tcW w:w="660" w:type="dxa"/>
            <w:tcBorders>
              <w:top w:val="single" w:sz="8" w:space="0" w:color="auto"/>
              <w:left w:val="nil"/>
              <w:bottom w:val="single" w:sz="4" w:space="0" w:color="auto"/>
              <w:right w:val="single" w:sz="4" w:space="0" w:color="auto"/>
            </w:tcBorders>
            <w:shd w:val="clear" w:color="000000" w:fill="B7DEE8"/>
            <w:noWrap/>
            <w:vAlign w:val="bottom"/>
            <w:hideMark/>
          </w:tcPr>
          <w:p w:rsidR="003A1C12" w:rsidRPr="003A1C12" w:rsidRDefault="003A1C12" w:rsidP="003A1C12">
            <w:pPr>
              <w:spacing w:after="0" w:line="240" w:lineRule="auto"/>
              <w:jc w:val="center"/>
              <w:rPr>
                <w:b/>
                <w:bCs/>
                <w:color w:val="000000"/>
                <w:sz w:val="16"/>
                <w:szCs w:val="16"/>
                <w:lang w:val="en-GB" w:eastAsia="en-GB"/>
              </w:rPr>
            </w:pPr>
            <w:r w:rsidRPr="003A1C12">
              <w:rPr>
                <w:b/>
                <w:bCs/>
                <w:color w:val="000000"/>
                <w:sz w:val="16"/>
                <w:szCs w:val="16"/>
                <w:lang w:val="en-GB" w:eastAsia="en-GB"/>
              </w:rPr>
              <w:t>2013</w:t>
            </w:r>
            <w:r>
              <w:rPr>
                <w:b/>
                <w:bCs/>
                <w:color w:val="000000"/>
                <w:sz w:val="16"/>
                <w:szCs w:val="16"/>
                <w:lang w:val="en-GB" w:eastAsia="en-GB"/>
              </w:rPr>
              <w:t>.</w:t>
            </w:r>
          </w:p>
        </w:tc>
        <w:tc>
          <w:tcPr>
            <w:tcW w:w="820" w:type="dxa"/>
            <w:tcBorders>
              <w:top w:val="single" w:sz="8" w:space="0" w:color="auto"/>
              <w:left w:val="nil"/>
              <w:bottom w:val="single" w:sz="4" w:space="0" w:color="auto"/>
              <w:right w:val="single" w:sz="8" w:space="0" w:color="auto"/>
            </w:tcBorders>
            <w:shd w:val="clear" w:color="000000" w:fill="B7DEE8"/>
            <w:noWrap/>
            <w:vAlign w:val="bottom"/>
            <w:hideMark/>
          </w:tcPr>
          <w:p w:rsidR="003A1C12" w:rsidRPr="003A1C12" w:rsidRDefault="003A1C12" w:rsidP="003A1C12">
            <w:pPr>
              <w:spacing w:after="0" w:line="240" w:lineRule="auto"/>
              <w:jc w:val="center"/>
              <w:rPr>
                <w:b/>
                <w:bCs/>
                <w:color w:val="000000"/>
                <w:sz w:val="16"/>
                <w:szCs w:val="16"/>
                <w:lang w:val="en-GB" w:eastAsia="en-GB"/>
              </w:rPr>
            </w:pPr>
            <w:r w:rsidRPr="003A1C12">
              <w:rPr>
                <w:b/>
                <w:bCs/>
                <w:color w:val="000000"/>
                <w:sz w:val="16"/>
                <w:szCs w:val="16"/>
                <w:lang w:val="en-GB" w:eastAsia="en-GB"/>
              </w:rPr>
              <w:t>UKUPNO</w:t>
            </w:r>
          </w:p>
        </w:tc>
      </w:tr>
      <w:tr w:rsidR="003A1C12" w:rsidRPr="003A1C12" w:rsidTr="00677BA1">
        <w:trPr>
          <w:trHeight w:val="420"/>
        </w:trPr>
        <w:tc>
          <w:tcPr>
            <w:tcW w:w="1433" w:type="dxa"/>
            <w:tcBorders>
              <w:top w:val="nil"/>
              <w:left w:val="single" w:sz="8" w:space="0" w:color="auto"/>
              <w:bottom w:val="single" w:sz="4" w:space="0" w:color="auto"/>
              <w:right w:val="single" w:sz="4" w:space="0" w:color="auto"/>
            </w:tcBorders>
            <w:shd w:val="clear" w:color="000000" w:fill="DAEEF3"/>
            <w:vAlign w:val="bottom"/>
            <w:hideMark/>
          </w:tcPr>
          <w:p w:rsidR="003A1C12" w:rsidRPr="003A1C12" w:rsidRDefault="003A1C12" w:rsidP="003A1C12">
            <w:pPr>
              <w:spacing w:after="0" w:line="240" w:lineRule="auto"/>
              <w:rPr>
                <w:b/>
                <w:bCs/>
                <w:color w:val="000000"/>
                <w:sz w:val="16"/>
                <w:szCs w:val="16"/>
                <w:lang w:val="en-GB" w:eastAsia="en-GB"/>
              </w:rPr>
            </w:pPr>
            <w:r w:rsidRPr="003A1C12">
              <w:rPr>
                <w:b/>
                <w:bCs/>
                <w:color w:val="000000"/>
                <w:sz w:val="16"/>
                <w:szCs w:val="16"/>
                <w:lang w:val="en-GB" w:eastAsia="en-GB"/>
              </w:rPr>
              <w:t xml:space="preserve">Greenfield </w:t>
            </w:r>
          </w:p>
        </w:tc>
        <w:tc>
          <w:tcPr>
            <w:tcW w:w="647" w:type="dxa"/>
            <w:tcBorders>
              <w:top w:val="nil"/>
              <w:left w:val="nil"/>
              <w:bottom w:val="single" w:sz="4" w:space="0" w:color="auto"/>
              <w:right w:val="single" w:sz="4" w:space="0" w:color="auto"/>
            </w:tcBorders>
            <w:shd w:val="clear" w:color="auto" w:fill="auto"/>
            <w:noWrap/>
            <w:vAlign w:val="bottom"/>
            <w:hideMark/>
          </w:tcPr>
          <w:p w:rsidR="003A1C12" w:rsidRPr="003A1C12" w:rsidRDefault="003A1C12" w:rsidP="003A1C12">
            <w:pPr>
              <w:spacing w:after="0" w:line="240" w:lineRule="auto"/>
              <w:jc w:val="center"/>
              <w:rPr>
                <w:rFonts w:ascii="Arial" w:hAnsi="Arial" w:cs="Arial"/>
                <w:color w:val="000000"/>
                <w:sz w:val="14"/>
                <w:szCs w:val="14"/>
                <w:lang w:val="en-GB" w:eastAsia="en-GB"/>
              </w:rPr>
            </w:pPr>
            <w:r w:rsidRPr="003A1C12">
              <w:rPr>
                <w:rFonts w:ascii="Arial" w:hAnsi="Arial" w:cs="Arial"/>
                <w:color w:val="000000"/>
                <w:sz w:val="14"/>
                <w:szCs w:val="14"/>
                <w:lang w:val="en-GB" w:eastAsia="en-GB"/>
              </w:rPr>
              <w:t>766.1</w:t>
            </w:r>
          </w:p>
        </w:tc>
        <w:tc>
          <w:tcPr>
            <w:tcW w:w="840" w:type="dxa"/>
            <w:tcBorders>
              <w:top w:val="nil"/>
              <w:left w:val="nil"/>
              <w:bottom w:val="single" w:sz="4" w:space="0" w:color="auto"/>
              <w:right w:val="single" w:sz="4" w:space="0" w:color="auto"/>
            </w:tcBorders>
            <w:shd w:val="clear" w:color="auto" w:fill="auto"/>
            <w:noWrap/>
            <w:vAlign w:val="bottom"/>
            <w:hideMark/>
          </w:tcPr>
          <w:p w:rsidR="003A1C12" w:rsidRPr="003A1C12" w:rsidRDefault="003A1C12" w:rsidP="003A1C12">
            <w:pPr>
              <w:spacing w:after="0" w:line="240" w:lineRule="auto"/>
              <w:jc w:val="center"/>
              <w:rPr>
                <w:rFonts w:ascii="Arial" w:hAnsi="Arial" w:cs="Arial"/>
                <w:color w:val="000000"/>
                <w:sz w:val="14"/>
                <w:szCs w:val="14"/>
                <w:lang w:val="en-GB" w:eastAsia="en-GB"/>
              </w:rPr>
            </w:pPr>
            <w:r w:rsidRPr="003A1C12">
              <w:rPr>
                <w:rFonts w:ascii="Arial" w:hAnsi="Arial" w:cs="Arial"/>
                <w:color w:val="000000"/>
                <w:sz w:val="14"/>
                <w:szCs w:val="14"/>
                <w:lang w:val="en-GB" w:eastAsia="en-GB"/>
              </w:rPr>
              <w:t>821.4</w:t>
            </w:r>
          </w:p>
        </w:tc>
        <w:tc>
          <w:tcPr>
            <w:tcW w:w="720" w:type="dxa"/>
            <w:tcBorders>
              <w:top w:val="nil"/>
              <w:left w:val="nil"/>
              <w:bottom w:val="single" w:sz="4" w:space="0" w:color="auto"/>
              <w:right w:val="single" w:sz="4" w:space="0" w:color="auto"/>
            </w:tcBorders>
            <w:shd w:val="clear" w:color="auto" w:fill="auto"/>
            <w:noWrap/>
            <w:vAlign w:val="bottom"/>
            <w:hideMark/>
          </w:tcPr>
          <w:p w:rsidR="003A1C12" w:rsidRPr="003A1C12" w:rsidRDefault="003A1C12" w:rsidP="003A1C12">
            <w:pPr>
              <w:spacing w:after="0" w:line="240" w:lineRule="auto"/>
              <w:jc w:val="center"/>
              <w:rPr>
                <w:rFonts w:ascii="Arial" w:hAnsi="Arial" w:cs="Arial"/>
                <w:color w:val="000000"/>
                <w:sz w:val="14"/>
                <w:szCs w:val="14"/>
                <w:lang w:val="en-GB" w:eastAsia="en-GB"/>
              </w:rPr>
            </w:pPr>
            <w:r w:rsidRPr="003A1C12">
              <w:rPr>
                <w:rFonts w:ascii="Arial" w:hAnsi="Arial" w:cs="Arial"/>
                <w:color w:val="000000"/>
                <w:sz w:val="14"/>
                <w:szCs w:val="14"/>
                <w:lang w:val="en-GB" w:eastAsia="en-GB"/>
              </w:rPr>
              <w:t>1,373.2</w:t>
            </w:r>
          </w:p>
        </w:tc>
        <w:tc>
          <w:tcPr>
            <w:tcW w:w="780" w:type="dxa"/>
            <w:tcBorders>
              <w:top w:val="nil"/>
              <w:left w:val="nil"/>
              <w:bottom w:val="single" w:sz="4" w:space="0" w:color="auto"/>
              <w:right w:val="single" w:sz="4" w:space="0" w:color="auto"/>
            </w:tcBorders>
            <w:shd w:val="clear" w:color="auto" w:fill="auto"/>
            <w:noWrap/>
            <w:vAlign w:val="bottom"/>
            <w:hideMark/>
          </w:tcPr>
          <w:p w:rsidR="003A1C12" w:rsidRPr="003A1C12" w:rsidRDefault="003A1C12" w:rsidP="003A1C12">
            <w:pPr>
              <w:spacing w:after="0" w:line="240" w:lineRule="auto"/>
              <w:jc w:val="center"/>
              <w:rPr>
                <w:rFonts w:ascii="Arial" w:hAnsi="Arial" w:cs="Arial"/>
                <w:color w:val="000000"/>
                <w:sz w:val="14"/>
                <w:szCs w:val="14"/>
                <w:lang w:val="en-GB" w:eastAsia="en-GB"/>
              </w:rPr>
            </w:pPr>
            <w:r w:rsidRPr="003A1C12">
              <w:rPr>
                <w:rFonts w:ascii="Arial" w:hAnsi="Arial" w:cs="Arial"/>
                <w:color w:val="000000"/>
                <w:sz w:val="14"/>
                <w:szCs w:val="14"/>
                <w:lang w:val="en-GB" w:eastAsia="en-GB"/>
              </w:rPr>
              <w:t>1,231.9</w:t>
            </w:r>
          </w:p>
        </w:tc>
        <w:tc>
          <w:tcPr>
            <w:tcW w:w="780" w:type="dxa"/>
            <w:tcBorders>
              <w:top w:val="nil"/>
              <w:left w:val="nil"/>
              <w:bottom w:val="single" w:sz="4" w:space="0" w:color="auto"/>
              <w:right w:val="single" w:sz="4" w:space="0" w:color="auto"/>
            </w:tcBorders>
            <w:shd w:val="clear" w:color="auto" w:fill="auto"/>
            <w:noWrap/>
            <w:vAlign w:val="bottom"/>
            <w:hideMark/>
          </w:tcPr>
          <w:p w:rsidR="003A1C12" w:rsidRPr="003A1C12" w:rsidRDefault="003A1C12" w:rsidP="003A1C12">
            <w:pPr>
              <w:spacing w:after="0" w:line="240" w:lineRule="auto"/>
              <w:jc w:val="center"/>
              <w:rPr>
                <w:rFonts w:ascii="Arial" w:hAnsi="Arial" w:cs="Arial"/>
                <w:color w:val="000000"/>
                <w:sz w:val="14"/>
                <w:szCs w:val="14"/>
                <w:lang w:val="en-GB" w:eastAsia="en-GB"/>
              </w:rPr>
            </w:pPr>
            <w:r w:rsidRPr="003A1C12">
              <w:rPr>
                <w:rFonts w:ascii="Arial" w:hAnsi="Arial" w:cs="Arial"/>
                <w:color w:val="000000"/>
                <w:sz w:val="14"/>
                <w:szCs w:val="14"/>
                <w:lang w:val="en-GB" w:eastAsia="en-GB"/>
              </w:rPr>
              <w:t>673.1</w:t>
            </w:r>
          </w:p>
        </w:tc>
        <w:tc>
          <w:tcPr>
            <w:tcW w:w="760" w:type="dxa"/>
            <w:tcBorders>
              <w:top w:val="nil"/>
              <w:left w:val="nil"/>
              <w:bottom w:val="single" w:sz="4" w:space="0" w:color="auto"/>
              <w:right w:val="single" w:sz="4" w:space="0" w:color="auto"/>
            </w:tcBorders>
            <w:shd w:val="clear" w:color="auto" w:fill="auto"/>
            <w:noWrap/>
            <w:vAlign w:val="bottom"/>
            <w:hideMark/>
          </w:tcPr>
          <w:p w:rsidR="003A1C12" w:rsidRPr="003A1C12" w:rsidRDefault="003A1C12" w:rsidP="003A1C12">
            <w:pPr>
              <w:spacing w:after="0" w:line="240" w:lineRule="auto"/>
              <w:jc w:val="center"/>
              <w:rPr>
                <w:rFonts w:ascii="Arial" w:hAnsi="Arial" w:cs="Arial"/>
                <w:color w:val="000000"/>
                <w:sz w:val="14"/>
                <w:szCs w:val="14"/>
                <w:lang w:val="en-GB" w:eastAsia="en-GB"/>
              </w:rPr>
            </w:pPr>
            <w:r w:rsidRPr="003A1C12">
              <w:rPr>
                <w:rFonts w:ascii="Arial" w:hAnsi="Arial" w:cs="Arial"/>
                <w:color w:val="000000"/>
                <w:sz w:val="14"/>
                <w:szCs w:val="14"/>
                <w:lang w:val="en-GB" w:eastAsia="en-GB"/>
              </w:rPr>
              <w:t>1,127.3</w:t>
            </w:r>
          </w:p>
        </w:tc>
        <w:tc>
          <w:tcPr>
            <w:tcW w:w="760" w:type="dxa"/>
            <w:tcBorders>
              <w:top w:val="nil"/>
              <w:left w:val="nil"/>
              <w:bottom w:val="single" w:sz="4" w:space="0" w:color="auto"/>
              <w:right w:val="single" w:sz="4" w:space="0" w:color="auto"/>
            </w:tcBorders>
            <w:shd w:val="clear" w:color="auto" w:fill="auto"/>
            <w:noWrap/>
            <w:vAlign w:val="bottom"/>
            <w:hideMark/>
          </w:tcPr>
          <w:p w:rsidR="003A1C12" w:rsidRPr="003A1C12" w:rsidRDefault="003A1C12" w:rsidP="003A1C12">
            <w:pPr>
              <w:spacing w:after="0" w:line="240" w:lineRule="auto"/>
              <w:jc w:val="center"/>
              <w:rPr>
                <w:rFonts w:ascii="Arial" w:hAnsi="Arial" w:cs="Arial"/>
                <w:color w:val="000000"/>
                <w:sz w:val="14"/>
                <w:szCs w:val="14"/>
                <w:lang w:val="en-GB" w:eastAsia="en-GB"/>
              </w:rPr>
            </w:pPr>
            <w:r w:rsidRPr="003A1C12">
              <w:rPr>
                <w:rFonts w:ascii="Arial" w:hAnsi="Arial" w:cs="Arial"/>
                <w:color w:val="000000"/>
                <w:sz w:val="14"/>
                <w:szCs w:val="14"/>
                <w:lang w:val="en-GB" w:eastAsia="en-GB"/>
              </w:rPr>
              <w:t>991.8</w:t>
            </w:r>
          </w:p>
        </w:tc>
        <w:tc>
          <w:tcPr>
            <w:tcW w:w="720" w:type="dxa"/>
            <w:tcBorders>
              <w:top w:val="nil"/>
              <w:left w:val="nil"/>
              <w:bottom w:val="single" w:sz="4" w:space="0" w:color="auto"/>
              <w:right w:val="single" w:sz="4" w:space="0" w:color="auto"/>
            </w:tcBorders>
            <w:shd w:val="clear" w:color="auto" w:fill="auto"/>
            <w:noWrap/>
            <w:vAlign w:val="bottom"/>
            <w:hideMark/>
          </w:tcPr>
          <w:p w:rsidR="003A1C12" w:rsidRPr="003A1C12" w:rsidRDefault="003A1C12" w:rsidP="003A1C12">
            <w:pPr>
              <w:spacing w:after="0" w:line="240" w:lineRule="auto"/>
              <w:jc w:val="center"/>
              <w:rPr>
                <w:rFonts w:ascii="Arial" w:hAnsi="Arial" w:cs="Arial"/>
                <w:color w:val="000000"/>
                <w:sz w:val="14"/>
                <w:szCs w:val="14"/>
                <w:lang w:val="en-GB" w:eastAsia="en-GB"/>
              </w:rPr>
            </w:pPr>
            <w:r w:rsidRPr="003A1C12">
              <w:rPr>
                <w:rFonts w:ascii="Arial" w:hAnsi="Arial" w:cs="Arial"/>
                <w:color w:val="000000"/>
                <w:sz w:val="14"/>
                <w:szCs w:val="14"/>
                <w:lang w:val="en-GB" w:eastAsia="en-GB"/>
              </w:rPr>
              <w:t>249.9</w:t>
            </w:r>
          </w:p>
        </w:tc>
        <w:tc>
          <w:tcPr>
            <w:tcW w:w="660" w:type="dxa"/>
            <w:tcBorders>
              <w:top w:val="nil"/>
              <w:left w:val="nil"/>
              <w:bottom w:val="single" w:sz="4" w:space="0" w:color="auto"/>
              <w:right w:val="single" w:sz="4" w:space="0" w:color="auto"/>
            </w:tcBorders>
            <w:shd w:val="clear" w:color="auto" w:fill="auto"/>
            <w:noWrap/>
            <w:vAlign w:val="bottom"/>
            <w:hideMark/>
          </w:tcPr>
          <w:p w:rsidR="003A1C12" w:rsidRPr="003A1C12" w:rsidRDefault="003A1C12" w:rsidP="003A1C12">
            <w:pPr>
              <w:spacing w:after="0" w:line="240" w:lineRule="auto"/>
              <w:jc w:val="center"/>
              <w:rPr>
                <w:rFonts w:ascii="Arial" w:hAnsi="Arial" w:cs="Arial"/>
                <w:color w:val="000000"/>
                <w:sz w:val="14"/>
                <w:szCs w:val="14"/>
                <w:lang w:val="en-GB" w:eastAsia="en-GB"/>
              </w:rPr>
            </w:pPr>
            <w:r w:rsidRPr="003A1C12">
              <w:rPr>
                <w:rFonts w:ascii="Arial" w:hAnsi="Arial" w:cs="Arial"/>
                <w:color w:val="000000"/>
                <w:sz w:val="14"/>
                <w:szCs w:val="14"/>
                <w:lang w:val="en-GB" w:eastAsia="en-GB"/>
              </w:rPr>
              <w:t>285.9</w:t>
            </w:r>
          </w:p>
        </w:tc>
        <w:tc>
          <w:tcPr>
            <w:tcW w:w="820" w:type="dxa"/>
            <w:tcBorders>
              <w:top w:val="nil"/>
              <w:left w:val="nil"/>
              <w:bottom w:val="single" w:sz="4" w:space="0" w:color="auto"/>
              <w:right w:val="single" w:sz="8" w:space="0" w:color="auto"/>
            </w:tcBorders>
            <w:shd w:val="clear" w:color="auto" w:fill="auto"/>
            <w:noWrap/>
            <w:vAlign w:val="bottom"/>
            <w:hideMark/>
          </w:tcPr>
          <w:p w:rsidR="003A1C12" w:rsidRPr="003A1C12" w:rsidRDefault="003A1C12" w:rsidP="003A1C12">
            <w:pPr>
              <w:spacing w:after="0" w:line="240" w:lineRule="auto"/>
              <w:jc w:val="center"/>
              <w:rPr>
                <w:rFonts w:ascii="Arial" w:hAnsi="Arial" w:cs="Arial"/>
                <w:b/>
                <w:bCs/>
                <w:color w:val="000000"/>
                <w:sz w:val="14"/>
                <w:szCs w:val="14"/>
                <w:lang w:val="en-GB" w:eastAsia="en-GB"/>
              </w:rPr>
            </w:pPr>
            <w:r w:rsidRPr="003A1C12">
              <w:rPr>
                <w:rFonts w:ascii="Arial" w:hAnsi="Arial" w:cs="Arial"/>
                <w:b/>
                <w:bCs/>
                <w:color w:val="000000"/>
                <w:sz w:val="14"/>
                <w:szCs w:val="14"/>
                <w:lang w:val="en-GB" w:eastAsia="en-GB"/>
              </w:rPr>
              <w:t>7,520.6</w:t>
            </w:r>
          </w:p>
        </w:tc>
      </w:tr>
      <w:tr w:rsidR="003A1C12" w:rsidRPr="003A1C12" w:rsidTr="00677BA1">
        <w:trPr>
          <w:trHeight w:val="420"/>
        </w:trPr>
        <w:tc>
          <w:tcPr>
            <w:tcW w:w="1433" w:type="dxa"/>
            <w:tcBorders>
              <w:top w:val="nil"/>
              <w:left w:val="single" w:sz="8" w:space="0" w:color="auto"/>
              <w:bottom w:val="single" w:sz="4" w:space="0" w:color="auto"/>
              <w:right w:val="single" w:sz="4" w:space="0" w:color="auto"/>
            </w:tcBorders>
            <w:shd w:val="clear" w:color="000000" w:fill="DAEEF3"/>
            <w:vAlign w:val="bottom"/>
            <w:hideMark/>
          </w:tcPr>
          <w:p w:rsidR="003A1C12" w:rsidRPr="003A1C12" w:rsidRDefault="003A1C12" w:rsidP="003A1C12">
            <w:pPr>
              <w:spacing w:after="0" w:line="240" w:lineRule="auto"/>
              <w:rPr>
                <w:b/>
                <w:bCs/>
                <w:color w:val="000000"/>
                <w:sz w:val="16"/>
                <w:szCs w:val="16"/>
                <w:lang w:val="en-GB" w:eastAsia="en-GB"/>
              </w:rPr>
            </w:pPr>
            <w:r w:rsidRPr="003A1C12">
              <w:rPr>
                <w:b/>
                <w:bCs/>
                <w:color w:val="000000"/>
                <w:sz w:val="16"/>
                <w:szCs w:val="16"/>
                <w:lang w:val="en-GB" w:eastAsia="en-GB"/>
              </w:rPr>
              <w:t>Brownfield</w:t>
            </w:r>
          </w:p>
        </w:tc>
        <w:tc>
          <w:tcPr>
            <w:tcW w:w="647" w:type="dxa"/>
            <w:tcBorders>
              <w:top w:val="nil"/>
              <w:left w:val="nil"/>
              <w:bottom w:val="single" w:sz="4" w:space="0" w:color="auto"/>
              <w:right w:val="single" w:sz="4" w:space="0" w:color="auto"/>
            </w:tcBorders>
            <w:shd w:val="clear" w:color="auto" w:fill="auto"/>
            <w:noWrap/>
            <w:vAlign w:val="bottom"/>
            <w:hideMark/>
          </w:tcPr>
          <w:p w:rsidR="003A1C12" w:rsidRPr="003A1C12" w:rsidRDefault="003A1C12" w:rsidP="003A1C12">
            <w:pPr>
              <w:spacing w:after="0" w:line="240" w:lineRule="auto"/>
              <w:jc w:val="center"/>
              <w:rPr>
                <w:rFonts w:ascii="Arial" w:hAnsi="Arial" w:cs="Arial"/>
                <w:color w:val="000000"/>
                <w:sz w:val="14"/>
                <w:szCs w:val="14"/>
                <w:lang w:val="en-GB" w:eastAsia="en-GB"/>
              </w:rPr>
            </w:pPr>
            <w:r w:rsidRPr="003A1C12">
              <w:rPr>
                <w:rFonts w:ascii="Arial" w:hAnsi="Arial" w:cs="Arial"/>
                <w:color w:val="000000"/>
                <w:sz w:val="14"/>
                <w:szCs w:val="14"/>
                <w:lang w:val="en-GB" w:eastAsia="en-GB"/>
              </w:rPr>
              <w:t>597.4</w:t>
            </w:r>
          </w:p>
        </w:tc>
        <w:tc>
          <w:tcPr>
            <w:tcW w:w="840" w:type="dxa"/>
            <w:tcBorders>
              <w:top w:val="nil"/>
              <w:left w:val="nil"/>
              <w:bottom w:val="single" w:sz="4" w:space="0" w:color="auto"/>
              <w:right w:val="single" w:sz="4" w:space="0" w:color="auto"/>
            </w:tcBorders>
            <w:shd w:val="clear" w:color="auto" w:fill="auto"/>
            <w:noWrap/>
            <w:vAlign w:val="bottom"/>
            <w:hideMark/>
          </w:tcPr>
          <w:p w:rsidR="003A1C12" w:rsidRPr="003A1C12" w:rsidRDefault="003A1C12" w:rsidP="003A1C12">
            <w:pPr>
              <w:spacing w:after="0" w:line="240" w:lineRule="auto"/>
              <w:jc w:val="center"/>
              <w:rPr>
                <w:rFonts w:ascii="Arial" w:hAnsi="Arial" w:cs="Arial"/>
                <w:color w:val="000000"/>
                <w:sz w:val="14"/>
                <w:szCs w:val="14"/>
                <w:lang w:val="en-GB" w:eastAsia="en-GB"/>
              </w:rPr>
            </w:pPr>
            <w:r w:rsidRPr="003A1C12">
              <w:rPr>
                <w:rFonts w:ascii="Arial" w:hAnsi="Arial" w:cs="Arial"/>
                <w:color w:val="000000"/>
                <w:sz w:val="14"/>
                <w:szCs w:val="14"/>
                <w:lang w:val="en-GB" w:eastAsia="en-GB"/>
              </w:rPr>
              <w:t>1,614.4</w:t>
            </w:r>
          </w:p>
        </w:tc>
        <w:tc>
          <w:tcPr>
            <w:tcW w:w="720" w:type="dxa"/>
            <w:tcBorders>
              <w:top w:val="nil"/>
              <w:left w:val="nil"/>
              <w:bottom w:val="single" w:sz="4" w:space="0" w:color="auto"/>
              <w:right w:val="single" w:sz="4" w:space="0" w:color="auto"/>
            </w:tcBorders>
            <w:shd w:val="clear" w:color="auto" w:fill="auto"/>
            <w:noWrap/>
            <w:vAlign w:val="bottom"/>
            <w:hideMark/>
          </w:tcPr>
          <w:p w:rsidR="003A1C12" w:rsidRPr="003A1C12" w:rsidRDefault="003A1C12" w:rsidP="003A1C12">
            <w:pPr>
              <w:spacing w:after="0" w:line="240" w:lineRule="auto"/>
              <w:jc w:val="center"/>
              <w:rPr>
                <w:rFonts w:ascii="Arial" w:hAnsi="Arial" w:cs="Arial"/>
                <w:color w:val="000000"/>
                <w:sz w:val="14"/>
                <w:szCs w:val="14"/>
                <w:lang w:val="en-GB" w:eastAsia="en-GB"/>
              </w:rPr>
            </w:pPr>
            <w:r w:rsidRPr="003A1C12">
              <w:rPr>
                <w:rFonts w:ascii="Arial" w:hAnsi="Arial" w:cs="Arial"/>
                <w:color w:val="000000"/>
                <w:sz w:val="14"/>
                <w:szCs w:val="14"/>
                <w:lang w:val="en-GB" w:eastAsia="en-GB"/>
              </w:rPr>
              <w:t>1,362.7</w:t>
            </w:r>
          </w:p>
        </w:tc>
        <w:tc>
          <w:tcPr>
            <w:tcW w:w="780" w:type="dxa"/>
            <w:tcBorders>
              <w:top w:val="nil"/>
              <w:left w:val="nil"/>
              <w:bottom w:val="single" w:sz="4" w:space="0" w:color="auto"/>
              <w:right w:val="single" w:sz="4" w:space="0" w:color="auto"/>
            </w:tcBorders>
            <w:shd w:val="clear" w:color="auto" w:fill="auto"/>
            <w:noWrap/>
            <w:vAlign w:val="bottom"/>
            <w:hideMark/>
          </w:tcPr>
          <w:p w:rsidR="003A1C12" w:rsidRPr="003A1C12" w:rsidRDefault="003A1C12" w:rsidP="003A1C12">
            <w:pPr>
              <w:spacing w:after="0" w:line="240" w:lineRule="auto"/>
              <w:jc w:val="center"/>
              <w:rPr>
                <w:rFonts w:ascii="Arial" w:hAnsi="Arial" w:cs="Arial"/>
                <w:color w:val="000000"/>
                <w:sz w:val="14"/>
                <w:szCs w:val="14"/>
                <w:lang w:val="en-GB" w:eastAsia="en-GB"/>
              </w:rPr>
            </w:pPr>
            <w:r w:rsidRPr="003A1C12">
              <w:rPr>
                <w:rFonts w:ascii="Arial" w:hAnsi="Arial" w:cs="Arial"/>
                <w:color w:val="000000"/>
                <w:sz w:val="14"/>
                <w:szCs w:val="14"/>
                <w:lang w:val="en-GB" w:eastAsia="en-GB"/>
              </w:rPr>
              <w:t>1,499.4</w:t>
            </w:r>
          </w:p>
        </w:tc>
        <w:tc>
          <w:tcPr>
            <w:tcW w:w="780" w:type="dxa"/>
            <w:tcBorders>
              <w:top w:val="nil"/>
              <w:left w:val="nil"/>
              <w:bottom w:val="single" w:sz="4" w:space="0" w:color="auto"/>
              <w:right w:val="single" w:sz="4" w:space="0" w:color="auto"/>
            </w:tcBorders>
            <w:shd w:val="clear" w:color="auto" w:fill="auto"/>
            <w:noWrap/>
            <w:vAlign w:val="bottom"/>
            <w:hideMark/>
          </w:tcPr>
          <w:p w:rsidR="003A1C12" w:rsidRPr="003A1C12" w:rsidRDefault="003A1C12" w:rsidP="003A1C12">
            <w:pPr>
              <w:spacing w:after="0" w:line="240" w:lineRule="auto"/>
              <w:jc w:val="center"/>
              <w:rPr>
                <w:rFonts w:ascii="Arial" w:hAnsi="Arial" w:cs="Arial"/>
                <w:color w:val="000000"/>
                <w:sz w:val="14"/>
                <w:szCs w:val="14"/>
                <w:lang w:val="en-GB" w:eastAsia="en-GB"/>
              </w:rPr>
            </w:pPr>
            <w:r w:rsidRPr="003A1C12">
              <w:rPr>
                <w:rFonts w:ascii="Arial" w:hAnsi="Arial" w:cs="Arial"/>
                <w:color w:val="000000"/>
                <w:sz w:val="14"/>
                <w:szCs w:val="14"/>
                <w:lang w:val="en-GB" w:eastAsia="en-GB"/>
              </w:rPr>
              <w:t>282.9</w:t>
            </w:r>
          </w:p>
        </w:tc>
        <w:tc>
          <w:tcPr>
            <w:tcW w:w="760" w:type="dxa"/>
            <w:tcBorders>
              <w:top w:val="nil"/>
              <w:left w:val="nil"/>
              <w:bottom w:val="single" w:sz="4" w:space="0" w:color="auto"/>
              <w:right w:val="single" w:sz="4" w:space="0" w:color="auto"/>
            </w:tcBorders>
            <w:shd w:val="clear" w:color="auto" w:fill="auto"/>
            <w:noWrap/>
            <w:vAlign w:val="bottom"/>
            <w:hideMark/>
          </w:tcPr>
          <w:p w:rsidR="003A1C12" w:rsidRPr="003A1C12" w:rsidRDefault="003A1C12" w:rsidP="003A1C12">
            <w:pPr>
              <w:spacing w:after="0" w:line="240" w:lineRule="auto"/>
              <w:jc w:val="center"/>
              <w:rPr>
                <w:rFonts w:ascii="Arial" w:hAnsi="Arial" w:cs="Arial"/>
                <w:color w:val="000000"/>
                <w:sz w:val="14"/>
                <w:szCs w:val="14"/>
                <w:lang w:val="en-GB" w:eastAsia="en-GB"/>
              </w:rPr>
            </w:pPr>
            <w:r w:rsidRPr="003A1C12">
              <w:rPr>
                <w:rFonts w:ascii="Arial" w:hAnsi="Arial" w:cs="Arial"/>
                <w:color w:val="000000"/>
                <w:sz w:val="14"/>
                <w:szCs w:val="14"/>
                <w:lang w:val="en-GB" w:eastAsia="en-GB"/>
              </w:rPr>
              <w:t>-207.3</w:t>
            </w:r>
          </w:p>
        </w:tc>
        <w:tc>
          <w:tcPr>
            <w:tcW w:w="760" w:type="dxa"/>
            <w:tcBorders>
              <w:top w:val="nil"/>
              <w:left w:val="nil"/>
              <w:bottom w:val="single" w:sz="4" w:space="0" w:color="auto"/>
              <w:right w:val="single" w:sz="4" w:space="0" w:color="auto"/>
            </w:tcBorders>
            <w:shd w:val="clear" w:color="auto" w:fill="auto"/>
            <w:noWrap/>
            <w:vAlign w:val="bottom"/>
            <w:hideMark/>
          </w:tcPr>
          <w:p w:rsidR="003A1C12" w:rsidRPr="003A1C12" w:rsidRDefault="003A1C12" w:rsidP="003A1C12">
            <w:pPr>
              <w:spacing w:after="0" w:line="240" w:lineRule="auto"/>
              <w:jc w:val="center"/>
              <w:rPr>
                <w:rFonts w:ascii="Arial" w:hAnsi="Arial" w:cs="Arial"/>
                <w:color w:val="000000"/>
                <w:sz w:val="14"/>
                <w:szCs w:val="14"/>
                <w:lang w:val="en-GB" w:eastAsia="en-GB"/>
              </w:rPr>
            </w:pPr>
            <w:r w:rsidRPr="003A1C12">
              <w:rPr>
                <w:rFonts w:ascii="Arial" w:hAnsi="Arial" w:cs="Arial"/>
                <w:color w:val="000000"/>
                <w:sz w:val="14"/>
                <w:szCs w:val="14"/>
                <w:lang w:val="en-GB" w:eastAsia="en-GB"/>
              </w:rPr>
              <w:t>1,255.2</w:t>
            </w:r>
          </w:p>
        </w:tc>
        <w:tc>
          <w:tcPr>
            <w:tcW w:w="720" w:type="dxa"/>
            <w:tcBorders>
              <w:top w:val="nil"/>
              <w:left w:val="nil"/>
              <w:bottom w:val="single" w:sz="4" w:space="0" w:color="auto"/>
              <w:right w:val="single" w:sz="4" w:space="0" w:color="auto"/>
            </w:tcBorders>
            <w:shd w:val="clear" w:color="auto" w:fill="auto"/>
            <w:noWrap/>
            <w:vAlign w:val="bottom"/>
            <w:hideMark/>
          </w:tcPr>
          <w:p w:rsidR="003A1C12" w:rsidRPr="003A1C12" w:rsidRDefault="003A1C12" w:rsidP="003A1C12">
            <w:pPr>
              <w:spacing w:after="0" w:line="240" w:lineRule="auto"/>
              <w:jc w:val="center"/>
              <w:rPr>
                <w:rFonts w:ascii="Arial" w:hAnsi="Arial" w:cs="Arial"/>
                <w:color w:val="000000"/>
                <w:sz w:val="14"/>
                <w:szCs w:val="14"/>
                <w:lang w:val="en-GB" w:eastAsia="en-GB"/>
              </w:rPr>
            </w:pPr>
            <w:r w:rsidRPr="003A1C12">
              <w:rPr>
                <w:rFonts w:ascii="Arial" w:hAnsi="Arial" w:cs="Arial"/>
                <w:color w:val="000000"/>
                <w:sz w:val="14"/>
                <w:szCs w:val="14"/>
                <w:lang w:val="en-GB" w:eastAsia="en-GB"/>
              </w:rPr>
              <w:t>823.1</w:t>
            </w:r>
          </w:p>
        </w:tc>
        <w:tc>
          <w:tcPr>
            <w:tcW w:w="660" w:type="dxa"/>
            <w:tcBorders>
              <w:top w:val="nil"/>
              <w:left w:val="nil"/>
              <w:bottom w:val="single" w:sz="4" w:space="0" w:color="auto"/>
              <w:right w:val="single" w:sz="4" w:space="0" w:color="auto"/>
            </w:tcBorders>
            <w:shd w:val="clear" w:color="auto" w:fill="auto"/>
            <w:noWrap/>
            <w:vAlign w:val="bottom"/>
            <w:hideMark/>
          </w:tcPr>
          <w:p w:rsidR="003A1C12" w:rsidRPr="003A1C12" w:rsidRDefault="003A1C12" w:rsidP="003A1C12">
            <w:pPr>
              <w:spacing w:after="0" w:line="240" w:lineRule="auto"/>
              <w:jc w:val="center"/>
              <w:rPr>
                <w:rFonts w:ascii="Arial" w:hAnsi="Arial" w:cs="Arial"/>
                <w:color w:val="000000"/>
                <w:sz w:val="14"/>
                <w:szCs w:val="14"/>
                <w:lang w:val="en-GB" w:eastAsia="en-GB"/>
              </w:rPr>
            </w:pPr>
            <w:r w:rsidRPr="003A1C12">
              <w:rPr>
                <w:rFonts w:ascii="Arial" w:hAnsi="Arial" w:cs="Arial"/>
                <w:color w:val="000000"/>
                <w:sz w:val="14"/>
                <w:szCs w:val="14"/>
                <w:lang w:val="en-GB" w:eastAsia="en-GB"/>
              </w:rPr>
              <w:t>12.3</w:t>
            </w:r>
          </w:p>
        </w:tc>
        <w:tc>
          <w:tcPr>
            <w:tcW w:w="820" w:type="dxa"/>
            <w:tcBorders>
              <w:top w:val="nil"/>
              <w:left w:val="nil"/>
              <w:bottom w:val="single" w:sz="4" w:space="0" w:color="auto"/>
              <w:right w:val="single" w:sz="8" w:space="0" w:color="auto"/>
            </w:tcBorders>
            <w:shd w:val="clear" w:color="auto" w:fill="auto"/>
            <w:noWrap/>
            <w:vAlign w:val="bottom"/>
            <w:hideMark/>
          </w:tcPr>
          <w:p w:rsidR="003A1C12" w:rsidRPr="003A1C12" w:rsidRDefault="003A1C12" w:rsidP="003A1C12">
            <w:pPr>
              <w:spacing w:after="0" w:line="240" w:lineRule="auto"/>
              <w:jc w:val="center"/>
              <w:rPr>
                <w:rFonts w:ascii="Arial" w:hAnsi="Arial" w:cs="Arial"/>
                <w:b/>
                <w:bCs/>
                <w:color w:val="000000"/>
                <w:sz w:val="14"/>
                <w:szCs w:val="14"/>
                <w:lang w:val="en-GB" w:eastAsia="en-GB"/>
              </w:rPr>
            </w:pPr>
            <w:r w:rsidRPr="003A1C12">
              <w:rPr>
                <w:rFonts w:ascii="Arial" w:hAnsi="Arial" w:cs="Arial"/>
                <w:b/>
                <w:bCs/>
                <w:color w:val="000000"/>
                <w:sz w:val="14"/>
                <w:szCs w:val="14"/>
                <w:lang w:val="en-GB" w:eastAsia="en-GB"/>
              </w:rPr>
              <w:t>7,240.1</w:t>
            </w:r>
          </w:p>
        </w:tc>
      </w:tr>
      <w:tr w:rsidR="003A1C12" w:rsidRPr="003A1C12" w:rsidTr="00677BA1">
        <w:trPr>
          <w:trHeight w:val="420"/>
        </w:trPr>
        <w:tc>
          <w:tcPr>
            <w:tcW w:w="1433" w:type="dxa"/>
            <w:tcBorders>
              <w:top w:val="nil"/>
              <w:left w:val="single" w:sz="8" w:space="0" w:color="auto"/>
              <w:bottom w:val="single" w:sz="8" w:space="0" w:color="auto"/>
              <w:right w:val="single" w:sz="4" w:space="0" w:color="auto"/>
            </w:tcBorders>
            <w:shd w:val="clear" w:color="000000" w:fill="DAEEF3"/>
            <w:vAlign w:val="bottom"/>
            <w:hideMark/>
          </w:tcPr>
          <w:p w:rsidR="003A1C12" w:rsidRPr="003A1C12" w:rsidRDefault="003A1C12" w:rsidP="003A1C12">
            <w:pPr>
              <w:spacing w:after="0" w:line="240" w:lineRule="auto"/>
              <w:rPr>
                <w:b/>
                <w:bCs/>
                <w:color w:val="000000"/>
                <w:sz w:val="16"/>
                <w:szCs w:val="16"/>
                <w:lang w:val="en-GB" w:eastAsia="en-GB"/>
              </w:rPr>
            </w:pPr>
            <w:r w:rsidRPr="003A1C12">
              <w:rPr>
                <w:b/>
                <w:bCs/>
                <w:color w:val="000000"/>
                <w:sz w:val="16"/>
                <w:szCs w:val="16"/>
                <w:lang w:val="en-GB" w:eastAsia="en-GB"/>
              </w:rPr>
              <w:t>UKUPNO</w:t>
            </w:r>
          </w:p>
        </w:tc>
        <w:tc>
          <w:tcPr>
            <w:tcW w:w="647" w:type="dxa"/>
            <w:tcBorders>
              <w:top w:val="nil"/>
              <w:left w:val="nil"/>
              <w:bottom w:val="single" w:sz="8" w:space="0" w:color="auto"/>
              <w:right w:val="single" w:sz="4" w:space="0" w:color="auto"/>
            </w:tcBorders>
            <w:shd w:val="clear" w:color="auto" w:fill="auto"/>
            <w:noWrap/>
            <w:vAlign w:val="bottom"/>
            <w:hideMark/>
          </w:tcPr>
          <w:p w:rsidR="003A1C12" w:rsidRPr="003A1C12" w:rsidRDefault="003A1C12" w:rsidP="003A1C12">
            <w:pPr>
              <w:spacing w:after="0" w:line="240" w:lineRule="auto"/>
              <w:jc w:val="center"/>
              <w:rPr>
                <w:rFonts w:ascii="Arial" w:hAnsi="Arial" w:cs="Arial"/>
                <w:b/>
                <w:bCs/>
                <w:color w:val="000000"/>
                <w:sz w:val="14"/>
                <w:szCs w:val="14"/>
                <w:lang w:val="en-GB" w:eastAsia="en-GB"/>
              </w:rPr>
            </w:pPr>
            <w:r w:rsidRPr="003A1C12">
              <w:rPr>
                <w:rFonts w:ascii="Arial" w:hAnsi="Arial" w:cs="Arial"/>
                <w:b/>
                <w:bCs/>
                <w:color w:val="000000"/>
                <w:sz w:val="14"/>
                <w:szCs w:val="14"/>
                <w:lang w:val="en-GB" w:eastAsia="en-GB"/>
              </w:rPr>
              <w:t>1,363.4</w:t>
            </w:r>
          </w:p>
        </w:tc>
        <w:tc>
          <w:tcPr>
            <w:tcW w:w="840" w:type="dxa"/>
            <w:tcBorders>
              <w:top w:val="nil"/>
              <w:left w:val="nil"/>
              <w:bottom w:val="single" w:sz="8" w:space="0" w:color="auto"/>
              <w:right w:val="single" w:sz="4" w:space="0" w:color="auto"/>
            </w:tcBorders>
            <w:shd w:val="clear" w:color="auto" w:fill="auto"/>
            <w:noWrap/>
            <w:vAlign w:val="bottom"/>
            <w:hideMark/>
          </w:tcPr>
          <w:p w:rsidR="003A1C12" w:rsidRPr="003A1C12" w:rsidRDefault="003A1C12" w:rsidP="003A1C12">
            <w:pPr>
              <w:spacing w:after="0" w:line="240" w:lineRule="auto"/>
              <w:jc w:val="center"/>
              <w:rPr>
                <w:rFonts w:ascii="Arial" w:hAnsi="Arial" w:cs="Arial"/>
                <w:b/>
                <w:bCs/>
                <w:color w:val="000000"/>
                <w:sz w:val="14"/>
                <w:szCs w:val="14"/>
                <w:lang w:val="en-GB" w:eastAsia="en-GB"/>
              </w:rPr>
            </w:pPr>
            <w:r w:rsidRPr="003A1C12">
              <w:rPr>
                <w:rFonts w:ascii="Arial" w:hAnsi="Arial" w:cs="Arial"/>
                <w:b/>
                <w:bCs/>
                <w:color w:val="000000"/>
                <w:sz w:val="14"/>
                <w:szCs w:val="14"/>
                <w:lang w:val="en-GB" w:eastAsia="en-GB"/>
              </w:rPr>
              <w:t>2,435.8</w:t>
            </w:r>
          </w:p>
        </w:tc>
        <w:tc>
          <w:tcPr>
            <w:tcW w:w="720" w:type="dxa"/>
            <w:tcBorders>
              <w:top w:val="nil"/>
              <w:left w:val="nil"/>
              <w:bottom w:val="single" w:sz="8" w:space="0" w:color="auto"/>
              <w:right w:val="single" w:sz="4" w:space="0" w:color="auto"/>
            </w:tcBorders>
            <w:shd w:val="clear" w:color="auto" w:fill="auto"/>
            <w:noWrap/>
            <w:vAlign w:val="bottom"/>
            <w:hideMark/>
          </w:tcPr>
          <w:p w:rsidR="003A1C12" w:rsidRPr="003A1C12" w:rsidRDefault="003A1C12" w:rsidP="003A1C12">
            <w:pPr>
              <w:spacing w:after="0" w:line="240" w:lineRule="auto"/>
              <w:jc w:val="center"/>
              <w:rPr>
                <w:rFonts w:ascii="Arial" w:hAnsi="Arial" w:cs="Arial"/>
                <w:b/>
                <w:bCs/>
                <w:color w:val="000000"/>
                <w:sz w:val="14"/>
                <w:szCs w:val="14"/>
                <w:lang w:val="en-GB" w:eastAsia="en-GB"/>
              </w:rPr>
            </w:pPr>
            <w:r w:rsidRPr="003A1C12">
              <w:rPr>
                <w:rFonts w:ascii="Arial" w:hAnsi="Arial" w:cs="Arial"/>
                <w:b/>
                <w:bCs/>
                <w:color w:val="000000"/>
                <w:sz w:val="14"/>
                <w:szCs w:val="14"/>
                <w:lang w:val="en-GB" w:eastAsia="en-GB"/>
              </w:rPr>
              <w:t>2,736.0</w:t>
            </w:r>
          </w:p>
        </w:tc>
        <w:tc>
          <w:tcPr>
            <w:tcW w:w="780" w:type="dxa"/>
            <w:tcBorders>
              <w:top w:val="nil"/>
              <w:left w:val="nil"/>
              <w:bottom w:val="single" w:sz="8" w:space="0" w:color="auto"/>
              <w:right w:val="single" w:sz="4" w:space="0" w:color="auto"/>
            </w:tcBorders>
            <w:shd w:val="clear" w:color="auto" w:fill="auto"/>
            <w:noWrap/>
            <w:vAlign w:val="bottom"/>
            <w:hideMark/>
          </w:tcPr>
          <w:p w:rsidR="003A1C12" w:rsidRPr="003A1C12" w:rsidRDefault="003A1C12" w:rsidP="003A1C12">
            <w:pPr>
              <w:spacing w:after="0" w:line="240" w:lineRule="auto"/>
              <w:jc w:val="center"/>
              <w:rPr>
                <w:rFonts w:ascii="Arial" w:hAnsi="Arial" w:cs="Arial"/>
                <w:b/>
                <w:bCs/>
                <w:color w:val="000000"/>
                <w:sz w:val="14"/>
                <w:szCs w:val="14"/>
                <w:lang w:val="en-GB" w:eastAsia="en-GB"/>
              </w:rPr>
            </w:pPr>
            <w:r w:rsidRPr="003A1C12">
              <w:rPr>
                <w:rFonts w:ascii="Arial" w:hAnsi="Arial" w:cs="Arial"/>
                <w:b/>
                <w:bCs/>
                <w:color w:val="000000"/>
                <w:sz w:val="14"/>
                <w:szCs w:val="14"/>
                <w:lang w:val="en-GB" w:eastAsia="en-GB"/>
              </w:rPr>
              <w:t>2,731.3</w:t>
            </w:r>
          </w:p>
        </w:tc>
        <w:tc>
          <w:tcPr>
            <w:tcW w:w="780" w:type="dxa"/>
            <w:tcBorders>
              <w:top w:val="nil"/>
              <w:left w:val="nil"/>
              <w:bottom w:val="single" w:sz="8" w:space="0" w:color="auto"/>
              <w:right w:val="single" w:sz="4" w:space="0" w:color="auto"/>
            </w:tcBorders>
            <w:shd w:val="clear" w:color="auto" w:fill="auto"/>
            <w:noWrap/>
            <w:vAlign w:val="bottom"/>
            <w:hideMark/>
          </w:tcPr>
          <w:p w:rsidR="003A1C12" w:rsidRPr="003A1C12" w:rsidRDefault="003A1C12" w:rsidP="003A1C12">
            <w:pPr>
              <w:spacing w:after="0" w:line="240" w:lineRule="auto"/>
              <w:jc w:val="center"/>
              <w:rPr>
                <w:rFonts w:ascii="Arial" w:hAnsi="Arial" w:cs="Arial"/>
                <w:b/>
                <w:bCs/>
                <w:color w:val="000000"/>
                <w:sz w:val="14"/>
                <w:szCs w:val="14"/>
                <w:lang w:val="en-GB" w:eastAsia="en-GB"/>
              </w:rPr>
            </w:pPr>
            <w:r w:rsidRPr="003A1C12">
              <w:rPr>
                <w:rFonts w:ascii="Arial" w:hAnsi="Arial" w:cs="Arial"/>
                <w:b/>
                <w:bCs/>
                <w:color w:val="000000"/>
                <w:sz w:val="14"/>
                <w:szCs w:val="14"/>
                <w:lang w:val="en-GB" w:eastAsia="en-GB"/>
              </w:rPr>
              <w:t>956.1</w:t>
            </w:r>
          </w:p>
        </w:tc>
        <w:tc>
          <w:tcPr>
            <w:tcW w:w="760" w:type="dxa"/>
            <w:tcBorders>
              <w:top w:val="nil"/>
              <w:left w:val="nil"/>
              <w:bottom w:val="single" w:sz="8" w:space="0" w:color="auto"/>
              <w:right w:val="single" w:sz="4" w:space="0" w:color="auto"/>
            </w:tcBorders>
            <w:shd w:val="clear" w:color="auto" w:fill="auto"/>
            <w:noWrap/>
            <w:vAlign w:val="bottom"/>
            <w:hideMark/>
          </w:tcPr>
          <w:p w:rsidR="003A1C12" w:rsidRPr="003A1C12" w:rsidRDefault="003A1C12" w:rsidP="003A1C12">
            <w:pPr>
              <w:spacing w:after="0" w:line="240" w:lineRule="auto"/>
              <w:jc w:val="center"/>
              <w:rPr>
                <w:rFonts w:ascii="Arial" w:hAnsi="Arial" w:cs="Arial"/>
                <w:b/>
                <w:bCs/>
                <w:color w:val="000000"/>
                <w:sz w:val="14"/>
                <w:szCs w:val="14"/>
                <w:lang w:val="en-GB" w:eastAsia="en-GB"/>
              </w:rPr>
            </w:pPr>
            <w:r w:rsidRPr="003A1C12">
              <w:rPr>
                <w:rFonts w:ascii="Arial" w:hAnsi="Arial" w:cs="Arial"/>
                <w:b/>
                <w:bCs/>
                <w:color w:val="000000"/>
                <w:sz w:val="14"/>
                <w:szCs w:val="14"/>
                <w:lang w:val="en-GB" w:eastAsia="en-GB"/>
              </w:rPr>
              <w:t>919.9</w:t>
            </w:r>
          </w:p>
        </w:tc>
        <w:tc>
          <w:tcPr>
            <w:tcW w:w="760" w:type="dxa"/>
            <w:tcBorders>
              <w:top w:val="nil"/>
              <w:left w:val="nil"/>
              <w:bottom w:val="single" w:sz="8" w:space="0" w:color="auto"/>
              <w:right w:val="single" w:sz="4" w:space="0" w:color="auto"/>
            </w:tcBorders>
            <w:shd w:val="clear" w:color="auto" w:fill="auto"/>
            <w:noWrap/>
            <w:vAlign w:val="bottom"/>
            <w:hideMark/>
          </w:tcPr>
          <w:p w:rsidR="003A1C12" w:rsidRPr="003A1C12" w:rsidRDefault="003A1C12" w:rsidP="003A1C12">
            <w:pPr>
              <w:spacing w:after="0" w:line="240" w:lineRule="auto"/>
              <w:jc w:val="center"/>
              <w:rPr>
                <w:rFonts w:ascii="Arial" w:hAnsi="Arial" w:cs="Arial"/>
                <w:b/>
                <w:bCs/>
                <w:color w:val="000000"/>
                <w:sz w:val="14"/>
                <w:szCs w:val="14"/>
                <w:lang w:val="en-GB" w:eastAsia="en-GB"/>
              </w:rPr>
            </w:pPr>
            <w:r w:rsidRPr="003A1C12">
              <w:rPr>
                <w:rFonts w:ascii="Arial" w:hAnsi="Arial" w:cs="Arial"/>
                <w:b/>
                <w:bCs/>
                <w:color w:val="000000"/>
                <w:sz w:val="14"/>
                <w:szCs w:val="14"/>
                <w:lang w:val="en-GB" w:eastAsia="en-GB"/>
              </w:rPr>
              <w:t>2,247.0</w:t>
            </w:r>
          </w:p>
        </w:tc>
        <w:tc>
          <w:tcPr>
            <w:tcW w:w="720" w:type="dxa"/>
            <w:tcBorders>
              <w:top w:val="nil"/>
              <w:left w:val="nil"/>
              <w:bottom w:val="single" w:sz="8" w:space="0" w:color="auto"/>
              <w:right w:val="single" w:sz="4" w:space="0" w:color="auto"/>
            </w:tcBorders>
            <w:shd w:val="clear" w:color="auto" w:fill="auto"/>
            <w:noWrap/>
            <w:vAlign w:val="bottom"/>
            <w:hideMark/>
          </w:tcPr>
          <w:p w:rsidR="003A1C12" w:rsidRPr="003A1C12" w:rsidRDefault="003A1C12" w:rsidP="003A1C12">
            <w:pPr>
              <w:spacing w:after="0" w:line="240" w:lineRule="auto"/>
              <w:jc w:val="center"/>
              <w:rPr>
                <w:rFonts w:ascii="Arial" w:hAnsi="Arial" w:cs="Arial"/>
                <w:b/>
                <w:bCs/>
                <w:color w:val="000000"/>
                <w:sz w:val="14"/>
                <w:szCs w:val="14"/>
                <w:lang w:val="en-GB" w:eastAsia="en-GB"/>
              </w:rPr>
            </w:pPr>
            <w:r w:rsidRPr="003A1C12">
              <w:rPr>
                <w:rFonts w:ascii="Arial" w:hAnsi="Arial" w:cs="Arial"/>
                <w:b/>
                <w:bCs/>
                <w:color w:val="000000"/>
                <w:sz w:val="14"/>
                <w:szCs w:val="14"/>
                <w:lang w:val="en-GB" w:eastAsia="en-GB"/>
              </w:rPr>
              <w:t>1,073.0</w:t>
            </w:r>
          </w:p>
        </w:tc>
        <w:tc>
          <w:tcPr>
            <w:tcW w:w="660" w:type="dxa"/>
            <w:tcBorders>
              <w:top w:val="nil"/>
              <w:left w:val="nil"/>
              <w:bottom w:val="single" w:sz="8" w:space="0" w:color="auto"/>
              <w:right w:val="single" w:sz="4" w:space="0" w:color="auto"/>
            </w:tcBorders>
            <w:shd w:val="clear" w:color="auto" w:fill="auto"/>
            <w:noWrap/>
            <w:vAlign w:val="bottom"/>
            <w:hideMark/>
          </w:tcPr>
          <w:p w:rsidR="003A1C12" w:rsidRPr="003A1C12" w:rsidRDefault="003A1C12" w:rsidP="003A1C12">
            <w:pPr>
              <w:spacing w:after="0" w:line="240" w:lineRule="auto"/>
              <w:jc w:val="center"/>
              <w:rPr>
                <w:rFonts w:ascii="Arial" w:hAnsi="Arial" w:cs="Arial"/>
                <w:b/>
                <w:bCs/>
                <w:color w:val="000000"/>
                <w:sz w:val="14"/>
                <w:szCs w:val="14"/>
                <w:lang w:val="en-GB" w:eastAsia="en-GB"/>
              </w:rPr>
            </w:pPr>
            <w:r w:rsidRPr="003A1C12">
              <w:rPr>
                <w:rFonts w:ascii="Arial" w:hAnsi="Arial" w:cs="Arial"/>
                <w:b/>
                <w:bCs/>
                <w:color w:val="000000"/>
                <w:sz w:val="14"/>
                <w:szCs w:val="14"/>
                <w:lang w:val="en-GB" w:eastAsia="en-GB"/>
              </w:rPr>
              <w:t>298.2</w:t>
            </w:r>
          </w:p>
        </w:tc>
        <w:tc>
          <w:tcPr>
            <w:tcW w:w="820" w:type="dxa"/>
            <w:tcBorders>
              <w:top w:val="nil"/>
              <w:left w:val="nil"/>
              <w:bottom w:val="single" w:sz="4" w:space="0" w:color="auto"/>
              <w:right w:val="single" w:sz="8" w:space="0" w:color="auto"/>
            </w:tcBorders>
            <w:shd w:val="clear" w:color="auto" w:fill="auto"/>
            <w:noWrap/>
            <w:vAlign w:val="bottom"/>
            <w:hideMark/>
          </w:tcPr>
          <w:p w:rsidR="003A1C12" w:rsidRPr="003A1C12" w:rsidRDefault="003A1C12" w:rsidP="003A1C12">
            <w:pPr>
              <w:spacing w:after="0" w:line="240" w:lineRule="auto"/>
              <w:jc w:val="center"/>
              <w:rPr>
                <w:rFonts w:ascii="Arial" w:hAnsi="Arial" w:cs="Arial"/>
                <w:b/>
                <w:bCs/>
                <w:color w:val="000000"/>
                <w:sz w:val="14"/>
                <w:szCs w:val="14"/>
                <w:lang w:val="en-GB" w:eastAsia="en-GB"/>
              </w:rPr>
            </w:pPr>
            <w:r w:rsidRPr="003A1C12">
              <w:rPr>
                <w:rFonts w:ascii="Arial" w:hAnsi="Arial" w:cs="Arial"/>
                <w:b/>
                <w:bCs/>
                <w:color w:val="000000"/>
                <w:sz w:val="14"/>
                <w:szCs w:val="14"/>
                <w:lang w:val="en-GB" w:eastAsia="en-GB"/>
              </w:rPr>
              <w:t>14,760.7</w:t>
            </w:r>
          </w:p>
        </w:tc>
      </w:tr>
    </w:tbl>
    <w:p w:rsidR="000C1520" w:rsidRPr="00923D77" w:rsidRDefault="000C1520" w:rsidP="00923D77">
      <w:pPr>
        <w:spacing w:after="0" w:line="240" w:lineRule="auto"/>
        <w:jc w:val="both"/>
        <w:rPr>
          <w:rFonts w:cs="Calibri"/>
          <w:sz w:val="18"/>
          <w:szCs w:val="18"/>
        </w:rPr>
      </w:pPr>
      <w:r w:rsidRPr="00923D77">
        <w:rPr>
          <w:rFonts w:cs="Calibri"/>
          <w:b/>
          <w:i/>
          <w:sz w:val="20"/>
          <w:szCs w:val="20"/>
        </w:rPr>
        <w:t>Izvor:</w:t>
      </w:r>
      <w:r w:rsidRPr="00923D77">
        <w:rPr>
          <w:rFonts w:cs="Calibri"/>
          <w:i/>
          <w:sz w:val="20"/>
          <w:szCs w:val="20"/>
        </w:rPr>
        <w:t xml:space="preserve"> HNB</w:t>
      </w:r>
    </w:p>
    <w:p w:rsidR="000C1520" w:rsidRDefault="000C1520" w:rsidP="00923D77">
      <w:pPr>
        <w:spacing w:line="360" w:lineRule="auto"/>
        <w:jc w:val="both"/>
        <w:rPr>
          <w:rFonts w:cs="Calibri"/>
          <w:bCs/>
        </w:rPr>
      </w:pPr>
      <w:r>
        <w:rPr>
          <w:rFonts w:cs="Calibri"/>
          <w:bCs/>
        </w:rPr>
        <w:t xml:space="preserve">S obzirom na djelatnosti, najveći dio </w:t>
      </w:r>
      <w:proofErr w:type="spellStart"/>
      <w:r w:rsidRPr="00597A43">
        <w:rPr>
          <w:rFonts w:cs="Calibri"/>
          <w:bCs/>
          <w:i/>
        </w:rPr>
        <w:t>greenfield</w:t>
      </w:r>
      <w:proofErr w:type="spellEnd"/>
      <w:r w:rsidRPr="00923D77">
        <w:rPr>
          <w:rFonts w:cs="Calibri"/>
          <w:bCs/>
        </w:rPr>
        <w:t xml:space="preserve"> investicija odnosio se na sektor</w:t>
      </w:r>
      <w:r w:rsidRPr="00923D77">
        <w:rPr>
          <w:rFonts w:cs="Calibri"/>
        </w:rPr>
        <w:t xml:space="preserve"> financijskog posredovanja s </w:t>
      </w:r>
      <w:r w:rsidR="00FF3CDB">
        <w:rPr>
          <w:rFonts w:cs="Calibri"/>
        </w:rPr>
        <w:t>26</w:t>
      </w:r>
      <w:r w:rsidRPr="00923D77">
        <w:rPr>
          <w:rFonts w:cs="Calibri"/>
        </w:rPr>
        <w:t>%</w:t>
      </w:r>
      <w:r w:rsidR="00FF3CDB">
        <w:rPr>
          <w:rFonts w:cs="Calibri"/>
        </w:rPr>
        <w:t xml:space="preserve"> i</w:t>
      </w:r>
      <w:r w:rsidR="00C11628">
        <w:rPr>
          <w:rFonts w:cs="Calibri"/>
        </w:rPr>
        <w:t xml:space="preserve"> na </w:t>
      </w:r>
      <w:r w:rsidRPr="00923D77">
        <w:rPr>
          <w:rFonts w:cs="Calibri"/>
          <w:bCs/>
        </w:rPr>
        <w:t xml:space="preserve"> sektor trgovine na veliko i posredovanje u trgovini sa </w:t>
      </w:r>
      <w:r w:rsidR="00FF3CDB">
        <w:rPr>
          <w:rFonts w:cs="Calibri"/>
          <w:bCs/>
        </w:rPr>
        <w:t>12</w:t>
      </w:r>
      <w:r w:rsidRPr="00923D77">
        <w:rPr>
          <w:rFonts w:cs="Calibri"/>
          <w:bCs/>
        </w:rPr>
        <w:t>%</w:t>
      </w:r>
      <w:r>
        <w:rPr>
          <w:rFonts w:cs="Calibri"/>
          <w:bCs/>
        </w:rPr>
        <w:t>,</w:t>
      </w:r>
      <w:r w:rsidRPr="00923D77">
        <w:rPr>
          <w:rFonts w:cs="Calibri"/>
          <w:bCs/>
        </w:rPr>
        <w:t xml:space="preserve"> </w:t>
      </w:r>
      <w:r w:rsidR="00C11628">
        <w:rPr>
          <w:rFonts w:cs="Calibri"/>
          <w:bCs/>
        </w:rPr>
        <w:t xml:space="preserve">od ukupno svih </w:t>
      </w:r>
      <w:proofErr w:type="spellStart"/>
      <w:r w:rsidR="00C11628">
        <w:rPr>
          <w:rFonts w:cs="Calibri"/>
          <w:bCs/>
        </w:rPr>
        <w:t>greenfield</w:t>
      </w:r>
      <w:proofErr w:type="spellEnd"/>
      <w:r w:rsidR="00C11628">
        <w:rPr>
          <w:rFonts w:cs="Calibri"/>
          <w:bCs/>
        </w:rPr>
        <w:t xml:space="preserve"> investicija</w:t>
      </w:r>
      <w:r>
        <w:rPr>
          <w:rFonts w:cs="Calibri"/>
          <w:bCs/>
        </w:rPr>
        <w:t xml:space="preserve">, iz čega proizlazi da je struktura </w:t>
      </w:r>
      <w:proofErr w:type="spellStart"/>
      <w:r w:rsidRPr="00597A43">
        <w:rPr>
          <w:rFonts w:cs="Calibri"/>
          <w:bCs/>
          <w:i/>
        </w:rPr>
        <w:t>greenfield</w:t>
      </w:r>
      <w:proofErr w:type="spellEnd"/>
      <w:r w:rsidRPr="00923D77">
        <w:rPr>
          <w:rFonts w:cs="Calibri"/>
          <w:bCs/>
        </w:rPr>
        <w:t xml:space="preserve"> investicija bila nepovoljna i nije polučila učinak na gospodarstvo kakav je postignut u nekim drugim zemljama.</w:t>
      </w:r>
    </w:p>
    <w:p w:rsidR="009C0EBF" w:rsidRDefault="009C0EBF" w:rsidP="00923D77">
      <w:pPr>
        <w:spacing w:after="0" w:line="240" w:lineRule="auto"/>
        <w:rPr>
          <w:rFonts w:cs="Calibri"/>
          <w:b/>
          <w:i/>
        </w:rPr>
      </w:pPr>
    </w:p>
    <w:p w:rsidR="000C1520" w:rsidRPr="00923D77" w:rsidRDefault="000C1520" w:rsidP="00923D77">
      <w:pPr>
        <w:spacing w:after="0" w:line="240" w:lineRule="auto"/>
        <w:rPr>
          <w:rFonts w:cs="Calibri"/>
          <w:bCs/>
          <w:i/>
        </w:rPr>
      </w:pPr>
      <w:r w:rsidRPr="00E3779F">
        <w:rPr>
          <w:rFonts w:cs="Calibri"/>
          <w:b/>
          <w:i/>
        </w:rPr>
        <w:t xml:space="preserve">Tablica </w:t>
      </w:r>
      <w:r>
        <w:rPr>
          <w:rFonts w:cs="Calibri"/>
          <w:b/>
          <w:i/>
        </w:rPr>
        <w:t>5</w:t>
      </w:r>
      <w:r w:rsidRPr="00E3779F">
        <w:rPr>
          <w:rFonts w:cs="Calibri"/>
          <w:b/>
          <w:i/>
        </w:rPr>
        <w:t>.</w:t>
      </w:r>
      <w:r w:rsidRPr="00E3779F">
        <w:rPr>
          <w:rFonts w:cs="Calibri"/>
          <w:i/>
        </w:rPr>
        <w:t xml:space="preserve"> Udio ISI u BDP-u RH</w:t>
      </w:r>
    </w:p>
    <w:tbl>
      <w:tblPr>
        <w:tblpPr w:leftFromText="180" w:rightFromText="180" w:vertAnchor="text" w:horzAnchor="margin" w:tblpY="46"/>
        <w:tblOverlap w:val="never"/>
        <w:tblW w:w="3309" w:type="dxa"/>
        <w:tblBorders>
          <w:top w:val="single" w:sz="8" w:space="0" w:color="4F81BD"/>
          <w:bottom w:val="single" w:sz="8" w:space="0" w:color="4F81BD"/>
        </w:tblBorders>
        <w:tblLook w:val="00A0" w:firstRow="1" w:lastRow="0" w:firstColumn="1" w:lastColumn="0" w:noHBand="0" w:noVBand="0"/>
      </w:tblPr>
      <w:tblGrid>
        <w:gridCol w:w="1545"/>
        <w:gridCol w:w="1764"/>
      </w:tblGrid>
      <w:tr w:rsidR="000C1520" w:rsidRPr="00623771" w:rsidTr="00623771">
        <w:trPr>
          <w:trHeight w:val="343"/>
        </w:trPr>
        <w:tc>
          <w:tcPr>
            <w:tcW w:w="1545" w:type="dxa"/>
            <w:tcBorders>
              <w:top w:val="single" w:sz="4" w:space="0" w:color="auto"/>
              <w:left w:val="nil"/>
              <w:bottom w:val="single" w:sz="4" w:space="0" w:color="auto"/>
              <w:right w:val="nil"/>
            </w:tcBorders>
            <w:noWrap/>
          </w:tcPr>
          <w:p w:rsidR="000C1520" w:rsidRPr="00623771" w:rsidRDefault="000C1520" w:rsidP="00623771">
            <w:pPr>
              <w:spacing w:after="0" w:line="240" w:lineRule="auto"/>
              <w:jc w:val="both"/>
              <w:rPr>
                <w:rFonts w:cs="Calibri"/>
                <w:b/>
                <w:bCs/>
                <w:color w:val="000000"/>
                <w:sz w:val="20"/>
                <w:szCs w:val="20"/>
                <w:lang w:eastAsia="zh-CN"/>
              </w:rPr>
            </w:pPr>
            <w:r w:rsidRPr="00623771">
              <w:rPr>
                <w:rFonts w:cs="Calibri"/>
                <w:b/>
                <w:bCs/>
                <w:color w:val="000000"/>
                <w:sz w:val="20"/>
                <w:szCs w:val="20"/>
                <w:lang w:eastAsia="zh-CN"/>
              </w:rPr>
              <w:t>2005.</w:t>
            </w:r>
          </w:p>
        </w:tc>
        <w:tc>
          <w:tcPr>
            <w:tcW w:w="1764" w:type="dxa"/>
            <w:tcBorders>
              <w:top w:val="single" w:sz="4" w:space="0" w:color="auto"/>
              <w:left w:val="nil"/>
              <w:bottom w:val="single" w:sz="4" w:space="0" w:color="auto"/>
              <w:right w:val="nil"/>
            </w:tcBorders>
            <w:noWrap/>
          </w:tcPr>
          <w:p w:rsidR="000C1520" w:rsidRPr="00623771" w:rsidRDefault="000C1520" w:rsidP="00623771">
            <w:pPr>
              <w:spacing w:after="0" w:line="240" w:lineRule="auto"/>
              <w:jc w:val="both"/>
              <w:rPr>
                <w:rFonts w:cs="Calibri"/>
                <w:b/>
                <w:bCs/>
                <w:color w:val="000000"/>
                <w:sz w:val="20"/>
                <w:szCs w:val="20"/>
                <w:lang w:eastAsia="zh-CN"/>
              </w:rPr>
            </w:pPr>
            <w:r w:rsidRPr="00F86A2A">
              <w:rPr>
                <w:rFonts w:cs="Calibri"/>
                <w:bCs/>
                <w:color w:val="000000"/>
                <w:sz w:val="20"/>
                <w:szCs w:val="20"/>
                <w:lang w:eastAsia="zh-CN"/>
              </w:rPr>
              <w:t>4,1%</w:t>
            </w:r>
          </w:p>
        </w:tc>
      </w:tr>
      <w:tr w:rsidR="000C1520" w:rsidRPr="00623771" w:rsidTr="00623771">
        <w:trPr>
          <w:trHeight w:val="343"/>
        </w:trPr>
        <w:tc>
          <w:tcPr>
            <w:tcW w:w="1545" w:type="dxa"/>
            <w:tcBorders>
              <w:top w:val="single" w:sz="4" w:space="0" w:color="auto"/>
              <w:left w:val="nil"/>
              <w:bottom w:val="single" w:sz="4" w:space="0" w:color="auto"/>
              <w:right w:val="nil"/>
            </w:tcBorders>
            <w:shd w:val="clear" w:color="auto" w:fill="D3DFEE"/>
            <w:noWrap/>
          </w:tcPr>
          <w:p w:rsidR="000C1520" w:rsidRPr="00623771" w:rsidRDefault="000C1520" w:rsidP="00623771">
            <w:pPr>
              <w:spacing w:after="0" w:line="240" w:lineRule="auto"/>
              <w:jc w:val="both"/>
              <w:rPr>
                <w:rFonts w:cs="Calibri"/>
                <w:b/>
                <w:bCs/>
                <w:color w:val="000000"/>
                <w:sz w:val="20"/>
                <w:szCs w:val="20"/>
                <w:lang w:eastAsia="zh-CN"/>
              </w:rPr>
            </w:pPr>
            <w:r w:rsidRPr="00623771">
              <w:rPr>
                <w:rFonts w:cs="Calibri"/>
                <w:b/>
                <w:bCs/>
                <w:color w:val="000000"/>
                <w:sz w:val="20"/>
                <w:szCs w:val="20"/>
                <w:lang w:eastAsia="zh-CN"/>
              </w:rPr>
              <w:t>2006.</w:t>
            </w:r>
          </w:p>
        </w:tc>
        <w:tc>
          <w:tcPr>
            <w:tcW w:w="1764" w:type="dxa"/>
            <w:tcBorders>
              <w:top w:val="single" w:sz="4" w:space="0" w:color="auto"/>
              <w:left w:val="nil"/>
              <w:bottom w:val="single" w:sz="4" w:space="0" w:color="auto"/>
              <w:right w:val="nil"/>
            </w:tcBorders>
            <w:shd w:val="clear" w:color="auto" w:fill="D3DFEE"/>
            <w:noWrap/>
          </w:tcPr>
          <w:p w:rsidR="000C1520" w:rsidRPr="00623771" w:rsidRDefault="00250A56" w:rsidP="00623771">
            <w:pPr>
              <w:spacing w:after="0" w:line="240" w:lineRule="auto"/>
              <w:jc w:val="both"/>
              <w:rPr>
                <w:rFonts w:cs="Calibri"/>
                <w:color w:val="000000"/>
                <w:sz w:val="20"/>
                <w:szCs w:val="20"/>
                <w:lang w:eastAsia="zh-CN"/>
              </w:rPr>
            </w:pPr>
            <w:r>
              <w:rPr>
                <w:rFonts w:cs="Calibri"/>
                <w:color w:val="000000"/>
                <w:sz w:val="20"/>
                <w:szCs w:val="20"/>
                <w:lang w:eastAsia="zh-CN"/>
              </w:rPr>
              <w:t>6,5</w:t>
            </w:r>
            <w:r w:rsidR="000C1520" w:rsidRPr="00623771">
              <w:rPr>
                <w:rFonts w:cs="Calibri"/>
                <w:color w:val="000000"/>
                <w:sz w:val="20"/>
                <w:szCs w:val="20"/>
                <w:lang w:eastAsia="zh-CN"/>
              </w:rPr>
              <w:t>%</w:t>
            </w:r>
          </w:p>
        </w:tc>
      </w:tr>
      <w:tr w:rsidR="000C1520" w:rsidRPr="00623771" w:rsidTr="00623771">
        <w:trPr>
          <w:trHeight w:val="343"/>
        </w:trPr>
        <w:tc>
          <w:tcPr>
            <w:tcW w:w="1545" w:type="dxa"/>
            <w:tcBorders>
              <w:top w:val="single" w:sz="4" w:space="0" w:color="auto"/>
              <w:bottom w:val="single" w:sz="4" w:space="0" w:color="auto"/>
            </w:tcBorders>
            <w:noWrap/>
          </w:tcPr>
          <w:p w:rsidR="000C1520" w:rsidRPr="00623771" w:rsidRDefault="000C1520" w:rsidP="00623771">
            <w:pPr>
              <w:spacing w:after="0" w:line="240" w:lineRule="auto"/>
              <w:jc w:val="both"/>
              <w:rPr>
                <w:rFonts w:cs="Calibri"/>
                <w:b/>
                <w:bCs/>
                <w:color w:val="000000"/>
                <w:sz w:val="20"/>
                <w:szCs w:val="20"/>
                <w:lang w:eastAsia="zh-CN"/>
              </w:rPr>
            </w:pPr>
            <w:r w:rsidRPr="00623771">
              <w:rPr>
                <w:rFonts w:cs="Calibri"/>
                <w:b/>
                <w:bCs/>
                <w:color w:val="000000"/>
                <w:sz w:val="20"/>
                <w:szCs w:val="20"/>
                <w:lang w:eastAsia="zh-CN"/>
              </w:rPr>
              <w:t>2007.</w:t>
            </w:r>
          </w:p>
        </w:tc>
        <w:tc>
          <w:tcPr>
            <w:tcW w:w="1764" w:type="dxa"/>
            <w:tcBorders>
              <w:top w:val="single" w:sz="4" w:space="0" w:color="auto"/>
              <w:bottom w:val="single" w:sz="4" w:space="0" w:color="auto"/>
            </w:tcBorders>
            <w:noWrap/>
          </w:tcPr>
          <w:p w:rsidR="000C1520" w:rsidRPr="00623771" w:rsidRDefault="000C1520" w:rsidP="00250A56">
            <w:pPr>
              <w:spacing w:after="0" w:line="240" w:lineRule="auto"/>
              <w:jc w:val="both"/>
              <w:rPr>
                <w:rFonts w:cs="Calibri"/>
                <w:color w:val="000000"/>
                <w:sz w:val="20"/>
                <w:szCs w:val="20"/>
                <w:lang w:eastAsia="zh-CN"/>
              </w:rPr>
            </w:pPr>
            <w:r>
              <w:rPr>
                <w:rFonts w:cs="Calibri"/>
                <w:color w:val="000000"/>
                <w:sz w:val="20"/>
                <w:szCs w:val="20"/>
                <w:lang w:eastAsia="zh-CN"/>
              </w:rPr>
              <w:t>8,</w:t>
            </w:r>
            <w:r w:rsidR="00250A56">
              <w:rPr>
                <w:rFonts w:cs="Calibri"/>
                <w:color w:val="000000"/>
                <w:sz w:val="20"/>
                <w:szCs w:val="20"/>
                <w:lang w:eastAsia="zh-CN"/>
              </w:rPr>
              <w:t>3</w:t>
            </w:r>
            <w:r w:rsidRPr="00623771">
              <w:rPr>
                <w:rFonts w:cs="Calibri"/>
                <w:color w:val="000000"/>
                <w:sz w:val="20"/>
                <w:szCs w:val="20"/>
                <w:lang w:eastAsia="zh-CN"/>
              </w:rPr>
              <w:t>%</w:t>
            </w:r>
          </w:p>
        </w:tc>
      </w:tr>
      <w:tr w:rsidR="000C1520" w:rsidRPr="00623771" w:rsidTr="00623771">
        <w:trPr>
          <w:trHeight w:val="343"/>
        </w:trPr>
        <w:tc>
          <w:tcPr>
            <w:tcW w:w="1545" w:type="dxa"/>
            <w:tcBorders>
              <w:top w:val="single" w:sz="4" w:space="0" w:color="auto"/>
              <w:left w:val="nil"/>
              <w:bottom w:val="single" w:sz="4" w:space="0" w:color="auto"/>
              <w:right w:val="nil"/>
            </w:tcBorders>
            <w:shd w:val="clear" w:color="auto" w:fill="D3DFEE"/>
            <w:noWrap/>
          </w:tcPr>
          <w:p w:rsidR="000C1520" w:rsidRPr="00623771" w:rsidRDefault="000C1520" w:rsidP="00623771">
            <w:pPr>
              <w:spacing w:after="0" w:line="240" w:lineRule="auto"/>
              <w:jc w:val="both"/>
              <w:rPr>
                <w:rFonts w:cs="Calibri"/>
                <w:b/>
                <w:bCs/>
                <w:color w:val="000000"/>
                <w:sz w:val="20"/>
                <w:szCs w:val="20"/>
                <w:lang w:eastAsia="zh-CN"/>
              </w:rPr>
            </w:pPr>
            <w:r w:rsidRPr="00623771">
              <w:rPr>
                <w:rFonts w:cs="Calibri"/>
                <w:b/>
                <w:bCs/>
                <w:color w:val="000000"/>
                <w:sz w:val="20"/>
                <w:szCs w:val="20"/>
                <w:lang w:eastAsia="zh-CN"/>
              </w:rPr>
              <w:t>2008.</w:t>
            </w:r>
          </w:p>
        </w:tc>
        <w:tc>
          <w:tcPr>
            <w:tcW w:w="1764" w:type="dxa"/>
            <w:tcBorders>
              <w:top w:val="single" w:sz="4" w:space="0" w:color="auto"/>
              <w:left w:val="nil"/>
              <w:bottom w:val="single" w:sz="4" w:space="0" w:color="auto"/>
              <w:right w:val="nil"/>
            </w:tcBorders>
            <w:shd w:val="clear" w:color="auto" w:fill="D3DFEE"/>
            <w:noWrap/>
          </w:tcPr>
          <w:p w:rsidR="000C1520" w:rsidRPr="00623771" w:rsidRDefault="000C1520" w:rsidP="00250A56">
            <w:pPr>
              <w:spacing w:after="0" w:line="240" w:lineRule="auto"/>
              <w:jc w:val="both"/>
              <w:rPr>
                <w:rFonts w:cs="Calibri"/>
                <w:color w:val="000000"/>
                <w:sz w:val="20"/>
                <w:szCs w:val="20"/>
                <w:lang w:eastAsia="zh-CN"/>
              </w:rPr>
            </w:pPr>
            <w:r>
              <w:rPr>
                <w:rFonts w:cs="Calibri"/>
                <w:color w:val="000000"/>
                <w:sz w:val="20"/>
                <w:szCs w:val="20"/>
                <w:lang w:eastAsia="zh-CN"/>
              </w:rPr>
              <w:t>8,</w:t>
            </w:r>
            <w:r w:rsidR="00250A56">
              <w:rPr>
                <w:rFonts w:cs="Calibri"/>
                <w:color w:val="000000"/>
                <w:sz w:val="20"/>
                <w:szCs w:val="20"/>
                <w:lang w:eastAsia="zh-CN"/>
              </w:rPr>
              <w:t>5</w:t>
            </w:r>
            <w:r w:rsidRPr="00623771">
              <w:rPr>
                <w:rFonts w:cs="Calibri"/>
                <w:color w:val="000000"/>
                <w:sz w:val="20"/>
                <w:szCs w:val="20"/>
                <w:lang w:eastAsia="zh-CN"/>
              </w:rPr>
              <w:t>%</w:t>
            </w:r>
          </w:p>
        </w:tc>
      </w:tr>
      <w:tr w:rsidR="000C1520" w:rsidRPr="00623771" w:rsidTr="00623771">
        <w:trPr>
          <w:trHeight w:val="343"/>
        </w:trPr>
        <w:tc>
          <w:tcPr>
            <w:tcW w:w="1545" w:type="dxa"/>
            <w:tcBorders>
              <w:top w:val="single" w:sz="4" w:space="0" w:color="auto"/>
              <w:bottom w:val="single" w:sz="4" w:space="0" w:color="auto"/>
            </w:tcBorders>
            <w:noWrap/>
          </w:tcPr>
          <w:p w:rsidR="000C1520" w:rsidRPr="00623771" w:rsidRDefault="000C1520" w:rsidP="00623771">
            <w:pPr>
              <w:spacing w:after="0" w:line="240" w:lineRule="auto"/>
              <w:jc w:val="both"/>
              <w:rPr>
                <w:rFonts w:cs="Calibri"/>
                <w:b/>
                <w:bCs/>
                <w:color w:val="000000"/>
                <w:sz w:val="20"/>
                <w:szCs w:val="20"/>
                <w:lang w:eastAsia="zh-CN"/>
              </w:rPr>
            </w:pPr>
            <w:r w:rsidRPr="00623771">
              <w:rPr>
                <w:rFonts w:cs="Calibri"/>
                <w:b/>
                <w:bCs/>
                <w:color w:val="000000"/>
                <w:sz w:val="20"/>
                <w:szCs w:val="20"/>
                <w:lang w:eastAsia="zh-CN"/>
              </w:rPr>
              <w:t>2009.</w:t>
            </w:r>
          </w:p>
        </w:tc>
        <w:tc>
          <w:tcPr>
            <w:tcW w:w="1764" w:type="dxa"/>
            <w:tcBorders>
              <w:top w:val="single" w:sz="4" w:space="0" w:color="auto"/>
              <w:bottom w:val="single" w:sz="4" w:space="0" w:color="auto"/>
            </w:tcBorders>
            <w:noWrap/>
          </w:tcPr>
          <w:p w:rsidR="000C1520" w:rsidRPr="00623771" w:rsidRDefault="000C1520" w:rsidP="00623771">
            <w:pPr>
              <w:spacing w:after="0" w:line="240" w:lineRule="auto"/>
              <w:jc w:val="both"/>
              <w:rPr>
                <w:rFonts w:cs="Calibri"/>
                <w:color w:val="000000"/>
                <w:sz w:val="20"/>
                <w:szCs w:val="20"/>
                <w:lang w:eastAsia="zh-CN"/>
              </w:rPr>
            </w:pPr>
            <w:r>
              <w:rPr>
                <w:rFonts w:cs="Calibri"/>
                <w:color w:val="000000"/>
                <w:sz w:val="20"/>
                <w:szCs w:val="20"/>
                <w:lang w:eastAsia="zh-CN"/>
              </w:rPr>
              <w:t>5,</w:t>
            </w:r>
            <w:r w:rsidRPr="00623771">
              <w:rPr>
                <w:rFonts w:cs="Calibri"/>
                <w:color w:val="000000"/>
                <w:sz w:val="20"/>
                <w:szCs w:val="20"/>
                <w:lang w:eastAsia="zh-CN"/>
              </w:rPr>
              <w:t>4%</w:t>
            </w:r>
          </w:p>
        </w:tc>
      </w:tr>
      <w:tr w:rsidR="000C1520" w:rsidRPr="00623771" w:rsidTr="00623771">
        <w:trPr>
          <w:trHeight w:val="343"/>
        </w:trPr>
        <w:tc>
          <w:tcPr>
            <w:tcW w:w="1545" w:type="dxa"/>
            <w:tcBorders>
              <w:top w:val="single" w:sz="4" w:space="0" w:color="auto"/>
              <w:left w:val="nil"/>
              <w:bottom w:val="single" w:sz="4" w:space="0" w:color="auto"/>
              <w:right w:val="nil"/>
            </w:tcBorders>
            <w:shd w:val="clear" w:color="auto" w:fill="D3DFEE"/>
            <w:noWrap/>
          </w:tcPr>
          <w:p w:rsidR="000C1520" w:rsidRPr="00623771" w:rsidRDefault="000C1520" w:rsidP="00623771">
            <w:pPr>
              <w:spacing w:after="0" w:line="240" w:lineRule="auto"/>
              <w:jc w:val="both"/>
              <w:rPr>
                <w:rFonts w:cs="Calibri"/>
                <w:b/>
                <w:bCs/>
                <w:color w:val="000000"/>
                <w:sz w:val="20"/>
                <w:szCs w:val="20"/>
                <w:lang w:eastAsia="zh-CN"/>
              </w:rPr>
            </w:pPr>
            <w:r w:rsidRPr="00623771">
              <w:rPr>
                <w:rFonts w:cs="Calibri"/>
                <w:b/>
                <w:bCs/>
                <w:color w:val="000000"/>
                <w:sz w:val="20"/>
                <w:szCs w:val="20"/>
                <w:lang w:eastAsia="zh-CN"/>
              </w:rPr>
              <w:t>2010.</w:t>
            </w:r>
          </w:p>
        </w:tc>
        <w:tc>
          <w:tcPr>
            <w:tcW w:w="1764" w:type="dxa"/>
            <w:tcBorders>
              <w:top w:val="single" w:sz="4" w:space="0" w:color="auto"/>
              <w:left w:val="nil"/>
              <w:bottom w:val="single" w:sz="4" w:space="0" w:color="auto"/>
              <w:right w:val="nil"/>
            </w:tcBorders>
            <w:shd w:val="clear" w:color="auto" w:fill="D3DFEE"/>
            <w:noWrap/>
          </w:tcPr>
          <w:p w:rsidR="000C1520" w:rsidRPr="00623771" w:rsidRDefault="000C1520" w:rsidP="00250A56">
            <w:pPr>
              <w:spacing w:after="0" w:line="240" w:lineRule="auto"/>
              <w:jc w:val="both"/>
              <w:rPr>
                <w:rFonts w:cs="Calibri"/>
                <w:color w:val="000000"/>
                <w:sz w:val="20"/>
                <w:szCs w:val="20"/>
                <w:lang w:eastAsia="zh-CN"/>
              </w:rPr>
            </w:pPr>
            <w:r>
              <w:rPr>
                <w:rFonts w:cs="Calibri"/>
                <w:color w:val="000000"/>
                <w:sz w:val="20"/>
                <w:szCs w:val="20"/>
                <w:lang w:eastAsia="zh-CN"/>
              </w:rPr>
              <w:t>0,</w:t>
            </w:r>
            <w:r w:rsidR="00250A56">
              <w:rPr>
                <w:rFonts w:cs="Calibri"/>
                <w:color w:val="000000"/>
                <w:sz w:val="20"/>
                <w:szCs w:val="20"/>
                <w:lang w:eastAsia="zh-CN"/>
              </w:rPr>
              <w:t>8</w:t>
            </w:r>
            <w:r w:rsidRPr="00623771">
              <w:rPr>
                <w:rFonts w:cs="Calibri"/>
                <w:color w:val="000000"/>
                <w:sz w:val="20"/>
                <w:szCs w:val="20"/>
                <w:lang w:eastAsia="zh-CN"/>
              </w:rPr>
              <w:t>%</w:t>
            </w:r>
          </w:p>
        </w:tc>
      </w:tr>
      <w:tr w:rsidR="000C1520" w:rsidRPr="00623771" w:rsidTr="00623771">
        <w:trPr>
          <w:trHeight w:val="343"/>
        </w:trPr>
        <w:tc>
          <w:tcPr>
            <w:tcW w:w="1545" w:type="dxa"/>
            <w:tcBorders>
              <w:top w:val="single" w:sz="4" w:space="0" w:color="auto"/>
              <w:bottom w:val="single" w:sz="4" w:space="0" w:color="auto"/>
            </w:tcBorders>
            <w:noWrap/>
          </w:tcPr>
          <w:p w:rsidR="000C1520" w:rsidRPr="00623771" w:rsidRDefault="000C1520" w:rsidP="00623771">
            <w:pPr>
              <w:spacing w:after="0" w:line="240" w:lineRule="auto"/>
              <w:jc w:val="both"/>
              <w:rPr>
                <w:rFonts w:cs="Calibri"/>
                <w:b/>
                <w:bCs/>
                <w:color w:val="000000"/>
                <w:sz w:val="20"/>
                <w:szCs w:val="20"/>
                <w:lang w:eastAsia="zh-CN"/>
              </w:rPr>
            </w:pPr>
            <w:r w:rsidRPr="00623771">
              <w:rPr>
                <w:rFonts w:cs="Calibri"/>
                <w:b/>
                <w:bCs/>
                <w:color w:val="000000"/>
                <w:sz w:val="20"/>
                <w:szCs w:val="20"/>
                <w:lang w:eastAsia="zh-CN"/>
              </w:rPr>
              <w:t>2011.</w:t>
            </w:r>
          </w:p>
        </w:tc>
        <w:tc>
          <w:tcPr>
            <w:tcW w:w="1764" w:type="dxa"/>
            <w:tcBorders>
              <w:top w:val="single" w:sz="4" w:space="0" w:color="auto"/>
              <w:bottom w:val="single" w:sz="4" w:space="0" w:color="auto"/>
            </w:tcBorders>
            <w:noWrap/>
          </w:tcPr>
          <w:p w:rsidR="000C1520" w:rsidRPr="00623771" w:rsidRDefault="000C1520" w:rsidP="00623771">
            <w:pPr>
              <w:spacing w:after="0" w:line="240" w:lineRule="auto"/>
              <w:jc w:val="both"/>
              <w:rPr>
                <w:rFonts w:cs="Calibri"/>
                <w:color w:val="000000"/>
                <w:sz w:val="20"/>
                <w:szCs w:val="20"/>
                <w:lang w:eastAsia="zh-CN"/>
              </w:rPr>
            </w:pPr>
            <w:r>
              <w:rPr>
                <w:rFonts w:cs="Calibri"/>
                <w:color w:val="000000"/>
                <w:sz w:val="20"/>
                <w:szCs w:val="20"/>
                <w:lang w:eastAsia="zh-CN"/>
              </w:rPr>
              <w:t>2,</w:t>
            </w:r>
            <w:r w:rsidRPr="00623771">
              <w:rPr>
                <w:rFonts w:cs="Calibri"/>
                <w:color w:val="000000"/>
                <w:sz w:val="20"/>
                <w:szCs w:val="20"/>
                <w:lang w:eastAsia="zh-CN"/>
              </w:rPr>
              <w:t>5%</w:t>
            </w:r>
          </w:p>
        </w:tc>
      </w:tr>
      <w:tr w:rsidR="000C1520" w:rsidRPr="00623771" w:rsidTr="00623771">
        <w:trPr>
          <w:trHeight w:val="343"/>
        </w:trPr>
        <w:tc>
          <w:tcPr>
            <w:tcW w:w="1545" w:type="dxa"/>
            <w:tcBorders>
              <w:top w:val="single" w:sz="4" w:space="0" w:color="auto"/>
              <w:left w:val="nil"/>
              <w:bottom w:val="single" w:sz="4" w:space="0" w:color="auto"/>
              <w:right w:val="nil"/>
            </w:tcBorders>
            <w:shd w:val="clear" w:color="auto" w:fill="D3DFEE"/>
            <w:noWrap/>
          </w:tcPr>
          <w:p w:rsidR="000C1520" w:rsidRPr="00623771" w:rsidRDefault="000C1520" w:rsidP="00623771">
            <w:pPr>
              <w:spacing w:after="0" w:line="240" w:lineRule="auto"/>
              <w:jc w:val="both"/>
              <w:rPr>
                <w:rFonts w:cs="Calibri"/>
                <w:b/>
                <w:bCs/>
                <w:color w:val="000000"/>
                <w:sz w:val="20"/>
                <w:szCs w:val="20"/>
                <w:lang w:eastAsia="zh-CN"/>
              </w:rPr>
            </w:pPr>
            <w:r w:rsidRPr="00623771">
              <w:rPr>
                <w:rFonts w:cs="Calibri"/>
                <w:b/>
                <w:bCs/>
                <w:color w:val="000000"/>
                <w:sz w:val="20"/>
                <w:szCs w:val="20"/>
                <w:lang w:eastAsia="zh-CN"/>
              </w:rPr>
              <w:t>2012.</w:t>
            </w:r>
          </w:p>
        </w:tc>
        <w:tc>
          <w:tcPr>
            <w:tcW w:w="1764" w:type="dxa"/>
            <w:tcBorders>
              <w:top w:val="single" w:sz="4" w:space="0" w:color="auto"/>
              <w:left w:val="nil"/>
              <w:bottom w:val="single" w:sz="4" w:space="0" w:color="auto"/>
              <w:right w:val="nil"/>
            </w:tcBorders>
            <w:shd w:val="clear" w:color="auto" w:fill="D3DFEE"/>
            <w:noWrap/>
          </w:tcPr>
          <w:p w:rsidR="000C1520" w:rsidRPr="00623771" w:rsidRDefault="000C1520" w:rsidP="00623771">
            <w:pPr>
              <w:spacing w:after="0" w:line="240" w:lineRule="auto"/>
              <w:jc w:val="both"/>
              <w:rPr>
                <w:rFonts w:cs="Calibri"/>
                <w:color w:val="000000"/>
                <w:sz w:val="20"/>
                <w:szCs w:val="20"/>
                <w:lang w:eastAsia="zh-CN"/>
              </w:rPr>
            </w:pPr>
            <w:r>
              <w:rPr>
                <w:rFonts w:cs="Calibri"/>
                <w:color w:val="000000"/>
                <w:sz w:val="20"/>
                <w:szCs w:val="20"/>
                <w:lang w:eastAsia="zh-CN"/>
              </w:rPr>
              <w:t>2,</w:t>
            </w:r>
            <w:r w:rsidRPr="00623771">
              <w:rPr>
                <w:rFonts w:cs="Calibri"/>
                <w:color w:val="000000"/>
                <w:sz w:val="20"/>
                <w:szCs w:val="20"/>
                <w:lang w:eastAsia="zh-CN"/>
              </w:rPr>
              <w:t>4%</w:t>
            </w:r>
          </w:p>
        </w:tc>
      </w:tr>
      <w:tr w:rsidR="00250A56" w:rsidRPr="00623771" w:rsidTr="00623771">
        <w:trPr>
          <w:trHeight w:val="343"/>
        </w:trPr>
        <w:tc>
          <w:tcPr>
            <w:tcW w:w="1545" w:type="dxa"/>
            <w:tcBorders>
              <w:top w:val="single" w:sz="4" w:space="0" w:color="auto"/>
              <w:left w:val="nil"/>
              <w:bottom w:val="single" w:sz="4" w:space="0" w:color="auto"/>
              <w:right w:val="nil"/>
            </w:tcBorders>
            <w:shd w:val="clear" w:color="auto" w:fill="D3DFEE"/>
            <w:noWrap/>
          </w:tcPr>
          <w:p w:rsidR="00250A56" w:rsidRPr="00677BA1" w:rsidRDefault="00250A56" w:rsidP="00623771">
            <w:pPr>
              <w:spacing w:after="0" w:line="240" w:lineRule="auto"/>
              <w:jc w:val="both"/>
              <w:rPr>
                <w:rFonts w:cs="Calibri"/>
                <w:b/>
                <w:bCs/>
                <w:color w:val="FFFFFF" w:themeColor="background1"/>
                <w:sz w:val="20"/>
                <w:szCs w:val="20"/>
                <w:lang w:eastAsia="zh-CN"/>
              </w:rPr>
            </w:pPr>
            <w:r w:rsidRPr="00677BA1">
              <w:rPr>
                <w:rFonts w:cs="Calibri"/>
                <w:b/>
                <w:bCs/>
                <w:color w:val="FFFFFF" w:themeColor="background1"/>
                <w:sz w:val="20"/>
                <w:szCs w:val="20"/>
                <w:lang w:eastAsia="zh-CN"/>
              </w:rPr>
              <w:t>2013.</w:t>
            </w:r>
          </w:p>
        </w:tc>
        <w:tc>
          <w:tcPr>
            <w:tcW w:w="1764" w:type="dxa"/>
            <w:tcBorders>
              <w:top w:val="single" w:sz="4" w:space="0" w:color="auto"/>
              <w:left w:val="nil"/>
              <w:bottom w:val="single" w:sz="4" w:space="0" w:color="auto"/>
              <w:right w:val="nil"/>
            </w:tcBorders>
            <w:shd w:val="clear" w:color="auto" w:fill="D3DFEE"/>
            <w:noWrap/>
          </w:tcPr>
          <w:p w:rsidR="00250A56" w:rsidRPr="00677BA1" w:rsidRDefault="00250A56" w:rsidP="00623771">
            <w:pPr>
              <w:spacing w:after="0" w:line="240" w:lineRule="auto"/>
              <w:jc w:val="both"/>
              <w:rPr>
                <w:rFonts w:cs="Calibri"/>
                <w:color w:val="FFFFFF" w:themeColor="background1"/>
                <w:sz w:val="20"/>
                <w:szCs w:val="20"/>
                <w:lang w:eastAsia="zh-CN"/>
              </w:rPr>
            </w:pPr>
            <w:r w:rsidRPr="00677BA1">
              <w:rPr>
                <w:rFonts w:cs="Calibri"/>
                <w:color w:val="FFFFFF" w:themeColor="background1"/>
                <w:sz w:val="20"/>
                <w:szCs w:val="20"/>
                <w:lang w:eastAsia="zh-CN"/>
              </w:rPr>
              <w:t>1,0%</w:t>
            </w:r>
          </w:p>
        </w:tc>
      </w:tr>
    </w:tbl>
    <w:p w:rsidR="000C1520" w:rsidRPr="00923D77" w:rsidRDefault="000C1520" w:rsidP="00923D77">
      <w:pPr>
        <w:tabs>
          <w:tab w:val="left" w:pos="2717"/>
        </w:tabs>
        <w:spacing w:line="360" w:lineRule="auto"/>
        <w:jc w:val="both"/>
        <w:rPr>
          <w:rFonts w:cs="Calibri"/>
          <w:bCs/>
        </w:rPr>
      </w:pPr>
      <w:r w:rsidRPr="00923D77">
        <w:rPr>
          <w:rFonts w:cs="Calibri"/>
          <w:bCs/>
        </w:rPr>
        <w:t>Ako se promatra udio izravnih stranih investicija u BDP-u RH</w:t>
      </w:r>
      <w:r>
        <w:rPr>
          <w:rFonts w:cs="Calibri"/>
          <w:bCs/>
        </w:rPr>
        <w:t>,</w:t>
      </w:r>
      <w:r w:rsidRPr="00923D77">
        <w:rPr>
          <w:rFonts w:cs="Calibri"/>
          <w:bCs/>
        </w:rPr>
        <w:t xml:space="preserve"> iz tablice 6. vidljivo je da iz</w:t>
      </w:r>
      <w:r>
        <w:rPr>
          <w:rFonts w:cs="Calibri"/>
          <w:bCs/>
        </w:rPr>
        <w:t>ravne strane investicije nikada</w:t>
      </w:r>
      <w:r w:rsidRPr="00923D77">
        <w:rPr>
          <w:rFonts w:cs="Calibri"/>
          <w:bCs/>
        </w:rPr>
        <w:t xml:space="preserve"> u razdoblju 2005.</w:t>
      </w:r>
      <w:r>
        <w:rPr>
          <w:rFonts w:cs="Calibri"/>
          <w:bCs/>
        </w:rPr>
        <w:t xml:space="preserve"> – 2012. nisu prešle 10% BDP-a, dok je najveći </w:t>
      </w:r>
      <w:r w:rsidRPr="00923D77">
        <w:rPr>
          <w:rFonts w:cs="Calibri"/>
          <w:bCs/>
        </w:rPr>
        <w:t>bio 2008. godine (8,91%) kada su i BDP i izravne strane investicije bile najveće.</w:t>
      </w:r>
    </w:p>
    <w:p w:rsidR="000C1520" w:rsidRPr="00923D77" w:rsidRDefault="000C1520" w:rsidP="00923D77">
      <w:pPr>
        <w:spacing w:after="0" w:line="240" w:lineRule="auto"/>
        <w:rPr>
          <w:rFonts w:cs="Calibri"/>
        </w:rPr>
      </w:pPr>
    </w:p>
    <w:p w:rsidR="000C1520" w:rsidRPr="00923D77" w:rsidRDefault="000C1520" w:rsidP="00923D77">
      <w:pPr>
        <w:spacing w:after="0" w:line="240" w:lineRule="auto"/>
        <w:rPr>
          <w:rFonts w:cs="Calibri"/>
        </w:rPr>
      </w:pPr>
    </w:p>
    <w:p w:rsidR="000C1520" w:rsidRDefault="000C1520" w:rsidP="00923D77">
      <w:pPr>
        <w:spacing w:after="0" w:line="240" w:lineRule="auto"/>
        <w:rPr>
          <w:rFonts w:cs="Calibri"/>
          <w:b/>
          <w:i/>
          <w:sz w:val="20"/>
          <w:szCs w:val="20"/>
        </w:rPr>
      </w:pPr>
    </w:p>
    <w:p w:rsidR="000C1520" w:rsidRPr="00923D77" w:rsidRDefault="000C1520" w:rsidP="00923D77">
      <w:pPr>
        <w:spacing w:after="0" w:line="240" w:lineRule="auto"/>
        <w:rPr>
          <w:rFonts w:cs="Calibri"/>
          <w:i/>
          <w:sz w:val="20"/>
          <w:szCs w:val="20"/>
        </w:rPr>
      </w:pPr>
      <w:r w:rsidRPr="00923D77">
        <w:rPr>
          <w:rFonts w:cs="Calibri"/>
          <w:b/>
          <w:i/>
          <w:sz w:val="20"/>
          <w:szCs w:val="20"/>
        </w:rPr>
        <w:t>Izvor:</w:t>
      </w:r>
      <w:r>
        <w:rPr>
          <w:rFonts w:cs="Calibri"/>
          <w:b/>
          <w:i/>
          <w:sz w:val="20"/>
          <w:szCs w:val="20"/>
        </w:rPr>
        <w:t xml:space="preserve"> </w:t>
      </w:r>
      <w:r w:rsidRPr="00923D77">
        <w:rPr>
          <w:rFonts w:cs="Calibri"/>
          <w:i/>
          <w:sz w:val="20"/>
          <w:szCs w:val="20"/>
        </w:rPr>
        <w:t>HNB</w:t>
      </w:r>
    </w:p>
    <w:p w:rsidR="000C1520" w:rsidRPr="00923D77" w:rsidRDefault="000C1520" w:rsidP="00923D77">
      <w:pPr>
        <w:spacing w:after="0" w:line="240" w:lineRule="auto"/>
        <w:rPr>
          <w:rFonts w:cs="Calibri"/>
        </w:rPr>
      </w:pPr>
    </w:p>
    <w:p w:rsidR="000C1520" w:rsidRPr="00923D77" w:rsidRDefault="000C1520" w:rsidP="00923D77">
      <w:pPr>
        <w:tabs>
          <w:tab w:val="left" w:pos="2717"/>
        </w:tabs>
        <w:spacing w:line="360" w:lineRule="auto"/>
        <w:jc w:val="both"/>
        <w:rPr>
          <w:rFonts w:cs="Calibri"/>
        </w:rPr>
      </w:pPr>
      <w:r>
        <w:rPr>
          <w:rFonts w:cs="Calibri"/>
        </w:rPr>
        <w:t>Kada je riječ o regionalnoj raspodjeli</w:t>
      </w:r>
      <w:r w:rsidRPr="00923D77">
        <w:rPr>
          <w:rFonts w:cs="Calibri"/>
          <w:bCs/>
          <w:lang w:eastAsia="zh-CN"/>
        </w:rPr>
        <w:t xml:space="preserve"> izravnih stranih investicija</w:t>
      </w:r>
      <w:r>
        <w:rPr>
          <w:rFonts w:cs="Calibri"/>
          <w:bCs/>
          <w:lang w:eastAsia="zh-CN"/>
        </w:rPr>
        <w:t>,</w:t>
      </w:r>
      <w:r w:rsidRPr="00923D77">
        <w:rPr>
          <w:rFonts w:cs="Calibri"/>
          <w:bCs/>
          <w:lang w:eastAsia="zh-CN"/>
        </w:rPr>
        <w:t xml:space="preserve"> pet</w:t>
      </w:r>
      <w:r w:rsidRPr="00923D77">
        <w:rPr>
          <w:rFonts w:cs="Calibri"/>
        </w:rPr>
        <w:t xml:space="preserve"> županija koje su privukle najviše izravnih stranih inves</w:t>
      </w:r>
      <w:r>
        <w:rPr>
          <w:rFonts w:cs="Calibri"/>
        </w:rPr>
        <w:t xml:space="preserve">ticija u razdoblju od 2005. do </w:t>
      </w:r>
      <w:r w:rsidRPr="00923D77">
        <w:rPr>
          <w:rFonts w:cs="Calibri"/>
        </w:rPr>
        <w:t xml:space="preserve">2013. godine </w:t>
      </w:r>
      <w:r>
        <w:rPr>
          <w:rFonts w:cs="Calibri"/>
        </w:rPr>
        <w:t xml:space="preserve">bile </w:t>
      </w:r>
      <w:r w:rsidRPr="00923D77">
        <w:rPr>
          <w:rFonts w:cs="Calibri"/>
        </w:rPr>
        <w:t>su Grad Zagreb, Primorsko-goranska županija, Splitsko-dalmatinska županija, Istarska i Zagrebačka županija. U Gradu Zagrebu ostvareno je čak 69% svih izravnih stranih investicija u Republici Hrvatskoj.</w:t>
      </w:r>
      <w:r>
        <w:rPr>
          <w:rFonts w:cs="Calibri"/>
        </w:rPr>
        <w:t xml:space="preserve"> </w:t>
      </w:r>
      <w:r w:rsidR="00753D38">
        <w:rPr>
          <w:rFonts w:cs="Calibri"/>
        </w:rPr>
        <w:t xml:space="preserve">Slične vrijednosti vidimo i kod </w:t>
      </w:r>
      <w:proofErr w:type="spellStart"/>
      <w:r w:rsidRPr="00597A43">
        <w:rPr>
          <w:rFonts w:cs="Calibri"/>
          <w:i/>
        </w:rPr>
        <w:t>greenfield</w:t>
      </w:r>
      <w:proofErr w:type="spellEnd"/>
      <w:r w:rsidRPr="00923D77">
        <w:rPr>
          <w:rFonts w:cs="Calibri"/>
        </w:rPr>
        <w:t xml:space="preserve"> investicija u ist</w:t>
      </w:r>
      <w:r>
        <w:rPr>
          <w:rFonts w:cs="Calibri"/>
        </w:rPr>
        <w:t>om razdoblju</w:t>
      </w:r>
      <w:r w:rsidR="00753D38">
        <w:rPr>
          <w:rFonts w:cs="Calibri"/>
        </w:rPr>
        <w:t>. Najviše ih je</w:t>
      </w:r>
      <w:r>
        <w:rPr>
          <w:rFonts w:cs="Calibri"/>
        </w:rPr>
        <w:t xml:space="preserve"> </w:t>
      </w:r>
      <w:r w:rsidR="00753D38">
        <w:rPr>
          <w:rFonts w:cs="Calibri"/>
        </w:rPr>
        <w:t xml:space="preserve">privukao grad Zagreb 65,5%, potom  </w:t>
      </w:r>
      <w:r w:rsidRPr="00923D77">
        <w:rPr>
          <w:rFonts w:cs="Calibri"/>
        </w:rPr>
        <w:t>Primorsko-goranska</w:t>
      </w:r>
      <w:r w:rsidR="00753D38">
        <w:rPr>
          <w:rFonts w:cs="Calibri"/>
        </w:rPr>
        <w:t xml:space="preserve"> županija 10,5%</w:t>
      </w:r>
      <w:r w:rsidRPr="00923D77">
        <w:rPr>
          <w:rFonts w:cs="Calibri"/>
        </w:rPr>
        <w:t>, Zagrebačka</w:t>
      </w:r>
      <w:r w:rsidR="00753D38">
        <w:rPr>
          <w:rFonts w:cs="Calibri"/>
        </w:rPr>
        <w:t xml:space="preserve"> 6,5%</w:t>
      </w:r>
      <w:r w:rsidRPr="00923D77">
        <w:rPr>
          <w:rFonts w:cs="Calibri"/>
        </w:rPr>
        <w:t>, Istarska</w:t>
      </w:r>
      <w:r w:rsidR="00753D38">
        <w:rPr>
          <w:rFonts w:cs="Calibri"/>
        </w:rPr>
        <w:t xml:space="preserve"> 3,1%</w:t>
      </w:r>
      <w:r w:rsidRPr="00923D77">
        <w:rPr>
          <w:rFonts w:cs="Calibri"/>
        </w:rPr>
        <w:t xml:space="preserve"> i Dubrovačko-neretvanska županija</w:t>
      </w:r>
      <w:r w:rsidR="00753D38">
        <w:rPr>
          <w:rFonts w:cs="Calibri"/>
        </w:rPr>
        <w:t xml:space="preserve"> 2,7% od </w:t>
      </w:r>
      <w:proofErr w:type="spellStart"/>
      <w:r w:rsidR="00753D38">
        <w:rPr>
          <w:rFonts w:cs="Calibri"/>
        </w:rPr>
        <w:t>ukupno</w:t>
      </w:r>
      <w:r>
        <w:rPr>
          <w:rFonts w:cs="Calibri"/>
        </w:rPr>
        <w:t>svih</w:t>
      </w:r>
      <w:proofErr w:type="spellEnd"/>
      <w:r>
        <w:rPr>
          <w:rFonts w:cs="Calibri"/>
        </w:rPr>
        <w:t xml:space="preserve"> </w:t>
      </w:r>
      <w:proofErr w:type="spellStart"/>
      <w:r w:rsidRPr="00597A43">
        <w:rPr>
          <w:rFonts w:cs="Calibri"/>
          <w:i/>
        </w:rPr>
        <w:t>greenfield</w:t>
      </w:r>
      <w:proofErr w:type="spellEnd"/>
      <w:r w:rsidRPr="00923D77">
        <w:rPr>
          <w:rFonts w:cs="Calibri"/>
        </w:rPr>
        <w:t xml:space="preserve"> investicija u Republici Hrvatskoj.  </w:t>
      </w:r>
    </w:p>
    <w:p w:rsidR="009C0EBF" w:rsidRDefault="009C0EBF" w:rsidP="00923D77">
      <w:pPr>
        <w:spacing w:after="0" w:line="240" w:lineRule="auto"/>
        <w:contextualSpacing/>
        <w:rPr>
          <w:rFonts w:cs="Calibri"/>
          <w:b/>
          <w:i/>
        </w:rPr>
      </w:pPr>
    </w:p>
    <w:p w:rsidR="00A209D6" w:rsidRDefault="000C1520" w:rsidP="00923D77">
      <w:pPr>
        <w:spacing w:after="0" w:line="240" w:lineRule="auto"/>
        <w:contextualSpacing/>
        <w:rPr>
          <w:rFonts w:cs="Calibri"/>
          <w:bCs/>
          <w:i/>
          <w:lang w:eastAsia="zh-CN"/>
        </w:rPr>
      </w:pPr>
      <w:r>
        <w:rPr>
          <w:rFonts w:cs="Calibri"/>
          <w:b/>
          <w:i/>
        </w:rPr>
        <w:t>Grafički prikaz 6</w:t>
      </w:r>
      <w:r w:rsidRPr="00E3779F">
        <w:rPr>
          <w:rFonts w:cs="Calibri"/>
          <w:b/>
          <w:i/>
        </w:rPr>
        <w:t>.</w:t>
      </w:r>
      <w:r w:rsidRPr="00E3779F">
        <w:rPr>
          <w:rFonts w:cs="Calibri"/>
          <w:i/>
        </w:rPr>
        <w:t xml:space="preserve">  </w:t>
      </w:r>
      <w:r>
        <w:rPr>
          <w:rFonts w:cs="Calibri"/>
          <w:bCs/>
          <w:i/>
          <w:lang w:eastAsia="zh-CN"/>
        </w:rPr>
        <w:t>Županije s</w:t>
      </w:r>
      <w:r w:rsidRPr="00E3779F">
        <w:rPr>
          <w:rFonts w:cs="Calibri"/>
          <w:bCs/>
          <w:i/>
          <w:lang w:eastAsia="zh-CN"/>
        </w:rPr>
        <w:t xml:space="preserve"> </w:t>
      </w:r>
      <w:r w:rsidRPr="00597A43">
        <w:rPr>
          <w:rFonts w:cs="Calibri"/>
          <w:bCs/>
          <w:i/>
          <w:lang w:eastAsia="zh-CN"/>
        </w:rPr>
        <w:t xml:space="preserve">najviše </w:t>
      </w:r>
      <w:r w:rsidRPr="00597A43">
        <w:rPr>
          <w:rFonts w:cs="Calibri"/>
          <w:i/>
        </w:rPr>
        <w:t>FDI-ja</w:t>
      </w:r>
      <w:r>
        <w:rPr>
          <w:rFonts w:cs="Calibri"/>
          <w:i/>
        </w:rPr>
        <w:t xml:space="preserve"> </w:t>
      </w:r>
      <w:r w:rsidRPr="00E3779F">
        <w:rPr>
          <w:rFonts w:cs="Calibri"/>
          <w:i/>
        </w:rPr>
        <w:t xml:space="preserve">u razdoblju </w:t>
      </w:r>
      <w:r w:rsidRPr="00E3779F">
        <w:rPr>
          <w:rFonts w:cs="Calibri"/>
          <w:bCs/>
          <w:i/>
          <w:lang w:eastAsia="zh-CN"/>
        </w:rPr>
        <w:t>od 2005. do 2013.</w:t>
      </w:r>
    </w:p>
    <w:p w:rsidR="00A209D6" w:rsidRDefault="00A209D6" w:rsidP="00923D77">
      <w:pPr>
        <w:spacing w:after="0" w:line="240" w:lineRule="auto"/>
        <w:contextualSpacing/>
        <w:rPr>
          <w:rFonts w:cs="Calibri"/>
          <w:bCs/>
          <w:i/>
          <w:lang w:eastAsia="zh-CN"/>
        </w:rPr>
      </w:pPr>
      <w:r>
        <w:rPr>
          <w:noProof/>
        </w:rPr>
        <w:drawing>
          <wp:inline distT="0" distB="0" distL="0" distR="0" wp14:anchorId="7E485502" wp14:editId="37F23533">
            <wp:extent cx="5638800" cy="2495551"/>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209D6" w:rsidRDefault="00A209D6" w:rsidP="00923D77">
      <w:pPr>
        <w:spacing w:after="0" w:line="240" w:lineRule="auto"/>
        <w:contextualSpacing/>
        <w:rPr>
          <w:rFonts w:cs="Calibri"/>
          <w:bCs/>
          <w:i/>
          <w:lang w:eastAsia="zh-CN"/>
        </w:rPr>
      </w:pPr>
    </w:p>
    <w:p w:rsidR="000C1520" w:rsidRPr="007C70EB" w:rsidRDefault="000C1520" w:rsidP="00923D77">
      <w:pPr>
        <w:spacing w:line="360" w:lineRule="auto"/>
        <w:jc w:val="both"/>
        <w:rPr>
          <w:rFonts w:cs="Calibri"/>
          <w:i/>
          <w:color w:val="292526"/>
          <w:sz w:val="20"/>
          <w:szCs w:val="20"/>
        </w:rPr>
      </w:pPr>
      <w:r w:rsidRPr="007C70EB">
        <w:rPr>
          <w:rFonts w:cs="Calibri"/>
          <w:b/>
          <w:i/>
          <w:color w:val="292526"/>
          <w:sz w:val="20"/>
          <w:szCs w:val="20"/>
        </w:rPr>
        <w:t>Izvor:</w:t>
      </w:r>
      <w:r w:rsidRPr="007C70EB">
        <w:rPr>
          <w:rFonts w:cs="Calibri"/>
          <w:i/>
          <w:color w:val="292526"/>
          <w:sz w:val="20"/>
          <w:szCs w:val="20"/>
        </w:rPr>
        <w:t xml:space="preserve"> HNB</w:t>
      </w:r>
    </w:p>
    <w:p w:rsidR="000C1520" w:rsidRPr="00923D77" w:rsidRDefault="000C1520" w:rsidP="00923D77">
      <w:pPr>
        <w:spacing w:line="360" w:lineRule="auto"/>
        <w:jc w:val="both"/>
        <w:rPr>
          <w:rFonts w:cs="Calibri"/>
        </w:rPr>
      </w:pPr>
      <w:r w:rsidRPr="00923D77">
        <w:rPr>
          <w:rFonts w:cs="Calibri"/>
          <w:color w:val="292526"/>
          <w:szCs w:val="18"/>
        </w:rPr>
        <w:t>Društvene koristi ili dobici od izravnih stranih investicija u R</w:t>
      </w:r>
      <w:r>
        <w:rPr>
          <w:rFonts w:cs="Calibri"/>
          <w:color w:val="292526"/>
          <w:szCs w:val="18"/>
        </w:rPr>
        <w:t xml:space="preserve">H u dosadašnjem razdoblju predstavljali su cijeli niz </w:t>
      </w:r>
      <w:r w:rsidRPr="00923D77">
        <w:rPr>
          <w:rFonts w:cs="Calibri"/>
          <w:color w:val="292526"/>
          <w:szCs w:val="18"/>
        </w:rPr>
        <w:t xml:space="preserve">pozitivnih utjecaja. </w:t>
      </w:r>
      <w:r w:rsidRPr="00923D77">
        <w:rPr>
          <w:rFonts w:cs="Calibri"/>
          <w:color w:val="231F20"/>
        </w:rPr>
        <w:t>Izravne strane investicije bile su stabilan izvor kapitala za RH kao zemlju primatelja, pomogle su u financiranju deficita tekućeg računa platne bilance, no još važniju ulogu za gospodarstvo imale su kao sredstvo prijenosa tehnologije i upravljačkih znan</w:t>
      </w:r>
      <w:r>
        <w:rPr>
          <w:rFonts w:cs="Calibri"/>
          <w:color w:val="231F20"/>
        </w:rPr>
        <w:t>ja te širenja pozitivnih učinaka</w:t>
      </w:r>
      <w:r w:rsidRPr="00923D77">
        <w:rPr>
          <w:rFonts w:cs="Calibri"/>
          <w:color w:val="231F20"/>
        </w:rPr>
        <w:t xml:space="preserve"> na ostatak gospodarstva. </w:t>
      </w:r>
      <w:r>
        <w:rPr>
          <w:rFonts w:cs="Calibri"/>
        </w:rPr>
        <w:t>Kao što je prethodno</w:t>
      </w:r>
      <w:r w:rsidRPr="00923D77">
        <w:rPr>
          <w:rFonts w:cs="Calibri"/>
        </w:rPr>
        <w:t xml:space="preserve"> spomenuto, veći iznosi izravnih stranih investicija došli su relativno kasno u RH, što je posljedica rata te gospodarske i političke nestabilnosti. Zbog </w:t>
      </w:r>
      <w:r w:rsidRPr="00F5458F">
        <w:rPr>
          <w:rFonts w:cs="Calibri"/>
        </w:rPr>
        <w:t xml:space="preserve">svih tih čimbenika izravne strane investicije još nisu znatnije pridonijele </w:t>
      </w:r>
      <w:r w:rsidR="00F5458F" w:rsidRPr="00F5458F">
        <w:rPr>
          <w:rFonts w:cs="Calibri"/>
        </w:rPr>
        <w:t>promjeni</w:t>
      </w:r>
      <w:r w:rsidRPr="00F5458F">
        <w:rPr>
          <w:rFonts w:cs="Calibri"/>
        </w:rPr>
        <w:t xml:space="preserve"> gospodarske strukture kao u</w:t>
      </w:r>
      <w:r w:rsidRPr="00923D77">
        <w:rPr>
          <w:rFonts w:cs="Calibri"/>
        </w:rPr>
        <w:t xml:space="preserve"> drugim tranzicijskim </w:t>
      </w:r>
      <w:r>
        <w:rPr>
          <w:rFonts w:cs="Calibri"/>
        </w:rPr>
        <w:t>ekonomijama. Hrvatskoj je još uvijek potrebno</w:t>
      </w:r>
      <w:r w:rsidRPr="00923D77">
        <w:rPr>
          <w:rFonts w:cs="Calibri"/>
        </w:rPr>
        <w:t xml:space="preserve"> proizvodno preusmjeravanje </w:t>
      </w:r>
      <w:r>
        <w:rPr>
          <w:rFonts w:cs="Calibri"/>
        </w:rPr>
        <w:t>i odlučno restrukturiranje</w:t>
      </w:r>
      <w:r w:rsidR="00D87C12">
        <w:rPr>
          <w:rFonts w:cs="Calibri"/>
        </w:rPr>
        <w:t xml:space="preserve"> industrije radi prilagođa</w:t>
      </w:r>
      <w:r w:rsidRPr="00923D77">
        <w:rPr>
          <w:rFonts w:cs="Calibri"/>
        </w:rPr>
        <w:t>vanja strukturi potražnje EU</w:t>
      </w:r>
      <w:r>
        <w:rPr>
          <w:rFonts w:cs="Calibri"/>
        </w:rPr>
        <w:t>-a, a</w:t>
      </w:r>
      <w:r w:rsidRPr="00923D77">
        <w:rPr>
          <w:rFonts w:cs="Calibri"/>
        </w:rPr>
        <w:t xml:space="preserve"> treba promijeniti </w:t>
      </w:r>
      <w:r>
        <w:rPr>
          <w:rFonts w:cs="Calibri"/>
        </w:rPr>
        <w:t xml:space="preserve">i </w:t>
      </w:r>
      <w:r w:rsidRPr="00923D77">
        <w:rPr>
          <w:rFonts w:cs="Calibri"/>
        </w:rPr>
        <w:t>sastav svog izvoza od radno-intenzivnog, u kojemu prevladav</w:t>
      </w:r>
      <w:r>
        <w:rPr>
          <w:rFonts w:cs="Calibri"/>
        </w:rPr>
        <w:t>aju sirovine i poluproizvodi, prema</w:t>
      </w:r>
      <w:r w:rsidRPr="00923D77">
        <w:rPr>
          <w:rFonts w:cs="Calibri"/>
        </w:rPr>
        <w:t xml:space="preserve"> proizvodima veće tehnološke složenosti i više dodane vrijednosti. </w:t>
      </w:r>
    </w:p>
    <w:p w:rsidR="000C1520" w:rsidRDefault="000C1520" w:rsidP="00D74ECD">
      <w:pPr>
        <w:pStyle w:val="Heading3"/>
        <w:jc w:val="both"/>
      </w:pPr>
      <w:bookmarkStart w:id="14" w:name="_Toc373137856"/>
      <w:bookmarkStart w:id="15" w:name="_Toc348951832"/>
      <w:bookmarkStart w:id="16" w:name="_Toc351127594"/>
      <w:r>
        <w:t>1.3 UTVRĐIVANJE</w:t>
      </w:r>
      <w:r w:rsidRPr="00923D77">
        <w:t xml:space="preserve"> KONKURENTNIH PREDNOSTI REPUBLIKE HRVATSKE ZA PRIVLAČENJE INVESTICIJA</w:t>
      </w:r>
      <w:bookmarkEnd w:id="14"/>
      <w:r w:rsidRPr="00923D77">
        <w:t xml:space="preserve"> </w:t>
      </w:r>
      <w:bookmarkStart w:id="17" w:name="_Toc348951833"/>
    </w:p>
    <w:p w:rsidR="000C1520" w:rsidRDefault="000C1520" w:rsidP="00D74ECD">
      <w:pPr>
        <w:spacing w:line="360" w:lineRule="auto"/>
        <w:jc w:val="both"/>
      </w:pPr>
      <w:r w:rsidRPr="00FF4165">
        <w:t>Izravne</w:t>
      </w:r>
      <w:r>
        <w:t xml:space="preserve"> strane investicije najčešće se privlače</w:t>
      </w:r>
      <w:r w:rsidRPr="00FF4165">
        <w:t xml:space="preserve"> vrlo</w:t>
      </w:r>
      <w:r>
        <w:t xml:space="preserve"> mjerljivim vlastitim interesom –</w:t>
      </w:r>
      <w:r w:rsidRPr="00FF4165">
        <w:t xml:space="preserve"> velikim domaćim tržištem, dostupnim resursima ili nižim troškovima proizvodnje i ukupnog poslovanja. Da bi zemlja uopće mogla razmišljati o privlačenju stranih investicija, odnosno da bi se mogla upustiti u natjecanje s konkurentima, potrebno je udovoljiti nekim kriterijima koji su</w:t>
      </w:r>
      <w:r>
        <w:t xml:space="preserve"> ujedno i</w:t>
      </w:r>
      <w:r w:rsidRPr="00FF4165">
        <w:t xml:space="preserve"> osnovni preduvjeti privlačenja stranih investicija</w:t>
      </w:r>
      <w:r>
        <w:t>: politička stabilnost, stabilnost nacionalne ekonomije, povoljno poslovno okruženje, infrastrukturna izgrađenost i kredibilitet politike Vlade.</w:t>
      </w:r>
    </w:p>
    <w:p w:rsidR="000C1520" w:rsidRPr="00FF4165" w:rsidRDefault="000C1520" w:rsidP="00D74ECD">
      <w:pPr>
        <w:spacing w:line="360" w:lineRule="auto"/>
        <w:jc w:val="both"/>
      </w:pPr>
      <w:r>
        <w:lastRenderedPageBreak/>
        <w:t xml:space="preserve">Kako bi potaknula dolazak stranog kapitala i motivirala domaće investitore da povećaju svoje investicijske aktivnosti, Republika Hrvatska mora osigurati povoljno i stabilno  investicijsko okruženje </w:t>
      </w:r>
      <w:r w:rsidRPr="00CD76D5">
        <w:t>svojom cjelokupnom politikom</w:t>
      </w:r>
      <w:r>
        <w:t xml:space="preserve">. </w:t>
      </w:r>
    </w:p>
    <w:bookmarkEnd w:id="17"/>
    <w:p w:rsidR="000C1520" w:rsidRPr="00671FBC" w:rsidRDefault="000C1520" w:rsidP="00671FBC">
      <w:pPr>
        <w:pStyle w:val="ListParagraph"/>
        <w:numPr>
          <w:ilvl w:val="0"/>
          <w:numId w:val="39"/>
        </w:numPr>
        <w:spacing w:line="360" w:lineRule="auto"/>
        <w:jc w:val="both"/>
        <w:rPr>
          <w:b/>
          <w:i/>
          <w:color w:val="FF0000"/>
        </w:rPr>
      </w:pPr>
      <w:r w:rsidRPr="00671FBC">
        <w:rPr>
          <w:b/>
          <w:i/>
          <w:color w:val="FF0000"/>
        </w:rPr>
        <w:t xml:space="preserve">Republika Hrvatska vodi </w:t>
      </w:r>
      <w:proofErr w:type="spellStart"/>
      <w:r w:rsidRPr="00671FBC">
        <w:rPr>
          <w:b/>
          <w:i/>
          <w:color w:val="FF0000"/>
        </w:rPr>
        <w:t>proaktivnu</w:t>
      </w:r>
      <w:proofErr w:type="spellEnd"/>
      <w:r w:rsidRPr="00671FBC">
        <w:rPr>
          <w:b/>
          <w:i/>
          <w:color w:val="FF0000"/>
        </w:rPr>
        <w:t xml:space="preserve"> politiku privlačenja (stranih) investicija</w:t>
      </w:r>
    </w:p>
    <w:p w:rsidR="00F82CAD" w:rsidRDefault="000C1520" w:rsidP="00D74ECD">
      <w:pPr>
        <w:spacing w:line="360" w:lineRule="auto"/>
        <w:jc w:val="both"/>
      </w:pPr>
      <w:r w:rsidRPr="00923D77">
        <w:t>U razmatranju lokacijskih determinanti privlačenja investicija, uz suvremen i vjerodostojan pravni okvir te povoljnu investicijsku klimu, presudno značenje zauzima politika privlačenja (stranih) investitora i općenito p</w:t>
      </w:r>
      <w:r>
        <w:t>romicanja investicija. Strane investitore se, među ostalim, privlači</w:t>
      </w:r>
      <w:r w:rsidRPr="00923D77">
        <w:t xml:space="preserve"> različitim pogodnostima i olakšicama. Sustavnim kombiniranjem različitih pogodnosti i olakšica može se os</w:t>
      </w:r>
      <w:r>
        <w:t>tvariti konkurentna prednost u odnosu na ostale zemlje</w:t>
      </w:r>
      <w:r w:rsidRPr="00923D77">
        <w:t xml:space="preserve"> koje se natječu u privlačenju izravnih stranih investicija.</w:t>
      </w:r>
      <w:r w:rsidR="00F82CAD">
        <w:t xml:space="preserve"> </w:t>
      </w:r>
    </w:p>
    <w:p w:rsidR="000C1520" w:rsidRPr="00923D77" w:rsidRDefault="000C1520" w:rsidP="00D74ECD">
      <w:pPr>
        <w:spacing w:line="360" w:lineRule="auto"/>
        <w:jc w:val="both"/>
      </w:pPr>
      <w:r w:rsidRPr="00923D77">
        <w:t xml:space="preserve">RH je svojim Ustavom prihvatila zajedničke multilateralne standarde prema izravnim stranim investicijama. Stranim </w:t>
      </w:r>
      <w:r>
        <w:t xml:space="preserve">se investitorima </w:t>
      </w:r>
      <w:r w:rsidRPr="00923D77">
        <w:t>jamči:</w:t>
      </w:r>
    </w:p>
    <w:p w:rsidR="000C1520" w:rsidRPr="00923D77" w:rsidRDefault="000C1520" w:rsidP="00D74ECD">
      <w:pPr>
        <w:spacing w:line="360" w:lineRule="auto"/>
        <w:jc w:val="both"/>
      </w:pPr>
      <w:r w:rsidRPr="00923D77">
        <w:t>1. da se prava stečena ulaganjem neće umanjiti zakonom niti drugim pravnim aktom;</w:t>
      </w:r>
    </w:p>
    <w:p w:rsidR="000C1520" w:rsidRPr="00923D77" w:rsidRDefault="000C1520" w:rsidP="00D74ECD">
      <w:pPr>
        <w:spacing w:line="360" w:lineRule="auto"/>
        <w:jc w:val="both"/>
      </w:pPr>
      <w:r w:rsidRPr="00923D77">
        <w:t>2. slobodno iznošenje dobiti iz zemlje;</w:t>
      </w:r>
    </w:p>
    <w:p w:rsidR="000C1520" w:rsidRPr="00923D77" w:rsidRDefault="000C1520" w:rsidP="00D74ECD">
      <w:pPr>
        <w:spacing w:line="360" w:lineRule="auto"/>
        <w:jc w:val="both"/>
      </w:pPr>
      <w:r w:rsidRPr="00923D77">
        <w:t>3. slobodno iznošenje uloženog kapitala po prestanku ulaganja;</w:t>
      </w:r>
    </w:p>
    <w:p w:rsidR="000C1520" w:rsidRPr="00923D77" w:rsidRDefault="000C1520" w:rsidP="00D74ECD">
      <w:pPr>
        <w:spacing w:line="360" w:lineRule="auto"/>
        <w:jc w:val="both"/>
      </w:pPr>
      <w:r w:rsidRPr="00923D77">
        <w:t>4. nacionalni tretman za strane investitore.</w:t>
      </w:r>
    </w:p>
    <w:p w:rsidR="000C1520" w:rsidRPr="00923D77" w:rsidRDefault="000C1520" w:rsidP="00592D7A">
      <w:pPr>
        <w:spacing w:line="360" w:lineRule="auto"/>
        <w:jc w:val="both"/>
        <w:rPr>
          <w:rFonts w:ascii="Arial" w:hAnsi="Arial" w:cs="Arial"/>
          <w:b/>
          <w:bCs/>
          <w:lang w:val="en-US"/>
        </w:rPr>
      </w:pPr>
      <w:r w:rsidRPr="00E3779F">
        <w:t>Prema Zakonu o trgovačkim društvima</w:t>
      </w:r>
      <w:r w:rsidRPr="00E3779F">
        <w:rPr>
          <w:rFonts w:cs="Calibri"/>
          <w:vertAlign w:val="superscript"/>
        </w:rPr>
        <w:t xml:space="preserve">2 </w:t>
      </w:r>
      <w:r w:rsidRPr="00E3779F">
        <w:t>domaća i strana društva posluju pod jednakim uvjetima. Strani investitor može osnovati ili sudjelovati u osnivanju društva i može stjecati prava i/ili obveze pod istim uvjetima kao i bilo koji domaći investitor. Strani investitor može osnovati trgovačko društvo u Hrvatskoj koje kao domaća pravna osoba može stjecati nekretnine bez ograničenja.</w:t>
      </w:r>
      <w:r w:rsidRPr="00923D77">
        <w:rPr>
          <w:color w:val="00B0F0"/>
        </w:rPr>
        <w:t xml:space="preserve">  </w:t>
      </w:r>
      <w:r w:rsidRPr="00923D77">
        <w:t>Izravne strane investicije u RH zaštićene su o</w:t>
      </w:r>
      <w:r>
        <w:t>dredbama Ustava RH, a regulirane</w:t>
      </w:r>
      <w:r w:rsidRPr="00923D77">
        <w:t xml:space="preserve"> su odredbama Zakona o trgovačkim društvima</w:t>
      </w:r>
      <w:r w:rsidRPr="00923D77">
        <w:rPr>
          <w:vertAlign w:val="superscript"/>
        </w:rPr>
        <w:footnoteReference w:id="2"/>
      </w:r>
      <w:r w:rsidRPr="00923D77">
        <w:t>, Zakona o deviznom poslovanju</w:t>
      </w:r>
      <w:r w:rsidRPr="00923D77">
        <w:rPr>
          <w:vertAlign w:val="superscript"/>
        </w:rPr>
        <w:footnoteReference w:id="3"/>
      </w:r>
      <w:r w:rsidRPr="00923D77">
        <w:t>, Zakona o trgovini</w:t>
      </w:r>
      <w:r w:rsidRPr="00923D77">
        <w:rPr>
          <w:vertAlign w:val="superscript"/>
        </w:rPr>
        <w:footnoteReference w:id="4"/>
      </w:r>
      <w:r w:rsidRPr="00923D77">
        <w:t>,  Zakona o poticanju investicija i unaprjeđenju investicijskog okruženja</w:t>
      </w:r>
      <w:r w:rsidRPr="00923D77">
        <w:rPr>
          <w:vertAlign w:val="superscript"/>
        </w:rPr>
        <w:footnoteReference w:id="5"/>
      </w:r>
      <w:r w:rsidRPr="00923D77">
        <w:t>, Zakona o prostornom uređenju i gradnji</w:t>
      </w:r>
      <w:r w:rsidRPr="00923D77">
        <w:rPr>
          <w:vertAlign w:val="superscript"/>
        </w:rPr>
        <w:footnoteReference w:id="6"/>
      </w:r>
      <w:r w:rsidRPr="00923D77">
        <w:t>, Zakona o postupanju i uvjetima gradnje radi poticanja ulaganja</w:t>
      </w:r>
      <w:r w:rsidRPr="00923D77">
        <w:rPr>
          <w:vertAlign w:val="superscript"/>
        </w:rPr>
        <w:footnoteReference w:id="7"/>
      </w:r>
      <w:r w:rsidRPr="00923D77">
        <w:t>, Zakon</w:t>
      </w:r>
      <w:r>
        <w:t>a</w:t>
      </w:r>
      <w:r w:rsidRPr="00923D77">
        <w:t xml:space="preserve"> o uređenju imovinskopravnih odnosa u svrhu izgradnje infrastrukturnih građevina</w:t>
      </w:r>
      <w:r w:rsidRPr="00923D77">
        <w:rPr>
          <w:vertAlign w:val="superscript"/>
        </w:rPr>
        <w:footnoteReference w:id="8"/>
      </w:r>
      <w:r w:rsidRPr="00923D77">
        <w:t>, Zakona o koncesijama</w:t>
      </w:r>
      <w:r w:rsidRPr="00923D77">
        <w:rPr>
          <w:vertAlign w:val="superscript"/>
        </w:rPr>
        <w:footnoteReference w:id="9"/>
      </w:r>
      <w:r w:rsidRPr="00923D77">
        <w:t xml:space="preserve">, Zakona o pomorskom dobru i </w:t>
      </w:r>
      <w:r w:rsidRPr="00923D77">
        <w:lastRenderedPageBreak/>
        <w:t>morskim lukama</w:t>
      </w:r>
      <w:r w:rsidRPr="00923D77">
        <w:rPr>
          <w:vertAlign w:val="superscript"/>
        </w:rPr>
        <w:footnoteReference w:id="10"/>
      </w:r>
      <w:r w:rsidRPr="00923D77">
        <w:t xml:space="preserve">, </w:t>
      </w:r>
      <w:r w:rsidRPr="00E3779F">
        <w:t>Zakon</w:t>
      </w:r>
      <w:r>
        <w:t>a</w:t>
      </w:r>
      <w:r w:rsidRPr="00E3779F">
        <w:t xml:space="preserve"> o provedbi carinskih propisa Europske unije</w:t>
      </w:r>
      <w:r w:rsidRPr="00923D77">
        <w:rPr>
          <w:vertAlign w:val="superscript"/>
        </w:rPr>
        <w:footnoteReference w:id="11"/>
      </w:r>
      <w:r w:rsidRPr="00923D77">
        <w:t>, Zakona o vlasništvu i drugim stvarnim pravima</w:t>
      </w:r>
      <w:r w:rsidRPr="00923D77">
        <w:rPr>
          <w:vertAlign w:val="superscript"/>
        </w:rPr>
        <w:footnoteReference w:id="12"/>
      </w:r>
      <w:r w:rsidRPr="00923D77">
        <w:t>,</w:t>
      </w:r>
      <w:r w:rsidRPr="00923D77">
        <w:rPr>
          <w:rFonts w:cs="Calibri"/>
          <w:bCs/>
        </w:rPr>
        <w:t xml:space="preserve"> Zakona o porezu na dobit</w:t>
      </w:r>
      <w:r w:rsidRPr="00923D77">
        <w:rPr>
          <w:rFonts w:cs="Calibri"/>
          <w:bCs/>
          <w:vertAlign w:val="superscript"/>
        </w:rPr>
        <w:footnoteReference w:id="13"/>
      </w:r>
      <w:r w:rsidRPr="00923D77">
        <w:rPr>
          <w:rFonts w:cs="Calibri"/>
          <w:bCs/>
        </w:rPr>
        <w:t>, Zakona o šumama</w:t>
      </w:r>
      <w:r w:rsidRPr="00923D77">
        <w:rPr>
          <w:rFonts w:cs="Calibri"/>
          <w:bCs/>
          <w:vertAlign w:val="superscript"/>
        </w:rPr>
        <w:footnoteReference w:id="14"/>
      </w:r>
      <w:r w:rsidRPr="00923D77">
        <w:rPr>
          <w:rFonts w:cs="Calibri"/>
          <w:bCs/>
        </w:rPr>
        <w:t xml:space="preserve">, Zakona o zaštiti okoliša i </w:t>
      </w:r>
      <w:r w:rsidRPr="00E3779F">
        <w:rPr>
          <w:rFonts w:cs="Calibri"/>
          <w:bCs/>
        </w:rPr>
        <w:t>Zakon</w:t>
      </w:r>
      <w:r>
        <w:rPr>
          <w:rFonts w:cs="Calibri"/>
          <w:bCs/>
        </w:rPr>
        <w:t>a</w:t>
      </w:r>
      <w:r w:rsidRPr="00E3779F">
        <w:rPr>
          <w:rFonts w:cs="Calibri"/>
          <w:bCs/>
        </w:rPr>
        <w:t xml:space="preserve"> o zaštiti prirode</w:t>
      </w:r>
      <w:r w:rsidRPr="00923D77">
        <w:rPr>
          <w:rFonts w:cs="Calibri"/>
          <w:bCs/>
          <w:vertAlign w:val="superscript"/>
        </w:rPr>
        <w:footnoteReference w:id="15"/>
      </w:r>
      <w:r w:rsidRPr="00923D77">
        <w:rPr>
          <w:rFonts w:cs="Calibri"/>
          <w:bCs/>
        </w:rPr>
        <w:t>, Zakona o autorskom pravu i srodnim pravima</w:t>
      </w:r>
      <w:r w:rsidRPr="00923D77">
        <w:rPr>
          <w:rFonts w:cs="Calibri"/>
          <w:bCs/>
          <w:vertAlign w:val="superscript"/>
        </w:rPr>
        <w:footnoteReference w:id="16"/>
      </w:r>
      <w:r w:rsidRPr="00923D77">
        <w:rPr>
          <w:rFonts w:cs="Calibri"/>
          <w:bCs/>
        </w:rPr>
        <w:t>,</w:t>
      </w:r>
      <w:r w:rsidRPr="00923D77">
        <w:t xml:space="preserve"> Zakon</w:t>
      </w:r>
      <w:r>
        <w:t>a</w:t>
      </w:r>
      <w:r w:rsidRPr="00923D77">
        <w:t xml:space="preserve"> o strancima</w:t>
      </w:r>
      <w:r w:rsidRPr="00923D77">
        <w:rPr>
          <w:vertAlign w:val="superscript"/>
        </w:rPr>
        <w:footnoteReference w:id="17"/>
      </w:r>
      <w:r w:rsidRPr="00923D77">
        <w:t>, Zakona o područjima posebne državne skrbi</w:t>
      </w:r>
      <w:r w:rsidRPr="00923D77">
        <w:rPr>
          <w:vertAlign w:val="superscript"/>
        </w:rPr>
        <w:footnoteReference w:id="18"/>
      </w:r>
      <w:r w:rsidRPr="00923D77">
        <w:t xml:space="preserve"> , </w:t>
      </w:r>
      <w:r w:rsidRPr="00E3779F">
        <w:t>Zakon</w:t>
      </w:r>
      <w:r>
        <w:t>a</w:t>
      </w:r>
      <w:r w:rsidRPr="00E3779F">
        <w:t xml:space="preserve"> o vodama</w:t>
      </w:r>
      <w:r w:rsidRPr="00E3779F">
        <w:rPr>
          <w:rStyle w:val="FootnoteReference"/>
        </w:rPr>
        <w:footnoteReference w:id="19"/>
      </w:r>
      <w:r w:rsidRPr="00E3779F">
        <w:t>, Zakon</w:t>
      </w:r>
      <w:r>
        <w:t>a</w:t>
      </w:r>
      <w:r w:rsidRPr="00E3779F">
        <w:t xml:space="preserve"> o javnoj nabavi</w:t>
      </w:r>
      <w:r w:rsidRPr="00E3779F">
        <w:rPr>
          <w:rStyle w:val="FootnoteReference"/>
        </w:rPr>
        <w:footnoteReference w:id="20"/>
      </w:r>
      <w:r w:rsidRPr="00E3779F">
        <w:t xml:space="preserve">, </w:t>
      </w:r>
      <w:proofErr w:type="spellStart"/>
      <w:r w:rsidRPr="00E3779F">
        <w:rPr>
          <w:rFonts w:cs="Arial"/>
          <w:bCs/>
          <w:lang w:val="en-US"/>
        </w:rPr>
        <w:t>Zakon</w:t>
      </w:r>
      <w:r>
        <w:rPr>
          <w:rFonts w:cs="Arial"/>
          <w:bCs/>
          <w:lang w:val="en-US"/>
        </w:rPr>
        <w:t>a</w:t>
      </w:r>
      <w:proofErr w:type="spellEnd"/>
      <w:r w:rsidRPr="00E3779F">
        <w:rPr>
          <w:rFonts w:cs="Arial"/>
          <w:bCs/>
          <w:lang w:val="en-US"/>
        </w:rPr>
        <w:t xml:space="preserve"> o </w:t>
      </w:r>
      <w:proofErr w:type="spellStart"/>
      <w:r w:rsidRPr="00E3779F">
        <w:rPr>
          <w:rFonts w:cs="Arial"/>
          <w:bCs/>
          <w:lang w:val="en-US"/>
        </w:rPr>
        <w:t>državnim</w:t>
      </w:r>
      <w:proofErr w:type="spellEnd"/>
      <w:r w:rsidRPr="00E3779F">
        <w:rPr>
          <w:rFonts w:cs="Arial"/>
          <w:bCs/>
          <w:lang w:val="en-US"/>
        </w:rPr>
        <w:t xml:space="preserve"> </w:t>
      </w:r>
      <w:proofErr w:type="spellStart"/>
      <w:r w:rsidRPr="00E3779F">
        <w:rPr>
          <w:rFonts w:cs="Arial"/>
          <w:bCs/>
          <w:lang w:val="en-US"/>
        </w:rPr>
        <w:t>potporama</w:t>
      </w:r>
      <w:proofErr w:type="spellEnd"/>
      <w:r w:rsidRPr="00E3779F">
        <w:rPr>
          <w:rStyle w:val="FootnoteReference"/>
          <w:rFonts w:cs="Arial"/>
          <w:bCs/>
          <w:sz w:val="20"/>
          <w:szCs w:val="20"/>
          <w:lang w:val="en-US"/>
        </w:rPr>
        <w:footnoteReference w:id="21"/>
      </w:r>
      <w:r w:rsidRPr="00E3779F">
        <w:rPr>
          <w:rFonts w:ascii="Arial" w:hAnsi="Arial" w:cs="Arial"/>
          <w:b/>
          <w:bCs/>
          <w:lang w:val="en-US"/>
        </w:rPr>
        <w:t>,</w:t>
      </w:r>
      <w:r w:rsidRPr="00923D77">
        <w:rPr>
          <w:rFonts w:ascii="Arial" w:hAnsi="Arial" w:cs="Arial"/>
          <w:b/>
          <w:bCs/>
          <w:lang w:val="en-US"/>
        </w:rPr>
        <w:t xml:space="preserve"> </w:t>
      </w:r>
      <w:proofErr w:type="spellStart"/>
      <w:r w:rsidR="00516353" w:rsidRPr="00D31597">
        <w:rPr>
          <w:rFonts w:asciiTheme="minorHAnsi" w:hAnsiTheme="minorHAnsi" w:cs="Arial"/>
          <w:bCs/>
          <w:lang w:val="en-US"/>
        </w:rPr>
        <w:t>Zakon</w:t>
      </w:r>
      <w:proofErr w:type="spellEnd"/>
      <w:r w:rsidR="00516353" w:rsidRPr="00D31597">
        <w:rPr>
          <w:rFonts w:asciiTheme="minorHAnsi" w:hAnsiTheme="minorHAnsi" w:cs="Arial"/>
          <w:bCs/>
          <w:lang w:val="en-US"/>
        </w:rPr>
        <w:t xml:space="preserve"> o </w:t>
      </w:r>
      <w:proofErr w:type="spellStart"/>
      <w:r w:rsidR="00516353" w:rsidRPr="00D31597">
        <w:rPr>
          <w:rFonts w:asciiTheme="minorHAnsi" w:hAnsiTheme="minorHAnsi" w:cs="Arial"/>
          <w:bCs/>
          <w:lang w:val="en-US"/>
        </w:rPr>
        <w:t>porezu</w:t>
      </w:r>
      <w:proofErr w:type="spellEnd"/>
      <w:r w:rsidR="00516353" w:rsidRPr="00D31597">
        <w:rPr>
          <w:rFonts w:asciiTheme="minorHAnsi" w:hAnsiTheme="minorHAnsi" w:cs="Arial"/>
          <w:bCs/>
          <w:lang w:val="en-US"/>
        </w:rPr>
        <w:t xml:space="preserve"> </w:t>
      </w:r>
      <w:proofErr w:type="spellStart"/>
      <w:r w:rsidR="00516353" w:rsidRPr="00D31597">
        <w:rPr>
          <w:rFonts w:asciiTheme="minorHAnsi" w:hAnsiTheme="minorHAnsi" w:cs="Arial"/>
          <w:bCs/>
          <w:lang w:val="en-US"/>
        </w:rPr>
        <w:t>na</w:t>
      </w:r>
      <w:proofErr w:type="spellEnd"/>
      <w:r w:rsidR="00516353" w:rsidRPr="00D31597">
        <w:rPr>
          <w:rFonts w:asciiTheme="minorHAnsi" w:hAnsiTheme="minorHAnsi" w:cs="Arial"/>
          <w:bCs/>
          <w:lang w:val="en-US"/>
        </w:rPr>
        <w:t xml:space="preserve"> </w:t>
      </w:r>
      <w:proofErr w:type="spellStart"/>
      <w:r w:rsidR="00516353" w:rsidRPr="00D31597">
        <w:rPr>
          <w:rFonts w:asciiTheme="minorHAnsi" w:hAnsiTheme="minorHAnsi" w:cs="Arial"/>
          <w:bCs/>
          <w:lang w:val="en-US"/>
        </w:rPr>
        <w:t>dohodak</w:t>
      </w:r>
      <w:proofErr w:type="spellEnd"/>
      <w:r w:rsidR="00D31597">
        <w:rPr>
          <w:rStyle w:val="FootnoteReference"/>
          <w:rFonts w:asciiTheme="minorHAnsi" w:hAnsiTheme="minorHAnsi"/>
          <w:bCs/>
          <w:lang w:val="en-US"/>
        </w:rPr>
        <w:footnoteReference w:id="22"/>
      </w:r>
      <w:r w:rsidR="007067B9" w:rsidRPr="00D31597">
        <w:rPr>
          <w:rFonts w:asciiTheme="minorHAnsi" w:hAnsiTheme="minorHAnsi"/>
        </w:rPr>
        <w:t>, Zakon o porezu na dodanu vrijednost</w:t>
      </w:r>
      <w:r w:rsidR="00D31597">
        <w:rPr>
          <w:rStyle w:val="FootnoteReference"/>
          <w:rFonts w:asciiTheme="minorHAnsi" w:hAnsiTheme="minorHAnsi"/>
        </w:rPr>
        <w:footnoteReference w:id="23"/>
      </w:r>
      <w:r w:rsidR="007067B9" w:rsidRPr="00D31597">
        <w:rPr>
          <w:rFonts w:asciiTheme="minorHAnsi" w:hAnsiTheme="minorHAnsi"/>
        </w:rPr>
        <w:t xml:space="preserve"> , Zakon o porezu na promet nekretnina</w:t>
      </w:r>
      <w:r w:rsidR="00D31597">
        <w:rPr>
          <w:rStyle w:val="FootnoteReference"/>
          <w:rFonts w:asciiTheme="minorHAnsi" w:hAnsiTheme="minorHAnsi"/>
        </w:rPr>
        <w:footnoteReference w:id="24"/>
      </w:r>
      <w:r w:rsidR="007067B9" w:rsidRPr="00D31597">
        <w:rPr>
          <w:rFonts w:asciiTheme="minorHAnsi" w:hAnsiTheme="minorHAnsi"/>
        </w:rPr>
        <w:t xml:space="preserve"> </w:t>
      </w:r>
      <w:r w:rsidRPr="00923D77">
        <w:t xml:space="preserve">kao i drugim zakonima i </w:t>
      </w:r>
      <w:proofErr w:type="spellStart"/>
      <w:r w:rsidRPr="00923D77">
        <w:t>podzakonskim</w:t>
      </w:r>
      <w:proofErr w:type="spellEnd"/>
      <w:r w:rsidRPr="00923D77">
        <w:t xml:space="preserve"> propisima čije odredbe i p</w:t>
      </w:r>
      <w:r>
        <w:t xml:space="preserve">rimjena izravno ili neizravno </w:t>
      </w:r>
      <w:r w:rsidRPr="00923D77">
        <w:t>utječu na poticanje investicija i unaprjeđenje investicijskog okruženja u RH.</w:t>
      </w:r>
    </w:p>
    <w:p w:rsidR="000C1520" w:rsidRPr="005F07EA" w:rsidRDefault="000C1520" w:rsidP="00923D77">
      <w:pPr>
        <w:spacing w:line="360" w:lineRule="auto"/>
        <w:jc w:val="both"/>
      </w:pPr>
      <w:r w:rsidRPr="00923D77">
        <w:t>Da bi dodatno potaknula investicije</w:t>
      </w:r>
      <w:r>
        <w:t>,</w:t>
      </w:r>
      <w:r w:rsidRPr="00923D77">
        <w:t xml:space="preserve"> RH je proteklih godina</w:t>
      </w:r>
      <w:r>
        <w:t xml:space="preserve"> uložila značajne napore u uklanjanje</w:t>
      </w:r>
      <w:r w:rsidRPr="00923D77">
        <w:t xml:space="preserve"> prepreka pri realizaciji investicijskih projekata</w:t>
      </w:r>
      <w:r>
        <w:t>,</w:t>
      </w:r>
      <w:r w:rsidRPr="00923D77">
        <w:t xml:space="preserve"> i to </w:t>
      </w:r>
      <w:r>
        <w:t>po</w:t>
      </w:r>
      <w:r w:rsidRPr="00923D77">
        <w:t xml:space="preserve">najviše </w:t>
      </w:r>
      <w:r w:rsidRPr="00923D77">
        <w:rPr>
          <w:rFonts w:eastAsia="MS Mincho"/>
          <w:lang w:eastAsia="ja-JP"/>
        </w:rPr>
        <w:t>izmjenama zakonodavnog i institucionalnog okvira za ulaganja, a s ciljem pojednostavljenja i ubrzanja administrativnih postupaka vezanih uz investicije.</w:t>
      </w:r>
      <w:r>
        <w:rPr>
          <w:rFonts w:eastAsia="MS Mincho"/>
          <w:lang w:eastAsia="ja-JP"/>
        </w:rPr>
        <w:t xml:space="preserve"> </w:t>
      </w:r>
      <w:r w:rsidRPr="00923D77">
        <w:rPr>
          <w:bCs/>
        </w:rPr>
        <w:t xml:space="preserve">Zakonom o poticanju i unaprjeđenju investicijskog </w:t>
      </w:r>
      <w:r w:rsidRPr="00F5458F">
        <w:rPr>
          <w:bCs/>
        </w:rPr>
        <w:t>okruženja RH je osigurala</w:t>
      </w:r>
      <w:r w:rsidRPr="00923D77">
        <w:rPr>
          <w:bCs/>
        </w:rPr>
        <w:t xml:space="preserve"> potreban pravni okvir kojim će se stvoriti pret</w:t>
      </w:r>
      <w:r>
        <w:rPr>
          <w:bCs/>
        </w:rPr>
        <w:t>postavke za povećanje broja</w:t>
      </w:r>
      <w:r w:rsidRPr="00923D77">
        <w:rPr>
          <w:bCs/>
        </w:rPr>
        <w:t xml:space="preserve"> i kva</w:t>
      </w:r>
      <w:r>
        <w:rPr>
          <w:bCs/>
        </w:rPr>
        <w:t>litete</w:t>
      </w:r>
      <w:r w:rsidRPr="00923D77">
        <w:rPr>
          <w:bCs/>
        </w:rPr>
        <w:t xml:space="preserve"> investicijskih projekata koji će se realizirati u RH radi unosa nove opreme i suvremenih tehnologija, veće zaposlenosti i izobrazbe zaposlenika, razvoja proizvoda i usluga više dodane vrijednosti, povećanja poduzetničke konkurentnosti, ravnomjernog regionalnog razvoja RH te učinkovitijeg raspolaganja resursima i korištenja teritorijalnog kapitala.</w:t>
      </w:r>
      <w:r w:rsidRPr="00923D77">
        <w:t xml:space="preserve">  </w:t>
      </w:r>
    </w:p>
    <w:p w:rsidR="000C1520" w:rsidRPr="00E3779F" w:rsidRDefault="000C1520" w:rsidP="00923D77">
      <w:pPr>
        <w:spacing w:line="360" w:lineRule="auto"/>
        <w:jc w:val="both"/>
        <w:rPr>
          <w:rFonts w:cs="Calibri"/>
        </w:rPr>
      </w:pPr>
      <w:r w:rsidRPr="005F07EA">
        <w:t>Poticanje investicija i unaprjeđenja investicijskog okruženja u RH u smislu</w:t>
      </w:r>
      <w:r w:rsidR="00671FBC" w:rsidRPr="005F07EA">
        <w:t xml:space="preserve"> gore navedenog</w:t>
      </w:r>
      <w:r w:rsidRPr="005F07EA">
        <w:t xml:space="preserve"> Zakona </w:t>
      </w:r>
      <w:r w:rsidRPr="00923D77">
        <w:t xml:space="preserve">predstavlja sustav poticajnih mjera za </w:t>
      </w:r>
      <w:r>
        <w:t xml:space="preserve">investiranje i </w:t>
      </w:r>
      <w:r w:rsidRPr="00923D77">
        <w:t xml:space="preserve">pravodobno ostvarenje potrebnih investicijskih aktivnosti. </w:t>
      </w:r>
      <w:r w:rsidRPr="00E3779F">
        <w:t>Zakonom su propisani p</w:t>
      </w:r>
      <w:r w:rsidRPr="00E3779F">
        <w:rPr>
          <w:rFonts w:eastAsia="MS PGothic" w:cs="Arial"/>
          <w:bCs/>
          <w:kern w:val="24"/>
        </w:rPr>
        <w:t>oticaji za mikro poduzetnike, porezni poticaji, poticaji za otvaranje novih radnih mjesta, poticaji za usavršavanje povezano s investicijom</w:t>
      </w:r>
      <w:r w:rsidRPr="00E3779F">
        <w:t xml:space="preserve">, </w:t>
      </w:r>
      <w:r w:rsidRPr="00E3779F">
        <w:rPr>
          <w:rFonts w:eastAsia="MS PGothic" w:cs="Arial"/>
          <w:bCs/>
          <w:kern w:val="24"/>
        </w:rPr>
        <w:t>poticajne mjere za djelatnosti s povećanom dodanom vrijednošću</w:t>
      </w:r>
      <w:r w:rsidRPr="00E3779F">
        <w:t>, p</w:t>
      </w:r>
      <w:r w:rsidRPr="00E3779F">
        <w:rPr>
          <w:rFonts w:eastAsia="MS PGothic" w:cs="Arial"/>
          <w:bCs/>
          <w:kern w:val="24"/>
        </w:rPr>
        <w:t>oticajne mjere za kapitalne troškove investicijskog projekta</w:t>
      </w:r>
      <w:r w:rsidRPr="00E3779F">
        <w:t xml:space="preserve"> i p</w:t>
      </w:r>
      <w:r w:rsidRPr="00E3779F">
        <w:rPr>
          <w:rFonts w:eastAsia="MS PGothic" w:cs="Arial"/>
          <w:bCs/>
          <w:kern w:val="24"/>
        </w:rPr>
        <w:t>oticajne mjere za radno intenzivne investicijske projekte.</w:t>
      </w:r>
      <w:r w:rsidRPr="00E3779F">
        <w:t xml:space="preserve">  Poticajne mjere uređene predmetnim Zakonom odnose se na projekte investiranja i jačanja konkurentske sposobnosti u </w:t>
      </w:r>
      <w:r w:rsidRPr="00E3779F">
        <w:rPr>
          <w:rFonts w:cs="Calibri"/>
        </w:rPr>
        <w:t>proizvodno-prerađivačkim aktivnostima, razvojno-inovacijskim aktivnostima</w:t>
      </w:r>
      <w:r>
        <w:rPr>
          <w:rFonts w:cs="Calibri"/>
        </w:rPr>
        <w:t>, aktivnostima poslovne podrške te</w:t>
      </w:r>
      <w:r w:rsidRPr="00E3779F">
        <w:rPr>
          <w:rFonts w:cs="Calibri"/>
        </w:rPr>
        <w:t xml:space="preserve"> </w:t>
      </w:r>
      <w:r w:rsidRPr="00E3779F">
        <w:rPr>
          <w:rFonts w:cs="Calibri"/>
        </w:rPr>
        <w:lastRenderedPageBreak/>
        <w:t>aktivnostima usluga visoke dodane vrijednost</w:t>
      </w:r>
      <w:r>
        <w:rPr>
          <w:rFonts w:cs="Calibri"/>
        </w:rPr>
        <w:t>i</w:t>
      </w:r>
      <w:r w:rsidRPr="00E3779F">
        <w:rPr>
          <w:rFonts w:cs="Calibri"/>
        </w:rPr>
        <w:t>. Ključni uvjet za ostvarivanje potpore je podnošenje prijave za korištenje poticajnih mjera prije početka investicije, a Zakon predviđa dva načina iz</w:t>
      </w:r>
      <w:r>
        <w:rPr>
          <w:rFonts w:cs="Calibri"/>
        </w:rPr>
        <w:t>računa početne investicije i to na temelju troškova ulaganja (</w:t>
      </w:r>
      <w:r w:rsidRPr="00E3779F">
        <w:rPr>
          <w:rFonts w:cs="Calibri"/>
        </w:rPr>
        <w:t>materijalna i nematerijalna imovina</w:t>
      </w:r>
      <w:r>
        <w:rPr>
          <w:rFonts w:cs="Calibri"/>
        </w:rPr>
        <w:t>)</w:t>
      </w:r>
      <w:r w:rsidRPr="00E3779F">
        <w:rPr>
          <w:rFonts w:cs="Calibri"/>
        </w:rPr>
        <w:t xml:space="preserve"> ili na temelju troškova plaće.</w:t>
      </w:r>
    </w:p>
    <w:p w:rsidR="000C1520" w:rsidRDefault="000C1520" w:rsidP="00923D77">
      <w:pPr>
        <w:spacing w:line="360" w:lineRule="auto"/>
        <w:jc w:val="both"/>
        <w:rPr>
          <w:rFonts w:cs="Calibri"/>
        </w:rPr>
      </w:pPr>
      <w:r>
        <w:rPr>
          <w:rFonts w:cs="Calibri"/>
        </w:rPr>
        <w:t>Također, usvojen je i poseban z</w:t>
      </w:r>
      <w:r w:rsidRPr="00E3779F">
        <w:rPr>
          <w:rFonts w:cs="Calibri"/>
        </w:rPr>
        <w:t>akon (</w:t>
      </w:r>
      <w:proofErr w:type="spellStart"/>
      <w:r w:rsidRPr="00ED2787">
        <w:rPr>
          <w:rFonts w:cs="Calibri"/>
          <w:i/>
        </w:rPr>
        <w:t>lex</w:t>
      </w:r>
      <w:proofErr w:type="spellEnd"/>
      <w:r w:rsidRPr="00ED2787">
        <w:rPr>
          <w:rFonts w:cs="Calibri"/>
          <w:i/>
        </w:rPr>
        <w:t xml:space="preserve"> </w:t>
      </w:r>
      <w:proofErr w:type="spellStart"/>
      <w:r w:rsidRPr="00ED2787">
        <w:rPr>
          <w:rFonts w:cs="Calibri"/>
          <w:i/>
        </w:rPr>
        <w:t>specialis</w:t>
      </w:r>
      <w:proofErr w:type="spellEnd"/>
      <w:r w:rsidRPr="00E3779F">
        <w:rPr>
          <w:rFonts w:cs="Calibri"/>
        </w:rPr>
        <w:t xml:space="preserve">) </w:t>
      </w:r>
      <w:r>
        <w:rPr>
          <w:rFonts w:cs="Calibri"/>
        </w:rPr>
        <w:t>- Zakon</w:t>
      </w:r>
      <w:r w:rsidRPr="00E3779F">
        <w:rPr>
          <w:rFonts w:cs="Calibri"/>
        </w:rPr>
        <w:t xml:space="preserve"> o strateškim investicijskim projektima RH,</w:t>
      </w:r>
      <w:r w:rsidRPr="00E3779F">
        <w:rPr>
          <w:rFonts w:ascii="Arial" w:hAnsi="Arial" w:cs="Arial"/>
        </w:rPr>
        <w:t xml:space="preserve"> </w:t>
      </w:r>
      <w:r>
        <w:rPr>
          <w:rFonts w:cs="Arial"/>
        </w:rPr>
        <w:t>a u svrhu</w:t>
      </w:r>
      <w:r w:rsidRPr="00E3779F">
        <w:rPr>
          <w:rFonts w:cs="Arial"/>
        </w:rPr>
        <w:t xml:space="preserve"> ubrz</w:t>
      </w:r>
      <w:r>
        <w:rPr>
          <w:rFonts w:cs="Arial"/>
        </w:rPr>
        <w:t>anja investicijskih aktivnosti te</w:t>
      </w:r>
      <w:r w:rsidRPr="00E3779F">
        <w:rPr>
          <w:rFonts w:cs="Arial"/>
        </w:rPr>
        <w:t xml:space="preserve"> pojedno</w:t>
      </w:r>
      <w:r>
        <w:rPr>
          <w:rFonts w:cs="Arial"/>
        </w:rPr>
        <w:t>stavljenja i skraćenja postupaka</w:t>
      </w:r>
      <w:r w:rsidRPr="00E3779F">
        <w:rPr>
          <w:rFonts w:cs="Arial"/>
        </w:rPr>
        <w:t xml:space="preserve"> realizacije takvih projekata. </w:t>
      </w:r>
      <w:r>
        <w:rPr>
          <w:rFonts w:cs="Calibri"/>
        </w:rPr>
        <w:t xml:space="preserve">Svrha </w:t>
      </w:r>
      <w:r w:rsidRPr="005F07EA">
        <w:rPr>
          <w:rFonts w:cs="Calibri"/>
        </w:rPr>
        <w:t xml:space="preserve">donošenja </w:t>
      </w:r>
      <w:r w:rsidR="00671FBC" w:rsidRPr="005F07EA">
        <w:rPr>
          <w:rFonts w:cs="Calibri"/>
        </w:rPr>
        <w:t>ovog</w:t>
      </w:r>
      <w:r w:rsidRPr="005F07EA">
        <w:rPr>
          <w:rFonts w:cs="Calibri"/>
        </w:rPr>
        <w:t xml:space="preserve"> Zakona je osigurati bržu realizaciju investicijskih projekata u prioritetnim sektorima za RH, strateškim nišama </w:t>
      </w:r>
      <w:r>
        <w:rPr>
          <w:rFonts w:cs="Calibri"/>
        </w:rPr>
        <w:t>unutar sektora i potpomognutim</w:t>
      </w:r>
      <w:r w:rsidRPr="00E3779F">
        <w:rPr>
          <w:rFonts w:cs="Calibri"/>
        </w:rPr>
        <w:t xml:space="preserve"> područj</w:t>
      </w:r>
      <w:r>
        <w:rPr>
          <w:rFonts w:cs="Calibri"/>
        </w:rPr>
        <w:t xml:space="preserve">ima </w:t>
      </w:r>
      <w:r w:rsidRPr="00E3779F">
        <w:rPr>
          <w:rFonts w:cs="Calibri"/>
        </w:rPr>
        <w:t xml:space="preserve">RH. </w:t>
      </w:r>
    </w:p>
    <w:p w:rsidR="000C1520" w:rsidRDefault="000C1520" w:rsidP="00923D77">
      <w:pPr>
        <w:spacing w:line="360" w:lineRule="auto"/>
        <w:jc w:val="both"/>
        <w:rPr>
          <w:rFonts w:cs="Calibri"/>
        </w:rPr>
      </w:pPr>
      <w:r>
        <w:rPr>
          <w:rFonts w:cs="Calibri"/>
        </w:rPr>
        <w:t>Iako</w:t>
      </w:r>
      <w:r w:rsidRPr="00DB1FE9">
        <w:rPr>
          <w:rFonts w:cs="Calibri"/>
        </w:rPr>
        <w:t xml:space="preserve"> Republika Hrvatska ima zakonodavni pravni i fiskalni okvir koji potiče investicije i konkurentan je u usporedbi sa zemljama u okruženju, problem za investitore predstavlja raskorak između propisa i stvarnosti, kao i stalno mijenjanje istih. Glavni prigovor stranih investitora tiče se upravo raskoraka</w:t>
      </w:r>
      <w:r>
        <w:rPr>
          <w:rFonts w:cs="Calibri"/>
        </w:rPr>
        <w:t xml:space="preserve"> između onog što je regulirano</w:t>
      </w:r>
      <w:r w:rsidRPr="00DB1FE9">
        <w:rPr>
          <w:rFonts w:cs="Calibri"/>
        </w:rPr>
        <w:t xml:space="preserve"> propisima i onoga što se zbiva u stvarnom životu, a odnosi se na nepoštivanje postojećih pravila i zakonodavnog okvira. Kako bi investitori u budućnosti imali povjerenje u pravnu sigurnost RH</w:t>
      </w:r>
      <w:r>
        <w:rPr>
          <w:rFonts w:cs="Calibri"/>
        </w:rPr>
        <w:t>, potrebno je postići</w:t>
      </w:r>
      <w:r w:rsidRPr="00DB1FE9">
        <w:rPr>
          <w:rFonts w:cs="Calibri"/>
        </w:rPr>
        <w:t xml:space="preserve"> nacionalni konsenzus oko zakonodavnog i fiskalnog okvira relevantnog za poticanje investicija.</w:t>
      </w:r>
    </w:p>
    <w:p w:rsidR="000C1520" w:rsidRPr="00671FBC" w:rsidRDefault="00671FBC" w:rsidP="00671FBC">
      <w:pPr>
        <w:pStyle w:val="ListParagraph"/>
        <w:numPr>
          <w:ilvl w:val="0"/>
          <w:numId w:val="39"/>
        </w:numPr>
        <w:spacing w:line="360" w:lineRule="auto"/>
        <w:jc w:val="both"/>
        <w:rPr>
          <w:b/>
          <w:i/>
          <w:color w:val="FF0000"/>
        </w:rPr>
      </w:pPr>
      <w:r w:rsidRPr="00671FBC">
        <w:rPr>
          <w:b/>
          <w:i/>
          <w:color w:val="FF0000"/>
        </w:rPr>
        <w:t xml:space="preserve">RH </w:t>
      </w:r>
      <w:r w:rsidR="000C1520" w:rsidRPr="00671FBC">
        <w:rPr>
          <w:b/>
          <w:i/>
          <w:color w:val="FF0000"/>
        </w:rPr>
        <w:t xml:space="preserve">ima povoljan geostrateški položaj, značajan teritorijalni kapital i dio je EU tržišta  </w:t>
      </w:r>
    </w:p>
    <w:p w:rsidR="000C1520" w:rsidRPr="001C0D9F" w:rsidRDefault="000C1520" w:rsidP="00AF6936">
      <w:pPr>
        <w:spacing w:before="120" w:line="360" w:lineRule="auto"/>
        <w:jc w:val="both"/>
        <w:rPr>
          <w:rFonts w:cs="Calibri"/>
        </w:rPr>
      </w:pPr>
      <w:r w:rsidRPr="001C0D9F">
        <w:rPr>
          <w:rFonts w:cs="Calibri"/>
        </w:rPr>
        <w:t>Geostrateški položaj RH jedan je od glavnih čimbenika za odabir Hrvatske kao lokacije za inv</w:t>
      </w:r>
      <w:r>
        <w:rPr>
          <w:rFonts w:cs="Calibri"/>
        </w:rPr>
        <w:t>esticije. Prostorna struktura</w:t>
      </w:r>
      <w:r w:rsidRPr="001C0D9F">
        <w:rPr>
          <w:rFonts w:cs="Calibri"/>
        </w:rPr>
        <w:t xml:space="preserve"> hrvatskog teritorija izravno potvrđuje značenje veza između srednjeg Podunavlja i Sredozemlja te važnost nje</w:t>
      </w:r>
      <w:r>
        <w:rPr>
          <w:rFonts w:cs="Calibri"/>
        </w:rPr>
        <w:t>zinog</w:t>
      </w:r>
      <w:r w:rsidRPr="001C0D9F">
        <w:rPr>
          <w:rFonts w:cs="Calibri"/>
        </w:rPr>
        <w:t xml:space="preserve"> prometnog položaja. Od RH se</w:t>
      </w:r>
      <w:r>
        <w:rPr>
          <w:rFonts w:cs="Calibri"/>
        </w:rPr>
        <w:t xml:space="preserve"> u budućnosti očekuje da ima ulogu</w:t>
      </w:r>
      <w:r w:rsidRPr="001C0D9F">
        <w:rPr>
          <w:rFonts w:cs="Calibri"/>
        </w:rPr>
        <w:t xml:space="preserve"> </w:t>
      </w:r>
      <w:r>
        <w:rPr>
          <w:rFonts w:cs="Calibri"/>
        </w:rPr>
        <w:t>transverzalnih vrata Europe prema Jugoistočnoj Europi i Mediteranu. Stvaranje</w:t>
      </w:r>
      <w:r w:rsidRPr="001C0D9F">
        <w:rPr>
          <w:rFonts w:cs="Calibri"/>
        </w:rPr>
        <w:t xml:space="preserve"> promet</w:t>
      </w:r>
      <w:r>
        <w:rPr>
          <w:rFonts w:cs="Calibri"/>
        </w:rPr>
        <w:t>ne politike koja će vrednovati</w:t>
      </w:r>
      <w:r w:rsidRPr="001C0D9F">
        <w:rPr>
          <w:rFonts w:cs="Calibri"/>
        </w:rPr>
        <w:t xml:space="preserve"> položaj RH</w:t>
      </w:r>
      <w:r>
        <w:rPr>
          <w:rFonts w:cs="Calibri"/>
        </w:rPr>
        <w:t xml:space="preserve"> od iznimnog je značaja</w:t>
      </w:r>
      <w:r w:rsidRPr="001C0D9F">
        <w:rPr>
          <w:rFonts w:cs="Calibri"/>
        </w:rPr>
        <w:t xml:space="preserve">. </w:t>
      </w:r>
    </w:p>
    <w:p w:rsidR="000C1520" w:rsidRPr="001C0D9F" w:rsidRDefault="000C1520" w:rsidP="00AF6936">
      <w:pPr>
        <w:spacing w:before="120" w:line="360" w:lineRule="auto"/>
        <w:jc w:val="both"/>
        <w:rPr>
          <w:rFonts w:cs="Calibri"/>
        </w:rPr>
      </w:pPr>
      <w:r w:rsidRPr="001C0D9F">
        <w:rPr>
          <w:rFonts w:cs="Calibri"/>
        </w:rPr>
        <w:t xml:space="preserve">Republika Hrvatska ima malo lokalno tržište i može ga povećati samo integracijom u regionalna udruženja. Ulaskom RH u Europsku uniju, Hrvatska je postala integralni dio tržišta </w:t>
      </w:r>
      <w:r>
        <w:rPr>
          <w:rFonts w:cs="Calibri"/>
        </w:rPr>
        <w:t xml:space="preserve">s </w:t>
      </w:r>
      <w:r w:rsidRPr="001C0D9F">
        <w:rPr>
          <w:rFonts w:cs="Calibri"/>
        </w:rPr>
        <w:t>više od 500 miliju</w:t>
      </w:r>
      <w:r>
        <w:rPr>
          <w:rFonts w:cs="Calibri"/>
        </w:rPr>
        <w:t>na ljudi čime se znatno povećao</w:t>
      </w:r>
      <w:r w:rsidRPr="001C0D9F">
        <w:rPr>
          <w:rFonts w:cs="Calibri"/>
        </w:rPr>
        <w:t xml:space="preserve"> nje</w:t>
      </w:r>
      <w:r>
        <w:rPr>
          <w:rFonts w:cs="Calibri"/>
        </w:rPr>
        <w:t>zin potencijal</w:t>
      </w:r>
      <w:r w:rsidRPr="001C0D9F">
        <w:rPr>
          <w:rFonts w:cs="Calibri"/>
        </w:rPr>
        <w:t xml:space="preserve"> za privlačenje izravnih (stranih) investicija. </w:t>
      </w:r>
    </w:p>
    <w:p w:rsidR="005F07EA" w:rsidRPr="00ED2787" w:rsidRDefault="000C1520" w:rsidP="00AF6936">
      <w:pPr>
        <w:pStyle w:val="NoSpacing"/>
        <w:spacing w:before="120" w:line="360" w:lineRule="auto"/>
        <w:jc w:val="both"/>
        <w:rPr>
          <w:rFonts w:cs="Calibri"/>
          <w:lang w:val="hr-HR"/>
        </w:rPr>
      </w:pPr>
      <w:r w:rsidRPr="00ED2787">
        <w:rPr>
          <w:rFonts w:cs="Calibri"/>
          <w:lang w:val="hr-HR"/>
        </w:rPr>
        <w:t xml:space="preserve">Teritorijalni je kapital Republike Hrvatske specifičan. Posjedujemo šumsko i poljoprivredno zemljište, rudno bogatstvo, turističke resurse kao i obrazovanu radnu snagu. Regionalnu raznolikost ističu geografske osobine jadranskog, gorskog, </w:t>
      </w:r>
      <w:proofErr w:type="spellStart"/>
      <w:r w:rsidRPr="00ED2787">
        <w:rPr>
          <w:rFonts w:cs="Calibri"/>
          <w:lang w:val="hr-HR"/>
        </w:rPr>
        <w:t>peripanonskog</w:t>
      </w:r>
      <w:proofErr w:type="spellEnd"/>
      <w:r w:rsidRPr="00ED2787">
        <w:rPr>
          <w:rFonts w:cs="Calibri"/>
          <w:lang w:val="hr-HR"/>
        </w:rPr>
        <w:t xml:space="preserve"> i panonskog prostora. Važno je napomenuti da RH ima razvijenu prometnu, poslovnu i telekomunikacijsku infrastrukturu koja predstavlja dodatnu osnovu za privlačenje investicija, kao i razvijen bankarski i uslužni sektor, te niz poslovnih potpornih institucija. Veliki je značaj i obalnog i morskog područja RH za privlačenje investicija </w:t>
      </w:r>
      <w:r w:rsidRPr="00ED2787">
        <w:rPr>
          <w:rFonts w:cs="Calibri"/>
          <w:lang w:val="hr-HR"/>
        </w:rPr>
        <w:lastRenderedPageBreak/>
        <w:t>(sukladno dokumentu E</w:t>
      </w:r>
      <w:r>
        <w:rPr>
          <w:rFonts w:cs="Calibri"/>
          <w:lang w:val="hr-HR"/>
        </w:rPr>
        <w:t>uropske komisije</w:t>
      </w:r>
      <w:r w:rsidRPr="00ED2787">
        <w:rPr>
          <w:rFonts w:cs="Calibri"/>
          <w:lang w:val="hr-HR"/>
        </w:rPr>
        <w:t xml:space="preserve"> „Plavi rast“</w:t>
      </w:r>
      <w:r>
        <w:rPr>
          <w:rFonts w:cs="Calibri"/>
          <w:lang w:val="hr-HR"/>
        </w:rPr>
        <w:t>,</w:t>
      </w:r>
      <w:r w:rsidRPr="00ED2787">
        <w:rPr>
          <w:rFonts w:cs="Calibri"/>
          <w:lang w:val="hr-HR"/>
        </w:rPr>
        <w:t xml:space="preserve"> obalno i morsko područje RH od iznimnog je interesa i ima velik potencijal). </w:t>
      </w:r>
    </w:p>
    <w:p w:rsidR="000C1520" w:rsidRPr="00671FBC" w:rsidRDefault="000C1520" w:rsidP="00671FBC">
      <w:pPr>
        <w:pStyle w:val="ListParagraph"/>
        <w:numPr>
          <w:ilvl w:val="0"/>
          <w:numId w:val="39"/>
        </w:numPr>
        <w:spacing w:before="120" w:line="360" w:lineRule="auto"/>
        <w:jc w:val="both"/>
        <w:rPr>
          <w:rFonts w:cs="Calibri"/>
          <w:b/>
          <w:i/>
          <w:color w:val="FF0000"/>
        </w:rPr>
      </w:pPr>
      <w:r w:rsidRPr="00671FBC">
        <w:rPr>
          <w:rFonts w:cs="Calibri"/>
          <w:b/>
          <w:bCs/>
          <w:i/>
          <w:color w:val="FF0000"/>
        </w:rPr>
        <w:t xml:space="preserve">Prema </w:t>
      </w:r>
      <w:r w:rsidRPr="00671FBC">
        <w:rPr>
          <w:rFonts w:cs="Calibri"/>
          <w:b/>
          <w:i/>
          <w:color w:val="FF0000"/>
        </w:rPr>
        <w:t>procjenama konkurentnosti hrvatskog gospodarstva na međunarodnoj razini potrebno je dodatne napore usmjeriti na povećanje konkurentnosti</w:t>
      </w:r>
    </w:p>
    <w:p w:rsidR="000C1520" w:rsidRPr="001C0D9F" w:rsidRDefault="000C1520" w:rsidP="00AF6936">
      <w:pPr>
        <w:spacing w:before="120" w:line="360" w:lineRule="auto"/>
        <w:jc w:val="both"/>
        <w:rPr>
          <w:rFonts w:cs="Calibri"/>
        </w:rPr>
      </w:pPr>
      <w:r w:rsidRPr="008E76D8">
        <w:rPr>
          <w:rFonts w:cs="PFDinTextPro-Light"/>
        </w:rPr>
        <w:t>Prema rezultatima Izvješća o globalnoj konkurentnosti (</w:t>
      </w:r>
      <w:r w:rsidRPr="008E76D8">
        <w:rPr>
          <w:rFonts w:cs="Calibri"/>
        </w:rPr>
        <w:t xml:space="preserve">GCR) </w:t>
      </w:r>
      <w:r w:rsidR="00B06BCB" w:rsidRPr="008E76D8">
        <w:rPr>
          <w:rFonts w:cs="Calibri"/>
        </w:rPr>
        <w:t>201</w:t>
      </w:r>
      <w:r w:rsidR="00B06BCB">
        <w:rPr>
          <w:rFonts w:cs="Calibri"/>
        </w:rPr>
        <w:t>3</w:t>
      </w:r>
      <w:r>
        <w:rPr>
          <w:rFonts w:cs="Calibri"/>
        </w:rPr>
        <w:t>. –</w:t>
      </w:r>
      <w:r w:rsidR="00B06BCB">
        <w:rPr>
          <w:rFonts w:cs="Calibri"/>
        </w:rPr>
        <w:t xml:space="preserve"> 2014</w:t>
      </w:r>
      <w:r>
        <w:rPr>
          <w:rFonts w:cs="Calibri"/>
        </w:rPr>
        <w:t xml:space="preserve">. </w:t>
      </w:r>
      <w:r w:rsidRPr="008E76D8">
        <w:rPr>
          <w:rFonts w:cs="Calibri"/>
          <w:vertAlign w:val="superscript"/>
        </w:rPr>
        <w:footnoteReference w:id="25"/>
      </w:r>
      <w:r w:rsidRPr="001C0D9F">
        <w:rPr>
          <w:rFonts w:cs="Calibri"/>
        </w:rPr>
        <w:t xml:space="preserve">  koje priprema Svjetsk</w:t>
      </w:r>
      <w:r>
        <w:rPr>
          <w:rFonts w:cs="Calibri"/>
        </w:rPr>
        <w:t xml:space="preserve">i gospodarski forum, provedena je analiza </w:t>
      </w:r>
      <w:r w:rsidRPr="001C0D9F">
        <w:rPr>
          <w:rFonts w:cs="Calibri"/>
        </w:rPr>
        <w:t>konkurentnost</w:t>
      </w:r>
      <w:r>
        <w:rPr>
          <w:rFonts w:cs="Calibri"/>
        </w:rPr>
        <w:t>i</w:t>
      </w:r>
      <w:r w:rsidRPr="001C0D9F">
        <w:rPr>
          <w:rFonts w:cs="Calibri"/>
        </w:rPr>
        <w:t xml:space="preserve"> </w:t>
      </w:r>
      <w:r w:rsidR="00B06BCB" w:rsidRPr="001C0D9F">
        <w:rPr>
          <w:rFonts w:cs="Calibri"/>
        </w:rPr>
        <w:t>14</w:t>
      </w:r>
      <w:r w:rsidR="00B06BCB">
        <w:rPr>
          <w:rFonts w:cs="Calibri"/>
        </w:rPr>
        <w:t>8</w:t>
      </w:r>
      <w:r w:rsidR="00B06BCB" w:rsidRPr="001C0D9F">
        <w:rPr>
          <w:rFonts w:cs="Calibri"/>
        </w:rPr>
        <w:t xml:space="preserve"> </w:t>
      </w:r>
      <w:r w:rsidRPr="001C0D9F">
        <w:rPr>
          <w:rFonts w:cs="Calibri"/>
        </w:rPr>
        <w:t xml:space="preserve">zemlje/gospodarstva tako da ih se svrstava u skladu s njihovim položajem u tri različite </w:t>
      </w:r>
      <w:r>
        <w:rPr>
          <w:rFonts w:cs="Calibri"/>
        </w:rPr>
        <w:t>razvojne faze</w:t>
      </w:r>
      <w:r w:rsidRPr="001C0D9F">
        <w:rPr>
          <w:rFonts w:cs="Calibri"/>
        </w:rPr>
        <w:t>, ovisno o kombinaciji makroekonomskih i mikroekonomskih pokazatelja i institucionalnih čimbenika. Hrvatska se nalazi u skupini zemalja koje su u prijelaz</w:t>
      </w:r>
      <w:r>
        <w:rPr>
          <w:rFonts w:cs="Calibri"/>
        </w:rPr>
        <w:t>noj fazi iz „</w:t>
      </w:r>
      <w:r w:rsidRPr="001C0D9F">
        <w:rPr>
          <w:rFonts w:cs="Calibri"/>
        </w:rPr>
        <w:t>gospodars</w:t>
      </w:r>
      <w:r>
        <w:rPr>
          <w:rFonts w:cs="Calibri"/>
        </w:rPr>
        <w:t>tva temeljenog na učinkovitosti“ prema „</w:t>
      </w:r>
      <w:r w:rsidRPr="001C0D9F">
        <w:rPr>
          <w:rFonts w:cs="Calibri"/>
        </w:rPr>
        <w:t>gospoda</w:t>
      </w:r>
      <w:r>
        <w:rPr>
          <w:rFonts w:cs="Calibri"/>
        </w:rPr>
        <w:t>rstvu temeljenom na inovacijama“</w:t>
      </w:r>
      <w:r w:rsidRPr="001C0D9F">
        <w:rPr>
          <w:rFonts w:cs="Calibri"/>
        </w:rPr>
        <w:t xml:space="preserve">. S </w:t>
      </w:r>
      <w:r w:rsidRPr="00DA60F7">
        <w:rPr>
          <w:rFonts w:cs="Calibri"/>
        </w:rPr>
        <w:t>globalnim indeks</w:t>
      </w:r>
      <w:r>
        <w:rPr>
          <w:rFonts w:cs="Calibri"/>
        </w:rPr>
        <w:t xml:space="preserve">om konkurentnosti (GCI) od </w:t>
      </w:r>
      <w:r w:rsidR="00B06BCB">
        <w:rPr>
          <w:rFonts w:cs="Calibri"/>
        </w:rPr>
        <w:t>4,13</w:t>
      </w:r>
      <w:r w:rsidRPr="00DA60F7">
        <w:rPr>
          <w:rFonts w:cs="Calibri"/>
        </w:rPr>
        <w:t xml:space="preserve">Hrvatska je zauzela </w:t>
      </w:r>
      <w:r w:rsidR="00B06BCB">
        <w:rPr>
          <w:rFonts w:cs="Calibri"/>
        </w:rPr>
        <w:t>75</w:t>
      </w:r>
      <w:r w:rsidRPr="00DA60F7">
        <w:rPr>
          <w:rFonts w:cs="Calibri"/>
        </w:rPr>
        <w:t>. mjesto od postojeća</w:t>
      </w:r>
      <w:r w:rsidR="00B06BCB">
        <w:rPr>
          <w:rFonts w:cs="Calibri"/>
        </w:rPr>
        <w:t>148</w:t>
      </w:r>
      <w:r w:rsidRPr="00DA60F7">
        <w:rPr>
          <w:rFonts w:cs="Calibri"/>
        </w:rPr>
        <w:t>. Usporedbom</w:t>
      </w:r>
      <w:r>
        <w:rPr>
          <w:rFonts w:cs="Calibri"/>
        </w:rPr>
        <w:t xml:space="preserve"> s prethodnim godinama,</w:t>
      </w:r>
      <w:r w:rsidRPr="001C0D9F">
        <w:rPr>
          <w:rFonts w:cs="Calibri"/>
        </w:rPr>
        <w:t xml:space="preserve"> </w:t>
      </w:r>
      <w:r>
        <w:rPr>
          <w:rFonts w:cs="Calibri"/>
        </w:rPr>
        <w:t>kada je Hrvatska zauzimala</w:t>
      </w:r>
      <w:r w:rsidR="00D31597">
        <w:rPr>
          <w:rFonts w:cs="Calibri"/>
        </w:rPr>
        <w:t xml:space="preserve"> </w:t>
      </w:r>
      <w:r w:rsidR="00B06BCB">
        <w:rPr>
          <w:rFonts w:cs="Calibri"/>
        </w:rPr>
        <w:t>81. Mjesto u 2012.</w:t>
      </w:r>
      <w:r w:rsidR="00D31597">
        <w:rPr>
          <w:rFonts w:cs="Calibri"/>
        </w:rPr>
        <w:t xml:space="preserve"> </w:t>
      </w:r>
      <w:r w:rsidR="00B06BCB">
        <w:rPr>
          <w:rFonts w:cs="Calibri"/>
        </w:rPr>
        <w:t xml:space="preserve">godini, </w:t>
      </w:r>
      <w:r>
        <w:rPr>
          <w:rFonts w:cs="Calibri"/>
        </w:rPr>
        <w:t xml:space="preserve"> </w:t>
      </w:r>
      <w:r w:rsidRPr="001C0D9F">
        <w:rPr>
          <w:rFonts w:cs="Calibri"/>
        </w:rPr>
        <w:t>76. mjesto u 2011. (od 142), 77. mjesto (od 139) u 2010</w:t>
      </w:r>
      <w:r>
        <w:rPr>
          <w:rFonts w:cs="Calibri"/>
        </w:rPr>
        <w:t>.</w:t>
      </w:r>
      <w:r w:rsidRPr="001C0D9F">
        <w:rPr>
          <w:rFonts w:cs="Calibri"/>
        </w:rPr>
        <w:t>, 72. mjesto u 2009</w:t>
      </w:r>
      <w:r>
        <w:rPr>
          <w:rFonts w:cs="Calibri"/>
        </w:rPr>
        <w:t>.</w:t>
      </w:r>
      <w:r w:rsidRPr="001C0D9F">
        <w:rPr>
          <w:rFonts w:cs="Calibri"/>
        </w:rPr>
        <w:t xml:space="preserve"> (od 133), 61. mj</w:t>
      </w:r>
      <w:r>
        <w:rPr>
          <w:rFonts w:cs="Calibri"/>
        </w:rPr>
        <w:t>esto u 2008. (od 130), očit</w:t>
      </w:r>
      <w:r w:rsidRPr="001C0D9F">
        <w:rPr>
          <w:rFonts w:cs="Calibri"/>
        </w:rPr>
        <w:t xml:space="preserve"> je pad na ljestvici globalne konkurentnosti gospodarstva. </w:t>
      </w:r>
      <w:r w:rsidR="00B06BCB">
        <w:rPr>
          <w:rFonts w:cs="Calibri"/>
        </w:rPr>
        <w:t>Izuzetak je 2013. godina u kojoj dolazi do</w:t>
      </w:r>
      <w:r w:rsidRPr="001C0D9F">
        <w:rPr>
          <w:rFonts w:cs="Calibri"/>
        </w:rPr>
        <w:t xml:space="preserve"> </w:t>
      </w:r>
      <w:r w:rsidR="00B06BCB">
        <w:rPr>
          <w:rFonts w:cs="Calibri"/>
        </w:rPr>
        <w:t xml:space="preserve">rasta konkurentnosti kojeg treba promatrati kao posljedicu ulaska Hrvatske u EU, </w:t>
      </w:r>
      <w:r w:rsidR="00A04F93">
        <w:rPr>
          <w:rFonts w:cs="Calibri"/>
        </w:rPr>
        <w:t>ali i nastavka negativnog trenda kod nekih zemalja.</w:t>
      </w:r>
    </w:p>
    <w:p w:rsidR="000C1520" w:rsidRPr="001C0D9F" w:rsidRDefault="000C1520" w:rsidP="00AF6936">
      <w:pPr>
        <w:spacing w:before="120" w:line="360" w:lineRule="auto"/>
        <w:jc w:val="both"/>
        <w:rPr>
          <w:rFonts w:cs="Calibri"/>
        </w:rPr>
      </w:pPr>
      <w:r>
        <w:rPr>
          <w:rFonts w:cs="Calibri"/>
        </w:rPr>
        <w:t xml:space="preserve">Kako bi ostalo konkurentno, hrvatsko je gospodarstvo </w:t>
      </w:r>
      <w:r w:rsidRPr="001C0D9F">
        <w:rPr>
          <w:rFonts w:cs="Calibri"/>
        </w:rPr>
        <w:t xml:space="preserve">potrebno </w:t>
      </w:r>
      <w:r>
        <w:rPr>
          <w:rFonts w:cs="Calibri"/>
        </w:rPr>
        <w:t>usredotočiti posebice</w:t>
      </w:r>
      <w:r w:rsidRPr="001C0D9F">
        <w:rPr>
          <w:rFonts w:cs="Calibri"/>
        </w:rPr>
        <w:t xml:space="preserve"> na povećanje poslovne</w:t>
      </w:r>
      <w:r w:rsidRPr="001C0D9F">
        <w:rPr>
          <w:rFonts w:cs="Calibri"/>
          <w:b/>
        </w:rPr>
        <w:t xml:space="preserve"> </w:t>
      </w:r>
      <w:r w:rsidRPr="00A360B5">
        <w:rPr>
          <w:rFonts w:cs="Calibri"/>
        </w:rPr>
        <w:t>sofisticiranosti i</w:t>
      </w:r>
      <w:r w:rsidRPr="001C0D9F">
        <w:rPr>
          <w:rFonts w:cs="Calibri"/>
        </w:rPr>
        <w:t xml:space="preserve"> komercijalizaciju inov</w:t>
      </w:r>
      <w:r>
        <w:rPr>
          <w:rFonts w:cs="Calibri"/>
        </w:rPr>
        <w:t>acija</w:t>
      </w:r>
      <w:r w:rsidRPr="001C0D9F">
        <w:rPr>
          <w:rFonts w:cs="Calibri"/>
        </w:rPr>
        <w:t>. Jačanje konkurentnosti Hrvatske u tom</w:t>
      </w:r>
      <w:r>
        <w:rPr>
          <w:rFonts w:cs="Calibri"/>
        </w:rPr>
        <w:t xml:space="preserve"> kontekstu</w:t>
      </w:r>
      <w:r w:rsidR="00671FBC">
        <w:rPr>
          <w:rFonts w:cs="Calibri"/>
        </w:rPr>
        <w:t>,</w:t>
      </w:r>
      <w:r>
        <w:rPr>
          <w:rFonts w:cs="Calibri"/>
        </w:rPr>
        <w:t xml:space="preserve"> uključuje usmjerenost</w:t>
      </w:r>
      <w:r w:rsidRPr="001C0D9F">
        <w:rPr>
          <w:rFonts w:cs="Calibri"/>
        </w:rPr>
        <w:t xml:space="preserve"> na </w:t>
      </w:r>
      <w:r>
        <w:rPr>
          <w:rFonts w:cs="Calibri"/>
        </w:rPr>
        <w:t>daljnje poboljšanje na području</w:t>
      </w:r>
      <w:r w:rsidRPr="001C0D9F">
        <w:rPr>
          <w:rFonts w:cs="Calibri"/>
        </w:rPr>
        <w:t xml:space="preserve"> inovativnosti, </w:t>
      </w:r>
      <w:r>
        <w:rPr>
          <w:rFonts w:cs="Calibri"/>
        </w:rPr>
        <w:t xml:space="preserve">na razvoj financijskog tržišta te na povećanje učinkovitosti institucija, </w:t>
      </w:r>
      <w:r w:rsidRPr="001C0D9F">
        <w:rPr>
          <w:rFonts w:cs="Calibri"/>
        </w:rPr>
        <w:t>tržišta rada i burza roba.</w:t>
      </w:r>
    </w:p>
    <w:p w:rsidR="000C1520" w:rsidRDefault="000C1520" w:rsidP="00AF6936">
      <w:pPr>
        <w:spacing w:before="120" w:line="360" w:lineRule="auto"/>
        <w:jc w:val="both"/>
        <w:rPr>
          <w:rFonts w:cs="Calibri"/>
        </w:rPr>
      </w:pPr>
      <w:r w:rsidRPr="001C0D9F">
        <w:rPr>
          <w:rFonts w:cs="Calibri"/>
        </w:rPr>
        <w:t>Hrvatski bruto domaći proi</w:t>
      </w:r>
      <w:r>
        <w:rPr>
          <w:rFonts w:cs="Calibri"/>
        </w:rPr>
        <w:t xml:space="preserve">zvod (BDP) po glavi stanovnika prema </w:t>
      </w:r>
      <w:proofErr w:type="spellStart"/>
      <w:r w:rsidRPr="00A360B5">
        <w:rPr>
          <w:rFonts w:cs="Calibri"/>
          <w:i/>
        </w:rPr>
        <w:t>Purchasing</w:t>
      </w:r>
      <w:proofErr w:type="spellEnd"/>
      <w:r w:rsidRPr="00A360B5">
        <w:rPr>
          <w:rFonts w:cs="Calibri"/>
          <w:i/>
        </w:rPr>
        <w:t xml:space="preserve"> Power </w:t>
      </w:r>
      <w:proofErr w:type="spellStart"/>
      <w:r w:rsidRPr="00A360B5">
        <w:rPr>
          <w:rFonts w:cs="Calibri"/>
          <w:i/>
        </w:rPr>
        <w:t>Standards</w:t>
      </w:r>
      <w:proofErr w:type="spellEnd"/>
      <w:r w:rsidRPr="00A360B5">
        <w:rPr>
          <w:rFonts w:cs="Calibri"/>
        </w:rPr>
        <w:t xml:space="preserve"> </w:t>
      </w:r>
      <w:r>
        <w:rPr>
          <w:rFonts w:cs="Calibri"/>
        </w:rPr>
        <w:t xml:space="preserve">(PPS) porastao je </w:t>
      </w:r>
      <w:r w:rsidRPr="009C0EBF">
        <w:rPr>
          <w:rFonts w:cs="Calibri"/>
        </w:rPr>
        <w:t>s 51. u 2001. na 61. u 2011. godini (63. u 2008</w:t>
      </w:r>
      <w:r>
        <w:rPr>
          <w:rFonts w:cs="Calibri"/>
        </w:rPr>
        <w:t>.</w:t>
      </w:r>
      <w:r w:rsidRPr="001C0D9F">
        <w:rPr>
          <w:rFonts w:cs="Calibri"/>
          <w:vertAlign w:val="superscript"/>
        </w:rPr>
        <w:footnoteReference w:id="26"/>
      </w:r>
      <w:r>
        <w:rPr>
          <w:rFonts w:cs="Calibri"/>
        </w:rPr>
        <w:t>). Međutim, Hrvatskoj slične</w:t>
      </w:r>
      <w:r w:rsidRPr="001C0D9F">
        <w:rPr>
          <w:rFonts w:cs="Calibri"/>
        </w:rPr>
        <w:t xml:space="preserve"> zemlje S</w:t>
      </w:r>
      <w:r>
        <w:rPr>
          <w:rFonts w:cs="Calibri"/>
        </w:rPr>
        <w:t xml:space="preserve">redišnje i Istočne Europe </w:t>
      </w:r>
      <w:r w:rsidRPr="001C0D9F">
        <w:rPr>
          <w:rFonts w:cs="Calibri"/>
        </w:rPr>
        <w:t xml:space="preserve">još </w:t>
      </w:r>
      <w:r>
        <w:rPr>
          <w:rFonts w:cs="Calibri"/>
        </w:rPr>
        <w:t xml:space="preserve">su se </w:t>
      </w:r>
      <w:r w:rsidRPr="001C0D9F">
        <w:rPr>
          <w:rFonts w:cs="Calibri"/>
        </w:rPr>
        <w:t>više približile prosjeku EU</w:t>
      </w:r>
      <w:r>
        <w:rPr>
          <w:rFonts w:cs="Calibri"/>
        </w:rPr>
        <w:t xml:space="preserve"> 27, s obzirom na BDP po stanovniku prema</w:t>
      </w:r>
      <w:r w:rsidRPr="001C0D9F">
        <w:rPr>
          <w:rFonts w:cs="Calibri"/>
        </w:rPr>
        <w:t xml:space="preserve"> PPS</w:t>
      </w:r>
      <w:r>
        <w:rPr>
          <w:rFonts w:cs="Calibri"/>
        </w:rPr>
        <w:t>-u</w:t>
      </w:r>
      <w:r w:rsidRPr="001C0D9F">
        <w:rPr>
          <w:rFonts w:cs="Calibri"/>
        </w:rPr>
        <w:t>, pa je tako Sl</w:t>
      </w:r>
      <w:r>
        <w:rPr>
          <w:rFonts w:cs="Calibri"/>
        </w:rPr>
        <w:t>ovenija dosegla 85%, Češka 80%, a</w:t>
      </w:r>
      <w:r w:rsidRPr="001C0D9F">
        <w:rPr>
          <w:rFonts w:cs="Calibri"/>
        </w:rPr>
        <w:t xml:space="preserve"> Slovačka 74% prosjeka EU</w:t>
      </w:r>
      <w:r>
        <w:rPr>
          <w:rFonts w:cs="Calibri"/>
        </w:rPr>
        <w:t xml:space="preserve"> </w:t>
      </w:r>
      <w:r w:rsidRPr="001C0D9F">
        <w:rPr>
          <w:rFonts w:cs="Calibri"/>
        </w:rPr>
        <w:t>27 BDP</w:t>
      </w:r>
      <w:r>
        <w:rPr>
          <w:rFonts w:cs="Calibri"/>
        </w:rPr>
        <w:t>-a po stanovniku prema</w:t>
      </w:r>
      <w:r w:rsidRPr="001C0D9F">
        <w:rPr>
          <w:rFonts w:cs="Calibri"/>
        </w:rPr>
        <w:t xml:space="preserve"> PPS</w:t>
      </w:r>
      <w:r>
        <w:rPr>
          <w:rFonts w:cs="Calibri"/>
        </w:rPr>
        <w:t>-u</w:t>
      </w:r>
      <w:r w:rsidRPr="001C0D9F">
        <w:rPr>
          <w:rFonts w:cs="Calibri"/>
        </w:rPr>
        <w:t xml:space="preserve"> (2010</w:t>
      </w:r>
      <w:r>
        <w:rPr>
          <w:rFonts w:cs="Calibri"/>
        </w:rPr>
        <w:t>.</w:t>
      </w:r>
      <w:r w:rsidRPr="001C0D9F">
        <w:rPr>
          <w:rFonts w:cs="Calibri"/>
        </w:rPr>
        <w:t xml:space="preserve">). </w:t>
      </w:r>
    </w:p>
    <w:p w:rsidR="00E603EE" w:rsidRDefault="00E603EE" w:rsidP="00AF6936">
      <w:pPr>
        <w:spacing w:before="120" w:line="360" w:lineRule="auto"/>
        <w:jc w:val="both"/>
        <w:rPr>
          <w:rFonts w:cs="Calibri"/>
          <w:b/>
          <w:i/>
        </w:rPr>
      </w:pPr>
    </w:p>
    <w:p w:rsidR="00E603EE" w:rsidRDefault="00E603EE" w:rsidP="00AF6936">
      <w:pPr>
        <w:spacing w:before="120" w:line="360" w:lineRule="auto"/>
        <w:jc w:val="both"/>
        <w:rPr>
          <w:rFonts w:cs="Calibri"/>
          <w:b/>
          <w:i/>
        </w:rPr>
      </w:pPr>
    </w:p>
    <w:p w:rsidR="00E603EE" w:rsidRDefault="00E603EE" w:rsidP="00AF6936">
      <w:pPr>
        <w:spacing w:before="120" w:line="360" w:lineRule="auto"/>
        <w:jc w:val="both"/>
        <w:rPr>
          <w:rFonts w:cs="Calibri"/>
          <w:b/>
          <w:i/>
        </w:rPr>
      </w:pPr>
    </w:p>
    <w:p w:rsidR="000C1520" w:rsidRPr="008E76D8" w:rsidRDefault="000C1520" w:rsidP="00AF6936">
      <w:pPr>
        <w:spacing w:before="120" w:line="360" w:lineRule="auto"/>
        <w:jc w:val="both"/>
        <w:rPr>
          <w:rFonts w:cs="Calibri"/>
        </w:rPr>
      </w:pPr>
      <w:r>
        <w:rPr>
          <w:rFonts w:cs="Calibri"/>
          <w:b/>
          <w:i/>
        </w:rPr>
        <w:lastRenderedPageBreak/>
        <w:t>Grafički prikaz</w:t>
      </w:r>
      <w:r w:rsidRPr="001C0D9F">
        <w:rPr>
          <w:rFonts w:cs="Calibri"/>
          <w:b/>
          <w:i/>
        </w:rPr>
        <w:t xml:space="preserve"> </w:t>
      </w:r>
      <w:r>
        <w:rPr>
          <w:rFonts w:cs="Calibri"/>
          <w:b/>
          <w:i/>
        </w:rPr>
        <w:t>7</w:t>
      </w:r>
      <w:r w:rsidRPr="001C0D9F">
        <w:rPr>
          <w:rFonts w:cs="Calibri"/>
          <w:b/>
          <w:i/>
        </w:rPr>
        <w:t>.</w:t>
      </w:r>
      <w:r>
        <w:rPr>
          <w:rFonts w:cs="Calibri"/>
          <w:i/>
        </w:rPr>
        <w:t xml:space="preserve"> BDP po glavi stanovnika prema</w:t>
      </w:r>
      <w:r w:rsidRPr="001C0D9F">
        <w:rPr>
          <w:rFonts w:cs="Calibri"/>
          <w:i/>
        </w:rPr>
        <w:t xml:space="preserve"> </w:t>
      </w:r>
      <w:proofErr w:type="spellStart"/>
      <w:r w:rsidRPr="001C0D9F">
        <w:rPr>
          <w:rFonts w:cs="Calibri"/>
          <w:i/>
        </w:rPr>
        <w:t>Purchasing</w:t>
      </w:r>
      <w:proofErr w:type="spellEnd"/>
      <w:r w:rsidRPr="001C0D9F">
        <w:rPr>
          <w:rFonts w:cs="Calibri"/>
          <w:i/>
        </w:rPr>
        <w:t xml:space="preserve"> Power </w:t>
      </w:r>
      <w:proofErr w:type="spellStart"/>
      <w:r w:rsidRPr="001C0D9F">
        <w:rPr>
          <w:rFonts w:cs="Calibri"/>
          <w:i/>
        </w:rPr>
        <w:t>Standards</w:t>
      </w:r>
      <w:proofErr w:type="spellEnd"/>
      <w:r w:rsidRPr="001C0D9F">
        <w:rPr>
          <w:rFonts w:cs="Calibri"/>
          <w:i/>
        </w:rPr>
        <w:t xml:space="preserve"> (PPS) u 2010</w:t>
      </w:r>
      <w:r>
        <w:rPr>
          <w:rFonts w:cs="Calibri"/>
          <w:i/>
        </w:rPr>
        <w:t>.</w:t>
      </w:r>
      <w:r w:rsidRPr="001C0D9F">
        <w:rPr>
          <w:rFonts w:cs="Calibri"/>
          <w:i/>
        </w:rPr>
        <w:t xml:space="preserve"> (EU</w:t>
      </w:r>
      <w:r>
        <w:rPr>
          <w:rFonts w:cs="Calibri"/>
          <w:i/>
        </w:rPr>
        <w:t xml:space="preserve"> </w:t>
      </w:r>
      <w:r w:rsidRPr="001C0D9F">
        <w:rPr>
          <w:rFonts w:cs="Calibri"/>
          <w:i/>
        </w:rPr>
        <w:t xml:space="preserve">27 = 100) </w:t>
      </w:r>
    </w:p>
    <w:p w:rsidR="00671FBC" w:rsidRDefault="00D87C12" w:rsidP="00AF6936">
      <w:pPr>
        <w:spacing w:before="120" w:line="360" w:lineRule="auto"/>
        <w:jc w:val="both"/>
        <w:rPr>
          <w:rFonts w:cs="Calibri"/>
          <w:b/>
          <w:i/>
          <w:sz w:val="20"/>
          <w:szCs w:val="20"/>
        </w:rPr>
      </w:pPr>
      <w:r>
        <w:rPr>
          <w:rFonts w:cs="Calibri"/>
          <w:noProof/>
        </w:rPr>
        <w:drawing>
          <wp:inline distT="0" distB="0" distL="0" distR="0" wp14:anchorId="28F95137" wp14:editId="7FAD8245">
            <wp:extent cx="5818293" cy="1346454"/>
            <wp:effectExtent l="12192" t="6096" r="8340" b="0"/>
            <wp:docPr id="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C1520" w:rsidRPr="001C0D9F" w:rsidRDefault="000C1520" w:rsidP="00AF6936">
      <w:pPr>
        <w:spacing w:before="120" w:line="360" w:lineRule="auto"/>
        <w:jc w:val="both"/>
        <w:rPr>
          <w:rFonts w:cs="Calibri"/>
        </w:rPr>
      </w:pPr>
      <w:r w:rsidRPr="001C0D9F">
        <w:rPr>
          <w:rFonts w:cs="Calibri"/>
          <w:b/>
          <w:i/>
          <w:sz w:val="20"/>
          <w:szCs w:val="20"/>
        </w:rPr>
        <w:t>Izvor:</w:t>
      </w:r>
      <w:r w:rsidRPr="001C0D9F">
        <w:rPr>
          <w:rFonts w:cs="Calibri"/>
          <w:i/>
          <w:sz w:val="20"/>
          <w:szCs w:val="20"/>
        </w:rPr>
        <w:t xml:space="preserve"> EUROSTAT</w:t>
      </w:r>
    </w:p>
    <w:p w:rsidR="000C1520" w:rsidRPr="008E76D8" w:rsidRDefault="000C1520" w:rsidP="00AF6936">
      <w:pPr>
        <w:spacing w:before="120" w:line="360" w:lineRule="auto"/>
        <w:jc w:val="both"/>
        <w:rPr>
          <w:rFonts w:cs="Calibri"/>
        </w:rPr>
      </w:pPr>
      <w:r w:rsidRPr="001C0D9F">
        <w:rPr>
          <w:rFonts w:cs="Calibri"/>
        </w:rPr>
        <w:t xml:space="preserve">U </w:t>
      </w:r>
      <w:r>
        <w:rPr>
          <w:rFonts w:cs="Calibri"/>
        </w:rPr>
        <w:t>razdoblju 2001. – 2010.</w:t>
      </w:r>
      <w:r w:rsidRPr="001C0D9F">
        <w:rPr>
          <w:rFonts w:cs="Calibri"/>
        </w:rPr>
        <w:t xml:space="preserve"> u RH </w:t>
      </w:r>
      <w:r>
        <w:rPr>
          <w:rFonts w:cs="Calibri"/>
        </w:rPr>
        <w:t xml:space="preserve">je zabilježen </w:t>
      </w:r>
      <w:r w:rsidRPr="001C0D9F">
        <w:rPr>
          <w:rFonts w:cs="Calibri"/>
        </w:rPr>
        <w:t>relativno stabilan rast s prosječnom godišnjom st</w:t>
      </w:r>
      <w:r>
        <w:rPr>
          <w:rFonts w:cs="Calibri"/>
        </w:rPr>
        <w:t>opom rasta realnog BDP-a od 2,7%. Globalna kriza značajno</w:t>
      </w:r>
      <w:r w:rsidRPr="001C0D9F">
        <w:rPr>
          <w:rFonts w:cs="Calibri"/>
        </w:rPr>
        <w:t xml:space="preserve"> je utjecala na kretanja BDP-a u zemljama Srednje i Istočne E</w:t>
      </w:r>
      <w:r>
        <w:rPr>
          <w:rFonts w:cs="Calibri"/>
        </w:rPr>
        <w:t>urope uključujući i RH. Negativ</w:t>
      </w:r>
      <w:r w:rsidRPr="001C0D9F">
        <w:rPr>
          <w:rFonts w:cs="Calibri"/>
        </w:rPr>
        <w:t>n</w:t>
      </w:r>
      <w:r>
        <w:rPr>
          <w:rFonts w:cs="Calibri"/>
        </w:rPr>
        <w:t>i</w:t>
      </w:r>
      <w:r w:rsidRPr="001C0D9F">
        <w:rPr>
          <w:rFonts w:cs="Calibri"/>
        </w:rPr>
        <w:t xml:space="preserve"> trend počeo je u drugom kvartalu 2008., kada je realni BDP prestao rasti. Smanj</w:t>
      </w:r>
      <w:r>
        <w:rPr>
          <w:rFonts w:cs="Calibri"/>
        </w:rPr>
        <w:t>enje BDP-a uzrokovano je  smanjenjem</w:t>
      </w:r>
      <w:r w:rsidRPr="001C0D9F">
        <w:rPr>
          <w:rFonts w:cs="Calibri"/>
        </w:rPr>
        <w:t xml:space="preserve"> osobne potrošnje i in</w:t>
      </w:r>
      <w:r>
        <w:rPr>
          <w:rFonts w:cs="Calibri"/>
        </w:rPr>
        <w:t>vesticija.  Nakon pada od 6,0%</w:t>
      </w:r>
      <w:r w:rsidRPr="001C0D9F">
        <w:rPr>
          <w:rFonts w:cs="Calibri"/>
        </w:rPr>
        <w:t xml:space="preserve"> u realnom iznosu u 2009., BDP je smanjen za 1,2 % u 2010. godini. Makroekonomski pokazatelji </w:t>
      </w:r>
      <w:r>
        <w:rPr>
          <w:rFonts w:cs="Calibri"/>
        </w:rPr>
        <w:t>ukazuju na spori oporavak od 0,8</w:t>
      </w:r>
      <w:r w:rsidRPr="001C0D9F">
        <w:rPr>
          <w:rFonts w:cs="Calibri"/>
        </w:rPr>
        <w:t>% u drugom i 0,6% u trećem kvartalu 2011. godine,  stagnaciju industrijske proizvodnje i trgovine na malo. Porast  BDP-a u RH uzrokovan je  povećanjem domaće potražnje  kroz rast osobne potrošnje i rast investicija.</w:t>
      </w:r>
      <w:r w:rsidRPr="001C0D9F">
        <w:rPr>
          <w:rFonts w:cs="Calibri"/>
          <w:b/>
        </w:rPr>
        <w:t xml:space="preserve"> </w:t>
      </w:r>
    </w:p>
    <w:p w:rsidR="000C1520" w:rsidRPr="001C0D9F" w:rsidRDefault="000C1520" w:rsidP="00AF6936">
      <w:pPr>
        <w:spacing w:before="120" w:line="360" w:lineRule="auto"/>
        <w:jc w:val="both"/>
        <w:rPr>
          <w:rFonts w:cs="Calibri"/>
        </w:rPr>
      </w:pPr>
      <w:r w:rsidRPr="001C0D9F">
        <w:rPr>
          <w:rFonts w:cs="Calibri"/>
          <w:b/>
        </w:rPr>
        <w:t>Prema strukturi bruto dodane vrijednosti</w:t>
      </w:r>
      <w:r w:rsidRPr="001C0D9F">
        <w:rPr>
          <w:rFonts w:cs="Calibri"/>
        </w:rPr>
        <w:t xml:space="preserve"> (BDV) po djelatnostima</w:t>
      </w:r>
      <w:r>
        <w:rPr>
          <w:rFonts w:cs="Calibri"/>
        </w:rPr>
        <w:t>,</w:t>
      </w:r>
      <w:r w:rsidRPr="001C0D9F">
        <w:rPr>
          <w:rFonts w:cs="Calibri"/>
        </w:rPr>
        <w:t xml:space="preserve"> hrv</w:t>
      </w:r>
      <w:r>
        <w:rPr>
          <w:rFonts w:cs="Calibri"/>
        </w:rPr>
        <w:t>atsko gospodarstvo mijenjalo se</w:t>
      </w:r>
      <w:r w:rsidRPr="001C0D9F">
        <w:rPr>
          <w:rFonts w:cs="Calibri"/>
        </w:rPr>
        <w:t xml:space="preserve"> u smjeru prosječne strukture razvijenih </w:t>
      </w:r>
      <w:r>
        <w:rPr>
          <w:rFonts w:cs="Calibri"/>
        </w:rPr>
        <w:t>zemalja. Tako je u 2010. godini udio primarnog sektora u BDV-u iznosio 5,</w:t>
      </w:r>
      <w:proofErr w:type="spellStart"/>
      <w:r>
        <w:rPr>
          <w:rFonts w:cs="Calibri"/>
        </w:rPr>
        <w:t>5</w:t>
      </w:r>
      <w:proofErr w:type="spellEnd"/>
      <w:r>
        <w:rPr>
          <w:rFonts w:cs="Calibri"/>
        </w:rPr>
        <w:t xml:space="preserve">%  (6,5% u </w:t>
      </w:r>
      <w:r w:rsidRPr="001C0D9F">
        <w:rPr>
          <w:rFonts w:cs="Calibri"/>
        </w:rPr>
        <w:t>2001.), sekundarnog sektora (uključujući građevinarstvo) 25,7% (28,4% u 2001.), dok je terc</w:t>
      </w:r>
      <w:r>
        <w:rPr>
          <w:rFonts w:cs="Calibri"/>
        </w:rPr>
        <w:t>ijarni sektor sudjelovao sa 68,8</w:t>
      </w:r>
      <w:r w:rsidRPr="001C0D9F">
        <w:rPr>
          <w:rFonts w:cs="Calibri"/>
        </w:rPr>
        <w:t>%</w:t>
      </w:r>
      <w:r>
        <w:rPr>
          <w:rFonts w:cs="Calibri"/>
        </w:rPr>
        <w:t xml:space="preserve"> </w:t>
      </w:r>
      <w:r w:rsidRPr="001C0D9F">
        <w:rPr>
          <w:rFonts w:cs="Calibri"/>
        </w:rPr>
        <w:t xml:space="preserve">(65,2% </w:t>
      </w:r>
      <w:r>
        <w:rPr>
          <w:rFonts w:cs="Calibri"/>
        </w:rPr>
        <w:t xml:space="preserve">u </w:t>
      </w:r>
      <w:r w:rsidRPr="001C0D9F">
        <w:rPr>
          <w:rFonts w:cs="Calibri"/>
        </w:rPr>
        <w:t>2001.)</w:t>
      </w:r>
      <w:r w:rsidRPr="001C0D9F">
        <w:rPr>
          <w:rFonts w:cs="Calibri"/>
          <w:vertAlign w:val="superscript"/>
        </w:rPr>
        <w:footnoteReference w:id="27"/>
      </w:r>
      <w:r w:rsidRPr="001C0D9F">
        <w:rPr>
          <w:rFonts w:cs="Calibri"/>
        </w:rPr>
        <w:t xml:space="preserve"> U sekundarnom, industrijskom se</w:t>
      </w:r>
      <w:r>
        <w:rPr>
          <w:rFonts w:cs="Calibri"/>
        </w:rPr>
        <w:t>ktoru proizvodnja prevladava</w:t>
      </w:r>
      <w:r w:rsidRPr="001C0D9F">
        <w:rPr>
          <w:rFonts w:cs="Calibri"/>
        </w:rPr>
        <w:t xml:space="preserve"> u smislu zapošljavanja, broja poduzeća, prihoda od prodaje proizvoda i bruto dodane vrijednosti. </w:t>
      </w:r>
      <w:r>
        <w:rPr>
          <w:rFonts w:cs="Calibri"/>
        </w:rPr>
        <w:t>S o</w:t>
      </w:r>
      <w:r w:rsidRPr="001C0D9F">
        <w:rPr>
          <w:rFonts w:cs="Calibri"/>
        </w:rPr>
        <w:t xml:space="preserve">bzirom na činjenicu da </w:t>
      </w:r>
      <w:r>
        <w:rPr>
          <w:rFonts w:cs="Calibri"/>
        </w:rPr>
        <w:t xml:space="preserve">je u proizvodnji zaposleno gotovo 90% radnika </w:t>
      </w:r>
      <w:r w:rsidRPr="001C0D9F">
        <w:rPr>
          <w:rFonts w:cs="Calibri"/>
        </w:rPr>
        <w:t xml:space="preserve">u </w:t>
      </w:r>
      <w:r>
        <w:rPr>
          <w:rFonts w:cs="Calibri"/>
        </w:rPr>
        <w:t>okviru sektora</w:t>
      </w:r>
      <w:r w:rsidRPr="001C0D9F">
        <w:rPr>
          <w:rFonts w:cs="Calibri"/>
        </w:rPr>
        <w:t>, ra</w:t>
      </w:r>
      <w:r>
        <w:rPr>
          <w:rFonts w:cs="Calibri"/>
        </w:rPr>
        <w:t xml:space="preserve">dna produktivnost po radniku </w:t>
      </w:r>
      <w:r w:rsidRPr="001C0D9F">
        <w:rPr>
          <w:rFonts w:cs="Calibri"/>
        </w:rPr>
        <w:t xml:space="preserve">relativno </w:t>
      </w:r>
      <w:r>
        <w:rPr>
          <w:rFonts w:cs="Calibri"/>
        </w:rPr>
        <w:t xml:space="preserve">je mala. </w:t>
      </w:r>
      <w:r w:rsidRPr="001C0D9F">
        <w:rPr>
          <w:rFonts w:cs="Calibri"/>
        </w:rPr>
        <w:t>Nadalje, pad ulaganja u prerađivačku industriju oslabio je izglede za brže tehnološke promjene, povećanje raznolikosti proizvodne strukture i veći izvoz</w:t>
      </w:r>
      <w:r w:rsidRPr="001C0D9F">
        <w:rPr>
          <w:rFonts w:cs="Calibri"/>
          <w:vertAlign w:val="superscript"/>
        </w:rPr>
        <w:footnoteReference w:id="28"/>
      </w:r>
      <w:r w:rsidRPr="001C0D9F">
        <w:rPr>
          <w:rFonts w:cs="Calibri"/>
        </w:rPr>
        <w:t xml:space="preserve">. U cjelini, bruto dodana vrijednost u baznim </w:t>
      </w:r>
      <w:r>
        <w:rPr>
          <w:rFonts w:cs="Calibri"/>
        </w:rPr>
        <w:t xml:space="preserve">je cijenama </w:t>
      </w:r>
      <w:r w:rsidRPr="001C0D9F">
        <w:rPr>
          <w:rFonts w:cs="Calibri"/>
        </w:rPr>
        <w:t>znatno povećana, sa 1</w:t>
      </w:r>
      <w:r>
        <w:rPr>
          <w:rFonts w:cs="Calibri"/>
        </w:rPr>
        <w:t>91 milijarde HRK (25,5 milijardi</w:t>
      </w:r>
      <w:r w:rsidRPr="001C0D9F">
        <w:rPr>
          <w:rFonts w:cs="Calibri"/>
        </w:rPr>
        <w:t xml:space="preserve"> </w:t>
      </w:r>
      <w:r>
        <w:rPr>
          <w:rFonts w:cs="Calibri"/>
        </w:rPr>
        <w:t>EUR</w:t>
      </w:r>
      <w:r w:rsidRPr="001C0D9F">
        <w:rPr>
          <w:rFonts w:cs="Calibri"/>
        </w:rPr>
        <w:t xml:space="preserve">) u 2003. godini na 286 milijardi HRK u 2010. godini (39 milijardi </w:t>
      </w:r>
      <w:r>
        <w:rPr>
          <w:rFonts w:cs="Calibri"/>
        </w:rPr>
        <w:t xml:space="preserve"> EUR</w:t>
      </w:r>
      <w:r w:rsidRPr="001C0D9F">
        <w:rPr>
          <w:rFonts w:cs="Calibri"/>
        </w:rPr>
        <w:t>).</w:t>
      </w:r>
    </w:p>
    <w:p w:rsidR="000C1520" w:rsidRPr="001C0D9F" w:rsidRDefault="000C1520" w:rsidP="00AF6936">
      <w:pPr>
        <w:spacing w:before="120" w:line="360" w:lineRule="auto"/>
        <w:jc w:val="both"/>
        <w:rPr>
          <w:rFonts w:cs="Calibri"/>
        </w:rPr>
      </w:pPr>
      <w:r>
        <w:rPr>
          <w:rFonts w:cs="Calibri"/>
        </w:rPr>
        <w:t>Vrlo važnu komponentu gospodarskog rasta</w:t>
      </w:r>
      <w:r w:rsidRPr="001C0D9F">
        <w:rPr>
          <w:rFonts w:cs="Calibri"/>
        </w:rPr>
        <w:t xml:space="preserve"> imaju </w:t>
      </w:r>
      <w:r w:rsidRPr="00FD57B6">
        <w:rPr>
          <w:rFonts w:cs="Calibri"/>
          <w:b/>
        </w:rPr>
        <w:t>br</w:t>
      </w:r>
      <w:r w:rsidRPr="001C0D9F">
        <w:rPr>
          <w:rFonts w:cs="Calibri"/>
          <w:b/>
        </w:rPr>
        <w:t>uto ulaganja u dugotrajnu</w:t>
      </w:r>
      <w:r w:rsidRPr="001C0D9F">
        <w:rPr>
          <w:rFonts w:cs="Calibri"/>
        </w:rPr>
        <w:t xml:space="preserve"> imovinu. Stopa investicija u Hrvatskoj i dalje je relativno visoka - iznad razine većine usporedivih zemalja. U RH bruto </w:t>
      </w:r>
      <w:r w:rsidRPr="001C0D9F">
        <w:rPr>
          <w:rFonts w:cs="Calibri"/>
        </w:rPr>
        <w:lastRenderedPageBreak/>
        <w:t>investicije u fiksni kapital u razdoblju od 2003. do 2008</w:t>
      </w:r>
      <w:r>
        <w:rPr>
          <w:rFonts w:cs="Calibri"/>
        </w:rPr>
        <w:t>. bilježe rast, pa</w:t>
      </w:r>
      <w:r w:rsidRPr="001C0D9F">
        <w:rPr>
          <w:rFonts w:cs="Calibri"/>
        </w:rPr>
        <w:t xml:space="preserve"> su 2003. </w:t>
      </w:r>
      <w:r>
        <w:rPr>
          <w:rFonts w:cs="Calibri"/>
        </w:rPr>
        <w:t>godine iznosile 7,6 milijardi eura, a 2008. godine čak 13,2 milijarde eura</w:t>
      </w:r>
      <w:r w:rsidRPr="001C0D9F">
        <w:rPr>
          <w:rFonts w:cs="Calibri"/>
        </w:rPr>
        <w:t>. Trend p</w:t>
      </w:r>
      <w:r>
        <w:rPr>
          <w:rFonts w:cs="Calibri"/>
        </w:rPr>
        <w:t>ada bilježimo od 2009. godine kad je vrijednost investicija iznosila 11,4 milijarde eura, u 2010.</w:t>
      </w:r>
      <w:r w:rsidRPr="001C0D9F">
        <w:rPr>
          <w:rFonts w:cs="Calibri"/>
        </w:rPr>
        <w:t xml:space="preserve"> </w:t>
      </w:r>
      <w:r>
        <w:rPr>
          <w:rFonts w:cs="Calibri"/>
        </w:rPr>
        <w:t>godini 9,92 milijarde eura</w:t>
      </w:r>
      <w:r w:rsidRPr="001C0D9F">
        <w:rPr>
          <w:rFonts w:cs="Calibri"/>
        </w:rPr>
        <w:t>, s daljnjim negativnim  trendom do 2012. U 2010. godini bruto ulaganj</w:t>
      </w:r>
      <w:r>
        <w:rPr>
          <w:rFonts w:cs="Calibri"/>
        </w:rPr>
        <w:t>a u dugotrajnu imovinu sudjeluju u BDP-u s 21,6%, koji je u to vrijeme</w:t>
      </w:r>
      <w:r w:rsidRPr="001C0D9F">
        <w:rPr>
          <w:rFonts w:cs="Calibri"/>
        </w:rPr>
        <w:t xml:space="preserve"> viši od prosjeka EU</w:t>
      </w:r>
      <w:r>
        <w:rPr>
          <w:rFonts w:cs="Calibri"/>
        </w:rPr>
        <w:t xml:space="preserve"> </w:t>
      </w:r>
      <w:r w:rsidRPr="001C0D9F">
        <w:rPr>
          <w:rFonts w:cs="Calibri"/>
        </w:rPr>
        <w:t xml:space="preserve">27 (18,6%). Više od trećine ulaganja odnosi se na građevinarstvo (autoceste, apartmane i </w:t>
      </w:r>
      <w:r w:rsidR="00D87C12">
        <w:rPr>
          <w:rFonts w:cs="Calibri"/>
        </w:rPr>
        <w:t>trgovačke</w:t>
      </w:r>
      <w:r w:rsidRPr="001C0D9F">
        <w:rPr>
          <w:rFonts w:cs="Calibri"/>
        </w:rPr>
        <w:t xml:space="preserve"> centre) i promet nekretnina. Zbog niske razine agregatne potražnje, investicijske aktivnosti u 2010. dodatno su smanjene, bruto investicije u fiksni kapital smanjene su za 11,3% u odnosu na 2009., što je najviše utjecalo na negativni realni BDP.</w:t>
      </w:r>
      <w:r>
        <w:rPr>
          <w:rFonts w:cs="Calibri"/>
        </w:rPr>
        <w:t xml:space="preserve"> Razlozi ovakvom stanju su mala</w:t>
      </w:r>
      <w:r w:rsidRPr="001C0D9F">
        <w:rPr>
          <w:rFonts w:cs="Calibri"/>
        </w:rPr>
        <w:t xml:space="preserve"> učinkovitost postojećih proizvodnih kapaciteta, v</w:t>
      </w:r>
      <w:r>
        <w:rPr>
          <w:rFonts w:cs="Calibri"/>
        </w:rPr>
        <w:t>elika</w:t>
      </w:r>
      <w:r w:rsidRPr="001C0D9F">
        <w:rPr>
          <w:rFonts w:cs="Calibri"/>
        </w:rPr>
        <w:t xml:space="preserve"> neizvjesnost gospodars</w:t>
      </w:r>
      <w:r>
        <w:rPr>
          <w:rFonts w:cs="Calibri"/>
        </w:rPr>
        <w:t>tva u cjelini, a posljedično i trenutna kriza</w:t>
      </w:r>
      <w:r w:rsidRPr="001C0D9F">
        <w:rPr>
          <w:rFonts w:cs="Calibri"/>
        </w:rPr>
        <w:t>.</w:t>
      </w:r>
    </w:p>
    <w:p w:rsidR="000C1520" w:rsidRPr="001C0D9F" w:rsidRDefault="000C1520" w:rsidP="00AF6936">
      <w:pPr>
        <w:spacing w:before="120" w:line="360" w:lineRule="auto"/>
        <w:jc w:val="both"/>
        <w:rPr>
          <w:rFonts w:cs="Calibri"/>
        </w:rPr>
      </w:pPr>
      <w:r w:rsidRPr="001C0D9F">
        <w:rPr>
          <w:rFonts w:cs="Calibri"/>
        </w:rPr>
        <w:t>Kada je riječ o trgovini, EU je najveći hrvatski trgovinski partner. Udio EU</w:t>
      </w:r>
      <w:r>
        <w:rPr>
          <w:rFonts w:cs="Calibri"/>
        </w:rPr>
        <w:t>-a</w:t>
      </w:r>
      <w:r w:rsidRPr="001C0D9F">
        <w:rPr>
          <w:rFonts w:cs="Calibri"/>
        </w:rPr>
        <w:t xml:space="preserve"> u ukupnom hrvatskom izvozu i dalje je na razini od oko 61,1%, a uvoz</w:t>
      </w:r>
      <w:r>
        <w:rPr>
          <w:rFonts w:cs="Calibri"/>
        </w:rPr>
        <w:t>u</w:t>
      </w:r>
      <w:r w:rsidRPr="001C0D9F">
        <w:rPr>
          <w:rFonts w:cs="Calibri"/>
        </w:rPr>
        <w:t xml:space="preserve"> na 60,2% u 2010. Prema podacima DZS</w:t>
      </w:r>
      <w:r>
        <w:rPr>
          <w:rFonts w:cs="Calibri"/>
        </w:rPr>
        <w:t>-a</w:t>
      </w:r>
      <w:r w:rsidRPr="001C0D9F">
        <w:rPr>
          <w:rFonts w:cs="Calibri"/>
        </w:rPr>
        <w:t xml:space="preserve"> najveći uvoznik hrvatske robe tradicionalno je Italija</w:t>
      </w:r>
      <w:r>
        <w:rPr>
          <w:rFonts w:cs="Calibri"/>
        </w:rPr>
        <w:t xml:space="preserve"> (18,7% ukupnog izvoza roba), </w:t>
      </w:r>
      <w:r w:rsidRPr="001C0D9F">
        <w:rPr>
          <w:rFonts w:cs="Calibri"/>
        </w:rPr>
        <w:t>zatim Bosna i Hercegovina (11,6%), Njemačka (10,4%) i Slovenija (7,8%). S druge strane, u 2010. godini H</w:t>
      </w:r>
      <w:r w:rsidR="00F5458F">
        <w:rPr>
          <w:rFonts w:cs="Calibri"/>
        </w:rPr>
        <w:t>rvatska uvozi najviše roba</w:t>
      </w:r>
      <w:r>
        <w:rPr>
          <w:rFonts w:cs="Calibri"/>
        </w:rPr>
        <w:t xml:space="preserve"> </w:t>
      </w:r>
      <w:r w:rsidRPr="001C0D9F">
        <w:rPr>
          <w:rFonts w:cs="Calibri"/>
        </w:rPr>
        <w:t>iz Italije (15,2%), zatim Njemačke (12,5%), Rusije (9,0%) i Kine (7,2%).</w:t>
      </w:r>
    </w:p>
    <w:p w:rsidR="000C1520" w:rsidRDefault="000C1520" w:rsidP="00AF6936">
      <w:pPr>
        <w:spacing w:before="120" w:line="360" w:lineRule="auto"/>
        <w:jc w:val="both"/>
        <w:rPr>
          <w:rFonts w:cs="Calibri"/>
        </w:rPr>
      </w:pPr>
      <w:r>
        <w:rPr>
          <w:rFonts w:cs="Calibri"/>
        </w:rPr>
        <w:t>Tijekom posljednjeg desetljeća</w:t>
      </w:r>
      <w:r w:rsidRPr="001C0D9F">
        <w:rPr>
          <w:rFonts w:cs="Calibri"/>
        </w:rPr>
        <w:t xml:space="preserve"> vrijednost</w:t>
      </w:r>
      <w:r>
        <w:rPr>
          <w:rFonts w:cs="Calibri"/>
        </w:rPr>
        <w:t xml:space="preserve"> izvoza robe iz RH povećan</w:t>
      </w:r>
      <w:r w:rsidR="00D87C12">
        <w:rPr>
          <w:rFonts w:cs="Calibri"/>
        </w:rPr>
        <w:t>a</w:t>
      </w:r>
      <w:r>
        <w:rPr>
          <w:rFonts w:cs="Calibri"/>
        </w:rPr>
        <w:t xml:space="preserve"> je s 5 milijardi eura</w:t>
      </w:r>
      <w:r w:rsidRPr="001C0D9F">
        <w:rPr>
          <w:rFonts w:cs="Calibri"/>
        </w:rPr>
        <w:t xml:space="preserve"> u 2000. </w:t>
      </w:r>
      <w:r>
        <w:rPr>
          <w:rFonts w:cs="Calibri"/>
        </w:rPr>
        <w:t>godini na 8,9 milijardi eura u 2010. (9,6 milijardi eura</w:t>
      </w:r>
      <w:r w:rsidRPr="001C0D9F">
        <w:rPr>
          <w:rFonts w:cs="Calibri"/>
        </w:rPr>
        <w:t xml:space="preserve"> u 2008.) dok je uvoz iz EU</w:t>
      </w:r>
      <w:r>
        <w:rPr>
          <w:rFonts w:cs="Calibri"/>
        </w:rPr>
        <w:t xml:space="preserve"> </w:t>
      </w:r>
      <w:r w:rsidRPr="001C0D9F">
        <w:rPr>
          <w:rFonts w:cs="Calibri"/>
        </w:rPr>
        <w:t>27 ostao relativno stabilan. U usporedbi s drugim zemljama, u razdoblju 2001.</w:t>
      </w:r>
      <w:r>
        <w:rPr>
          <w:rFonts w:cs="Calibri"/>
        </w:rPr>
        <w:t xml:space="preserve"> – 2010.</w:t>
      </w:r>
      <w:r w:rsidRPr="001C0D9F">
        <w:rPr>
          <w:rFonts w:cs="Calibri"/>
        </w:rPr>
        <w:t xml:space="preserve"> Hrvatska ima najveću </w:t>
      </w:r>
      <w:r>
        <w:rPr>
          <w:rFonts w:cs="Calibri"/>
        </w:rPr>
        <w:t xml:space="preserve">negativnu trgovinsku bilancu u obliku postotka </w:t>
      </w:r>
      <w:r w:rsidRPr="001C0D9F">
        <w:rPr>
          <w:rFonts w:cs="Calibri"/>
        </w:rPr>
        <w:t>BDP-a. Udio izvoza roba i usluga stagnira na 50% BDP-a, dok je većina novih članica EU</w:t>
      </w:r>
      <w:r>
        <w:rPr>
          <w:rFonts w:cs="Calibri"/>
        </w:rPr>
        <w:t>-a</w:t>
      </w:r>
      <w:r w:rsidRPr="001C0D9F">
        <w:rPr>
          <w:rFonts w:cs="Calibri"/>
        </w:rPr>
        <w:t xml:space="preserve"> postigla dinamičan rast udjela</w:t>
      </w:r>
      <w:r>
        <w:rPr>
          <w:rFonts w:cs="Calibri"/>
        </w:rPr>
        <w:t xml:space="preserve"> </w:t>
      </w:r>
      <w:r w:rsidRPr="001C0D9F">
        <w:rPr>
          <w:rFonts w:cs="Calibri"/>
        </w:rPr>
        <w:t>na razin</w:t>
      </w:r>
      <w:r>
        <w:rPr>
          <w:rFonts w:cs="Calibri"/>
        </w:rPr>
        <w:t>i između 70% (Slovenija) i skoro</w:t>
      </w:r>
      <w:r w:rsidRPr="001C0D9F">
        <w:rPr>
          <w:rFonts w:cs="Calibri"/>
        </w:rPr>
        <w:t xml:space="preserve"> 90 % (Slovačka). </w:t>
      </w:r>
    </w:p>
    <w:p w:rsidR="000C1520" w:rsidRPr="00671FBC" w:rsidRDefault="000C1520" w:rsidP="00671FBC">
      <w:pPr>
        <w:pStyle w:val="ListParagraph"/>
        <w:numPr>
          <w:ilvl w:val="0"/>
          <w:numId w:val="39"/>
        </w:numPr>
        <w:spacing w:before="120" w:line="360" w:lineRule="auto"/>
        <w:jc w:val="both"/>
        <w:rPr>
          <w:rFonts w:cs="Calibri"/>
        </w:rPr>
      </w:pPr>
      <w:r w:rsidRPr="00671FBC">
        <w:rPr>
          <w:rFonts w:cs="Calibri"/>
          <w:b/>
          <w:i/>
          <w:color w:val="FF0000"/>
        </w:rPr>
        <w:t xml:space="preserve">Razvijeni sektor malog i srednjeg poduzetništva potencijalan je izvor novih investicija </w:t>
      </w:r>
    </w:p>
    <w:p w:rsidR="000C1520" w:rsidRPr="001C0D9F" w:rsidRDefault="000C1520" w:rsidP="00AF6936">
      <w:pPr>
        <w:spacing w:before="120" w:line="360" w:lineRule="auto"/>
        <w:jc w:val="both"/>
        <w:rPr>
          <w:rFonts w:cs="Calibri"/>
        </w:rPr>
      </w:pPr>
      <w:r w:rsidRPr="001C0D9F">
        <w:rPr>
          <w:rFonts w:cs="Calibri"/>
        </w:rPr>
        <w:t xml:space="preserve">Mala i srednja poduzeća (MSP) </w:t>
      </w:r>
      <w:r>
        <w:rPr>
          <w:rFonts w:cs="Calibri"/>
        </w:rPr>
        <w:t>predstavljaju važan dio investicijskog potencijala</w:t>
      </w:r>
      <w:r w:rsidRPr="001C0D9F">
        <w:rPr>
          <w:rFonts w:cs="Calibri"/>
        </w:rPr>
        <w:t xml:space="preserve"> </w:t>
      </w:r>
      <w:r>
        <w:rPr>
          <w:rFonts w:cs="Calibri"/>
        </w:rPr>
        <w:t>Republike Hrvatske, putem zapošljavanja</w:t>
      </w:r>
      <w:r w:rsidRPr="001C0D9F">
        <w:rPr>
          <w:rFonts w:cs="Calibri"/>
        </w:rPr>
        <w:t xml:space="preserve"> i samozapošljavanja, poticanja domaće proizvodnje, stvaranja bruto društvenog proizvoda, kao i uspješnog plasiranja proizvoda na inozemnim tržištima. U 2010. godin</w:t>
      </w:r>
      <w:r>
        <w:rPr>
          <w:rFonts w:cs="Calibri"/>
        </w:rPr>
        <w:t>i mala i srednja poduzeća</w:t>
      </w:r>
      <w:r w:rsidRPr="001C0D9F">
        <w:rPr>
          <w:rFonts w:cs="Calibri"/>
        </w:rPr>
        <w:t xml:space="preserve"> ostvaruju udio od 51,6% u bruto domaćem proizvodu (BDP), 66,6% u zaposlenosti i 41,1% u izvozu Hrvatske</w:t>
      </w:r>
      <w:r w:rsidRPr="001C0D9F">
        <w:rPr>
          <w:rFonts w:cs="Calibri"/>
          <w:vertAlign w:val="superscript"/>
        </w:rPr>
        <w:footnoteReference w:id="29"/>
      </w:r>
      <w:r w:rsidRPr="001C0D9F">
        <w:rPr>
          <w:rFonts w:cs="Calibri"/>
        </w:rPr>
        <w:t>. Glavna karakteristika sektora malih i srednjih poduzeća u Hrvatskoj je nedovoljno intenzivna aktivnost u pokretanju novih poslovnih pothvata</w:t>
      </w:r>
      <w:r w:rsidRPr="001C0D9F">
        <w:rPr>
          <w:rFonts w:cs="Calibri"/>
          <w:vertAlign w:val="superscript"/>
        </w:rPr>
        <w:footnoteReference w:id="30"/>
      </w:r>
      <w:r>
        <w:rPr>
          <w:rFonts w:cs="Calibri"/>
        </w:rPr>
        <w:t xml:space="preserve">, malen udio rastućih poduzeća, slaba </w:t>
      </w:r>
      <w:r>
        <w:rPr>
          <w:rFonts w:cs="Calibri"/>
        </w:rPr>
        <w:lastRenderedPageBreak/>
        <w:t xml:space="preserve">inovativnost i mogućnost financiranja </w:t>
      </w:r>
      <w:r w:rsidRPr="001C0D9F">
        <w:rPr>
          <w:rFonts w:cs="Calibri"/>
        </w:rPr>
        <w:t>te</w:t>
      </w:r>
      <w:r>
        <w:rPr>
          <w:rFonts w:cs="Calibri"/>
        </w:rPr>
        <w:t xml:space="preserve"> nedostatak izobrazbe usmjerene</w:t>
      </w:r>
      <w:r w:rsidRPr="001C0D9F">
        <w:rPr>
          <w:rFonts w:cs="Calibri"/>
        </w:rPr>
        <w:t xml:space="preserve"> na razvoj poduzetničkih znanja i vještina. </w:t>
      </w:r>
    </w:p>
    <w:p w:rsidR="000C1520" w:rsidRDefault="000C1520" w:rsidP="00AF6936">
      <w:pPr>
        <w:spacing w:before="120" w:line="360" w:lineRule="auto"/>
        <w:jc w:val="both"/>
        <w:rPr>
          <w:rFonts w:cs="Calibri"/>
        </w:rPr>
      </w:pPr>
      <w:r w:rsidRPr="001C0D9F">
        <w:rPr>
          <w:rFonts w:cs="Calibri"/>
        </w:rPr>
        <w:t>Prema podacima HGK</w:t>
      </w:r>
      <w:r>
        <w:rPr>
          <w:rFonts w:cs="Calibri"/>
        </w:rPr>
        <w:t>,</w:t>
      </w:r>
      <w:r w:rsidRPr="001C0D9F">
        <w:rPr>
          <w:rFonts w:cs="Calibri"/>
        </w:rPr>
        <w:t xml:space="preserve"> u 2010. godini udio malih i srednjih poduzeća </w:t>
      </w:r>
      <w:r>
        <w:rPr>
          <w:rFonts w:cs="Calibri"/>
        </w:rPr>
        <w:t xml:space="preserve">činio </w:t>
      </w:r>
      <w:r w:rsidRPr="001C0D9F">
        <w:rPr>
          <w:rFonts w:cs="Calibri"/>
        </w:rPr>
        <w:t>je 99,5% od ukupnog broja registriranih poslovnih subjekata</w:t>
      </w:r>
      <w:r>
        <w:rPr>
          <w:rFonts w:cs="Calibri"/>
        </w:rPr>
        <w:t>.</w:t>
      </w:r>
      <w:r w:rsidRPr="001C0D9F">
        <w:rPr>
          <w:rFonts w:cs="Calibri"/>
        </w:rPr>
        <w:t xml:space="preserve"> Važno je napomenuti da je u razdoblju od 2001. do 2010. godine broj malih i srednjih poduzeća u Hrvatskoj povećan za 71%</w:t>
      </w:r>
      <w:r>
        <w:rPr>
          <w:rFonts w:cs="Calibri"/>
        </w:rPr>
        <w:t>,</w:t>
      </w:r>
      <w:r w:rsidRPr="001C0D9F">
        <w:rPr>
          <w:rFonts w:cs="Calibri"/>
        </w:rPr>
        <w:t xml:space="preserve"> a broj velikih poduzeća smanjen je za 34%.</w:t>
      </w:r>
      <w:r>
        <w:rPr>
          <w:rFonts w:cs="Calibri"/>
        </w:rPr>
        <w:t xml:space="preserve"> U</w:t>
      </w:r>
      <w:r w:rsidRPr="001C0D9F">
        <w:rPr>
          <w:rFonts w:cs="Calibri"/>
        </w:rPr>
        <w:t xml:space="preserve"> 2010. godini udio ma</w:t>
      </w:r>
      <w:r>
        <w:rPr>
          <w:rFonts w:cs="Calibri"/>
        </w:rPr>
        <w:t>l</w:t>
      </w:r>
      <w:r w:rsidRPr="001C0D9F">
        <w:rPr>
          <w:rFonts w:cs="Calibri"/>
        </w:rPr>
        <w:t xml:space="preserve">ih i srednjih poduzeća </w:t>
      </w:r>
      <w:r>
        <w:rPr>
          <w:rFonts w:cs="Calibri"/>
        </w:rPr>
        <w:t xml:space="preserve">u BDP-u iznosio je 51,6%, dok je udio u </w:t>
      </w:r>
      <w:r w:rsidRPr="001C0D9F">
        <w:rPr>
          <w:rFonts w:cs="Calibri"/>
        </w:rPr>
        <w:t>ukupnom izvozu</w:t>
      </w:r>
      <w:r>
        <w:rPr>
          <w:rFonts w:cs="Calibri"/>
        </w:rPr>
        <w:t xml:space="preserve"> u 2010. godini bio 41%</w:t>
      </w:r>
      <w:r w:rsidRPr="001C0D9F">
        <w:rPr>
          <w:rFonts w:cs="Calibri"/>
        </w:rPr>
        <w:t xml:space="preserve">.  </w:t>
      </w:r>
    </w:p>
    <w:p w:rsidR="000C1520" w:rsidRPr="00B06CA9" w:rsidRDefault="000C1520" w:rsidP="00AF6936">
      <w:pPr>
        <w:spacing w:before="120" w:after="0" w:line="360" w:lineRule="auto"/>
        <w:jc w:val="both"/>
        <w:rPr>
          <w:rFonts w:cs="Calibri"/>
        </w:rPr>
      </w:pPr>
      <w:r w:rsidRPr="001C0D9F">
        <w:t xml:space="preserve">Međunarodni istraživački projekt o poduzetništvu </w:t>
      </w:r>
      <w:r w:rsidRPr="00A360B5">
        <w:rPr>
          <w:i/>
        </w:rPr>
        <w:t xml:space="preserve">Global </w:t>
      </w:r>
      <w:proofErr w:type="spellStart"/>
      <w:r w:rsidRPr="00A360B5">
        <w:rPr>
          <w:i/>
        </w:rPr>
        <w:t>Entrepreneurship</w:t>
      </w:r>
      <w:proofErr w:type="spellEnd"/>
      <w:r w:rsidRPr="00A360B5">
        <w:rPr>
          <w:i/>
        </w:rPr>
        <w:t xml:space="preserve"> Monitor</w:t>
      </w:r>
      <w:r w:rsidRPr="001C0D9F">
        <w:t xml:space="preserve"> (GEM), u koji je Hrvatska uključena od 2002. godine, ukazuje na vrlo nisku razinu aktivnosti u pokretanju novih poslovnih pothvata koju mjeri </w:t>
      </w:r>
      <w:r w:rsidRPr="00A360B5">
        <w:rPr>
          <w:i/>
        </w:rPr>
        <w:t xml:space="preserve">Total </w:t>
      </w:r>
      <w:proofErr w:type="spellStart"/>
      <w:r w:rsidRPr="00A360B5">
        <w:rPr>
          <w:i/>
        </w:rPr>
        <w:t>Entrepreneurial</w:t>
      </w:r>
      <w:proofErr w:type="spellEnd"/>
      <w:r w:rsidRPr="00A360B5">
        <w:rPr>
          <w:i/>
        </w:rPr>
        <w:t xml:space="preserve"> </w:t>
      </w:r>
      <w:proofErr w:type="spellStart"/>
      <w:r w:rsidRPr="00A360B5">
        <w:rPr>
          <w:i/>
        </w:rPr>
        <w:t>Activity</w:t>
      </w:r>
      <w:proofErr w:type="spellEnd"/>
      <w:r w:rsidRPr="001C0D9F">
        <w:t xml:space="preserve"> indeks (TEA)</w:t>
      </w:r>
      <w:r w:rsidRPr="001C0D9F">
        <w:rPr>
          <w:vertAlign w:val="superscript"/>
        </w:rPr>
        <w:footnoteReference w:id="31"/>
      </w:r>
      <w:r w:rsidRPr="001C0D9F">
        <w:t xml:space="preserve">. S TEA indeksom 3,62 u 2002., 3,73 u 2004., 8,58 u 2006., 7,59 u 2008., 5,52 u 2010. i 7,32 u 2011. godini Hrvatska se ubraja u zemlje s niskom razinom aktivnosti </w:t>
      </w:r>
      <w:r>
        <w:t>u pokretanju poslovnih pothvata. Porast poduzetničke aktivnosti</w:t>
      </w:r>
      <w:r w:rsidRPr="001C0D9F">
        <w:t xml:space="preserve"> i</w:t>
      </w:r>
      <w:r>
        <w:t xml:space="preserve"> povećanje</w:t>
      </w:r>
      <w:r w:rsidRPr="001C0D9F">
        <w:t xml:space="preserve"> udjela rastućih poduzeća</w:t>
      </w:r>
      <w:r w:rsidRPr="001C0D9F">
        <w:rPr>
          <w:vertAlign w:val="superscript"/>
        </w:rPr>
        <w:footnoteReference w:id="32"/>
      </w:r>
      <w:r>
        <w:t xml:space="preserve"> u gospodarstvu mogli bi</w:t>
      </w:r>
      <w:r w:rsidRPr="001C0D9F">
        <w:t xml:space="preserve"> pridonijeti rješavanju problema nezaposlenosti</w:t>
      </w:r>
      <w:r>
        <w:t xml:space="preserve"> i povećati priljev investicija u Republiku Hrvatsku</w:t>
      </w:r>
      <w:r w:rsidRPr="001C0D9F">
        <w:t>.</w:t>
      </w:r>
      <w:r w:rsidRPr="008B76EF">
        <w:t xml:space="preserve"> </w:t>
      </w:r>
    </w:p>
    <w:p w:rsidR="000C1520" w:rsidRPr="00880754" w:rsidRDefault="000C1520" w:rsidP="00AF6936">
      <w:pPr>
        <w:spacing w:before="120" w:line="360" w:lineRule="auto"/>
        <w:jc w:val="both"/>
        <w:rPr>
          <w:rFonts w:cs="Calibri"/>
          <w:i/>
          <w:color w:val="FF0000"/>
          <w:sz w:val="20"/>
          <w:szCs w:val="20"/>
        </w:rPr>
      </w:pPr>
      <w:r w:rsidRPr="00880754">
        <w:rPr>
          <w:rFonts w:cs="Calibri"/>
          <w:b/>
          <w:i/>
          <w:color w:val="FF0000"/>
        </w:rPr>
        <w:t>...dok je turis</w:t>
      </w:r>
      <w:r>
        <w:rPr>
          <w:rFonts w:cs="Calibri"/>
          <w:b/>
          <w:i/>
          <w:color w:val="FF0000"/>
        </w:rPr>
        <w:t>tički sektor jedan od sektora s</w:t>
      </w:r>
      <w:r w:rsidRPr="00880754">
        <w:rPr>
          <w:rFonts w:cs="Calibri"/>
          <w:b/>
          <w:i/>
          <w:color w:val="FF0000"/>
        </w:rPr>
        <w:t xml:space="preserve"> najvećim potencijalom za privl</w:t>
      </w:r>
      <w:r>
        <w:rPr>
          <w:rFonts w:cs="Calibri"/>
          <w:b/>
          <w:i/>
          <w:color w:val="FF0000"/>
        </w:rPr>
        <w:t>ač</w:t>
      </w:r>
      <w:r w:rsidRPr="00880754">
        <w:rPr>
          <w:rFonts w:cs="Calibri"/>
          <w:b/>
          <w:i/>
          <w:color w:val="FF0000"/>
        </w:rPr>
        <w:t>enje investicija</w:t>
      </w:r>
    </w:p>
    <w:p w:rsidR="000C1520" w:rsidRPr="001C0D9F" w:rsidRDefault="000C1520" w:rsidP="00AF6936">
      <w:pPr>
        <w:spacing w:line="360" w:lineRule="auto"/>
        <w:jc w:val="both"/>
        <w:rPr>
          <w:rFonts w:cs="Calibri"/>
        </w:rPr>
      </w:pPr>
      <w:r>
        <w:rPr>
          <w:rFonts w:cs="Calibri"/>
        </w:rPr>
        <w:t>Hrvatski turizam</w:t>
      </w:r>
      <w:r w:rsidRPr="001C0D9F">
        <w:rPr>
          <w:rFonts w:cs="Calibri"/>
        </w:rPr>
        <w:t xml:space="preserve"> </w:t>
      </w:r>
      <w:r>
        <w:rPr>
          <w:rFonts w:cs="Calibri"/>
        </w:rPr>
        <w:t>jedan je od najbrže rastućih i</w:t>
      </w:r>
      <w:r w:rsidRPr="001C0D9F">
        <w:rPr>
          <w:rFonts w:cs="Calibri"/>
        </w:rPr>
        <w:t xml:space="preserve"> najprof</w:t>
      </w:r>
      <w:r>
        <w:rPr>
          <w:rFonts w:cs="Calibri"/>
        </w:rPr>
        <w:t>itabilnijih sektora u Republici Hrvatskoj</w:t>
      </w:r>
      <w:r w:rsidRPr="001C0D9F">
        <w:rPr>
          <w:rFonts w:cs="Calibri"/>
        </w:rPr>
        <w:t>, s bezb</w:t>
      </w:r>
      <w:r>
        <w:rPr>
          <w:rFonts w:cs="Calibri"/>
        </w:rPr>
        <w:t>rojnim mogućnostima za daljnji</w:t>
      </w:r>
      <w:r w:rsidRPr="001C0D9F">
        <w:rPr>
          <w:rFonts w:cs="Calibri"/>
        </w:rPr>
        <w:t xml:space="preserve"> razvoj</w:t>
      </w:r>
      <w:r>
        <w:rPr>
          <w:rFonts w:cs="Calibri"/>
        </w:rPr>
        <w:t xml:space="preserve"> i povećanje konkurentnosti.</w:t>
      </w:r>
    </w:p>
    <w:p w:rsidR="000C1520" w:rsidRPr="001C0D9F" w:rsidRDefault="000C1520" w:rsidP="00AF6936">
      <w:pPr>
        <w:autoSpaceDE w:val="0"/>
        <w:autoSpaceDN w:val="0"/>
        <w:adjustRightInd w:val="0"/>
        <w:spacing w:after="0" w:line="360" w:lineRule="auto"/>
        <w:jc w:val="both"/>
        <w:rPr>
          <w:rFonts w:cs="Calibri"/>
        </w:rPr>
      </w:pPr>
      <w:r w:rsidRPr="001C0D9F">
        <w:rPr>
          <w:rFonts w:cs="Calibri"/>
        </w:rPr>
        <w:t>Hrvatska</w:t>
      </w:r>
      <w:r>
        <w:rPr>
          <w:rFonts w:cs="Calibri"/>
        </w:rPr>
        <w:t xml:space="preserve"> pripada zemljama koje </w:t>
      </w:r>
      <w:r w:rsidRPr="001C0D9F">
        <w:rPr>
          <w:rFonts w:cs="Calibri"/>
        </w:rPr>
        <w:t xml:space="preserve">posjetitelje </w:t>
      </w:r>
      <w:r>
        <w:rPr>
          <w:rFonts w:cs="Calibri"/>
        </w:rPr>
        <w:t xml:space="preserve">privlače </w:t>
      </w:r>
      <w:r w:rsidRPr="001C0D9F">
        <w:rPr>
          <w:rFonts w:cs="Calibri"/>
        </w:rPr>
        <w:t>više odlikama svoga prirodnog prostora i bogatstvom kulturno-povijesne baštine nego kvalitetom, raspoloživošću i/ili raznovrsnošću novostvorenih</w:t>
      </w:r>
      <w:r>
        <w:rPr>
          <w:rFonts w:cs="Calibri"/>
        </w:rPr>
        <w:t xml:space="preserve"> turističkih atrakcija. Danas Hrvatskoj</w:t>
      </w:r>
      <w:r w:rsidRPr="001C0D9F">
        <w:rPr>
          <w:rFonts w:cs="Calibri"/>
        </w:rPr>
        <w:t xml:space="preserve"> nedostaju centri cjelogodišnjeg planinskog i sportskog turizma, kvalitetne biciklističke staze s potrebnom infrastrukturom i </w:t>
      </w:r>
      <w:proofErr w:type="spellStart"/>
      <w:r w:rsidRPr="001C0D9F">
        <w:rPr>
          <w:rFonts w:cs="Calibri"/>
        </w:rPr>
        <w:t>suprastrukturom</w:t>
      </w:r>
      <w:proofErr w:type="spellEnd"/>
      <w:r w:rsidRPr="001C0D9F">
        <w:rPr>
          <w:rFonts w:cs="Calibri"/>
        </w:rPr>
        <w:t>, ronilački i jedriličarski centri te drugi sadržaji nužni za kvalitetno i dugoročno održivo tržišno pozicioniranje na tržištu posebnih interesa. Također</w:t>
      </w:r>
      <w:r>
        <w:rPr>
          <w:rFonts w:cs="Calibri"/>
        </w:rPr>
        <w:t>,</w:t>
      </w:r>
      <w:r w:rsidRPr="001C0D9F">
        <w:rPr>
          <w:rFonts w:cs="Calibri"/>
        </w:rPr>
        <w:t xml:space="preserve"> nedostaju suvremeno opremljeni kongresni centri, tematski</w:t>
      </w:r>
      <w:r>
        <w:rPr>
          <w:rFonts w:cs="Calibri"/>
        </w:rPr>
        <w:t xml:space="preserve"> i/ili zabavni parkovi, </w:t>
      </w:r>
      <w:r w:rsidRPr="001C0D9F">
        <w:rPr>
          <w:rFonts w:cs="Calibri"/>
        </w:rPr>
        <w:t>igrališta</w:t>
      </w:r>
      <w:r>
        <w:rPr>
          <w:rFonts w:cs="Calibri"/>
        </w:rPr>
        <w:t xml:space="preserve"> za golf</w:t>
      </w:r>
      <w:r w:rsidRPr="001C0D9F">
        <w:rPr>
          <w:rFonts w:cs="Calibri"/>
        </w:rPr>
        <w:t xml:space="preserve">, centri za posjetitelje, kvalitetno osmišljene tematske rute te slični sadržaji </w:t>
      </w:r>
      <w:r>
        <w:rPr>
          <w:rFonts w:cs="Calibri"/>
        </w:rPr>
        <w:t xml:space="preserve">u okviru </w:t>
      </w:r>
      <w:r w:rsidRPr="001C0D9F">
        <w:rPr>
          <w:rFonts w:cs="Calibri"/>
        </w:rPr>
        <w:t>turističke ponude.</w:t>
      </w:r>
      <w:r w:rsidRPr="001C0D9F">
        <w:rPr>
          <w:color w:val="330000"/>
        </w:rPr>
        <w:t xml:space="preserve"> </w:t>
      </w:r>
    </w:p>
    <w:p w:rsidR="000C1520" w:rsidRDefault="000C1520" w:rsidP="00AF6936">
      <w:pPr>
        <w:spacing w:line="360" w:lineRule="auto"/>
        <w:jc w:val="both"/>
        <w:rPr>
          <w:rFonts w:cs="Calibri"/>
        </w:rPr>
      </w:pPr>
      <w:r w:rsidRPr="001C0D9F">
        <w:rPr>
          <w:rFonts w:cs="Calibri"/>
        </w:rPr>
        <w:t xml:space="preserve">Vezano uz smještajne kapacitete Hrvatska je u 2011. godini raspolagala s 852,4 tisuće stalnih ležajeva u registriranim komercijalnim smještajnim objektima, od čega u hotelima 13%, kampovima 25%, ostalim kolektivnim kapacitetima 13% te kućanstvima 49%. U posljednjem desetljeću RH je povećala raspoloživi smještajni kapacitet mjeren brojem stalnih ležajeva u registriranim komercijalnim </w:t>
      </w:r>
      <w:r w:rsidRPr="001C0D9F">
        <w:rPr>
          <w:rFonts w:cs="Calibri"/>
        </w:rPr>
        <w:lastRenderedPageBreak/>
        <w:t>smještajnim objektima za 25%. Najveći rast smještajnog potencijala zabil</w:t>
      </w:r>
      <w:r>
        <w:rPr>
          <w:rFonts w:cs="Calibri"/>
        </w:rPr>
        <w:t xml:space="preserve">ježen je u kućanstvima (46%), </w:t>
      </w:r>
      <w:r w:rsidRPr="001C0D9F">
        <w:rPr>
          <w:rFonts w:cs="Calibri"/>
        </w:rPr>
        <w:t>potom hotelima (19%) i kampovima (12%), dok je kapacitet ostalih kolektivnih objekata smanjen za 3%.</w:t>
      </w:r>
    </w:p>
    <w:p w:rsidR="000C1520" w:rsidRDefault="000C1520" w:rsidP="00AF6936">
      <w:pPr>
        <w:spacing w:line="360" w:lineRule="auto"/>
        <w:jc w:val="both"/>
        <w:rPr>
          <w:rFonts w:cs="Calibri"/>
        </w:rPr>
      </w:pPr>
      <w:r>
        <w:rPr>
          <w:rFonts w:cs="Calibri"/>
        </w:rPr>
        <w:t xml:space="preserve">Jačanjem atraktivnosti turističkih destinacija, promidžbom i </w:t>
      </w:r>
      <w:proofErr w:type="spellStart"/>
      <w:r>
        <w:rPr>
          <w:rFonts w:cs="Calibri"/>
        </w:rPr>
        <w:t>brendiranjem</w:t>
      </w:r>
      <w:proofErr w:type="spellEnd"/>
      <w:r>
        <w:rPr>
          <w:rFonts w:cs="Calibri"/>
        </w:rPr>
        <w:t>, kao i daljnjim razvojem javne turističke infrastrukture, omogućit će se povećano privlačenje investicija u turistički sektor.</w:t>
      </w:r>
    </w:p>
    <w:p w:rsidR="000C1520" w:rsidRPr="00671FBC" w:rsidRDefault="000C1520" w:rsidP="00671FBC">
      <w:pPr>
        <w:pStyle w:val="ListParagraph"/>
        <w:numPr>
          <w:ilvl w:val="0"/>
          <w:numId w:val="39"/>
        </w:numPr>
        <w:spacing w:line="360" w:lineRule="auto"/>
        <w:jc w:val="both"/>
        <w:rPr>
          <w:rFonts w:cs="Calibri"/>
        </w:rPr>
      </w:pPr>
      <w:r w:rsidRPr="00671FBC">
        <w:rPr>
          <w:rFonts w:cs="Calibri"/>
          <w:b/>
          <w:i/>
          <w:color w:val="FF0000"/>
        </w:rPr>
        <w:t>Razvijena znanstveno-istraživačka infrastruktura i inovativni potencijal javnog i poslovnog sektora temelj su za poticanje investicija u industrije u nastajanju i visoko-tehnološke sektore ...</w:t>
      </w:r>
    </w:p>
    <w:p w:rsidR="000C1520" w:rsidRPr="001C0D9F" w:rsidRDefault="000C1520" w:rsidP="00AF6936">
      <w:pPr>
        <w:spacing w:before="120" w:after="0" w:line="360" w:lineRule="auto"/>
        <w:jc w:val="both"/>
        <w:rPr>
          <w:rFonts w:cs="Calibri"/>
        </w:rPr>
      </w:pPr>
      <w:r w:rsidRPr="001C0D9F">
        <w:rPr>
          <w:rFonts w:cs="Calibri"/>
        </w:rPr>
        <w:t xml:space="preserve">U posljednjem je desetljeću </w:t>
      </w:r>
      <w:r w:rsidRPr="00F5458F">
        <w:rPr>
          <w:rFonts w:cs="Calibri"/>
        </w:rPr>
        <w:t xml:space="preserve">RH </w:t>
      </w:r>
      <w:r w:rsidR="00F5458F" w:rsidRPr="00F5458F">
        <w:rPr>
          <w:rFonts w:cs="Calibri"/>
        </w:rPr>
        <w:t>uvela</w:t>
      </w:r>
      <w:r w:rsidRPr="00F5458F">
        <w:rPr>
          <w:rFonts w:cs="Calibri"/>
        </w:rPr>
        <w:t xml:space="preserve"> značajne promjene na</w:t>
      </w:r>
      <w:r w:rsidRPr="001C0D9F">
        <w:rPr>
          <w:rFonts w:cs="Calibri"/>
        </w:rPr>
        <w:t xml:space="preserve"> organizacijskoj, institucionalno</w:t>
      </w:r>
      <w:r w:rsidR="0075701E">
        <w:rPr>
          <w:rFonts w:cs="Calibri"/>
        </w:rPr>
        <w:t xml:space="preserve">j, </w:t>
      </w:r>
      <w:r w:rsidR="0075701E" w:rsidRPr="005F07EA">
        <w:rPr>
          <w:rFonts w:cs="Calibri"/>
        </w:rPr>
        <w:t>zakonodavnoj</w:t>
      </w:r>
      <w:r w:rsidRPr="005F07EA">
        <w:rPr>
          <w:rFonts w:cs="Calibri"/>
        </w:rPr>
        <w:t xml:space="preserve"> i administrativnoj </w:t>
      </w:r>
      <w:r w:rsidRPr="001C0D9F">
        <w:rPr>
          <w:rFonts w:cs="Calibri"/>
        </w:rPr>
        <w:t>razini s ciljem stvaranja boljeg okruženja za poduzetništvo temeljeno na znanju i inova</w:t>
      </w:r>
      <w:r>
        <w:rPr>
          <w:rFonts w:cs="Calibri"/>
        </w:rPr>
        <w:t>cijama. Ipak i uz takve napor</w:t>
      </w:r>
      <w:r w:rsidRPr="001C0D9F">
        <w:rPr>
          <w:rFonts w:cs="Calibri"/>
        </w:rPr>
        <w:t>e</w:t>
      </w:r>
      <w:r>
        <w:rPr>
          <w:rFonts w:cs="Calibri"/>
        </w:rPr>
        <w:t>,</w:t>
      </w:r>
      <w:r w:rsidRPr="001C0D9F">
        <w:rPr>
          <w:rFonts w:cs="Calibri"/>
        </w:rPr>
        <w:t xml:space="preserve"> sektor istraživanja, razvoja i inovacija u Hrvatskoj i dalje zaostaje za razvijenim gospodarstvima u EU i šire.</w:t>
      </w:r>
    </w:p>
    <w:p w:rsidR="000C1520" w:rsidRPr="001C0D9F" w:rsidRDefault="000C1520" w:rsidP="00AF6936">
      <w:pPr>
        <w:spacing w:before="120" w:line="360" w:lineRule="auto"/>
        <w:jc w:val="both"/>
        <w:rPr>
          <w:rFonts w:cs="Calibri"/>
        </w:rPr>
      </w:pPr>
      <w:r w:rsidRPr="00D06AB0">
        <w:rPr>
          <w:rFonts w:cs="Calibri"/>
        </w:rPr>
        <w:t>Prema</w:t>
      </w:r>
      <w:r>
        <w:rPr>
          <w:rFonts w:cs="Calibri"/>
        </w:rPr>
        <w:t xml:space="preserve"> izvješću </w:t>
      </w:r>
      <w:proofErr w:type="spellStart"/>
      <w:r w:rsidRPr="009D4FC0">
        <w:rPr>
          <w:rFonts w:cs="Calibri"/>
          <w:i/>
        </w:rPr>
        <w:t>Doing</w:t>
      </w:r>
      <w:proofErr w:type="spellEnd"/>
      <w:r w:rsidRPr="009D4FC0">
        <w:rPr>
          <w:rFonts w:cs="Calibri"/>
          <w:i/>
        </w:rPr>
        <w:t xml:space="preserve"> </w:t>
      </w:r>
      <w:proofErr w:type="spellStart"/>
      <w:r w:rsidRPr="009D4FC0">
        <w:rPr>
          <w:rFonts w:cs="Calibri"/>
          <w:i/>
        </w:rPr>
        <w:t>Business</w:t>
      </w:r>
      <w:proofErr w:type="spellEnd"/>
      <w:r w:rsidRPr="00D06AB0">
        <w:rPr>
          <w:rFonts w:cs="Calibri"/>
          <w:color w:val="FF0000"/>
        </w:rPr>
        <w:t xml:space="preserve"> </w:t>
      </w:r>
      <w:r w:rsidRPr="00D06AB0">
        <w:rPr>
          <w:rFonts w:cs="Calibri"/>
        </w:rPr>
        <w:t>Svjetske banke za 2013. godinu, RH se po indeksu lakoće poslovanja nalazi na 89. mjestu među 189 zemalja. Osim toga, uslijed ograničenog dotoka izravnih stranih investicija u sektorima s intenzivnom primjenom tehnologije i visokom do</w:t>
      </w:r>
      <w:r>
        <w:rPr>
          <w:rFonts w:cs="Calibri"/>
        </w:rPr>
        <w:t xml:space="preserve">danom vrijednošću, RH nije bila u </w:t>
      </w:r>
      <w:r w:rsidRPr="00D06AB0">
        <w:rPr>
          <w:rFonts w:cs="Calibri"/>
        </w:rPr>
        <w:t>mogućnost</w:t>
      </w:r>
      <w:r>
        <w:rPr>
          <w:rFonts w:cs="Calibri"/>
        </w:rPr>
        <w:t>i</w:t>
      </w:r>
      <w:r w:rsidRPr="00D06AB0">
        <w:rPr>
          <w:rFonts w:cs="Calibri"/>
        </w:rPr>
        <w:t xml:space="preserve"> ostvariti koristi od značajnog prijenosa znanja i tehnološkog unaprjeđenja.</w:t>
      </w:r>
      <w:r w:rsidRPr="001C0D9F">
        <w:rPr>
          <w:rFonts w:cs="Calibri"/>
        </w:rPr>
        <w:t xml:space="preserve"> </w:t>
      </w:r>
    </w:p>
    <w:p w:rsidR="000C1520" w:rsidRPr="001C0D9F" w:rsidRDefault="000C1520" w:rsidP="00AF6936">
      <w:pPr>
        <w:spacing w:before="120" w:line="360" w:lineRule="auto"/>
        <w:jc w:val="both"/>
        <w:rPr>
          <w:rFonts w:cs="Calibri"/>
        </w:rPr>
      </w:pPr>
      <w:r w:rsidRPr="001C0D9F">
        <w:rPr>
          <w:rFonts w:cs="Calibri"/>
        </w:rPr>
        <w:t>Zbog ograničenih poslo</w:t>
      </w:r>
      <w:r>
        <w:rPr>
          <w:rFonts w:cs="Calibri"/>
        </w:rPr>
        <w:t>vnih ulaganja u istraživanje, razvoj i</w:t>
      </w:r>
      <w:r w:rsidRPr="001C0D9F">
        <w:rPr>
          <w:rFonts w:cs="Calibri"/>
        </w:rPr>
        <w:t xml:space="preserve"> inovacije</w:t>
      </w:r>
      <w:r>
        <w:rPr>
          <w:rFonts w:cs="Calibri"/>
        </w:rPr>
        <w:t>, proizvodnja i izvoz temelje se</w:t>
      </w:r>
      <w:r w:rsidRPr="001C0D9F">
        <w:rPr>
          <w:rFonts w:cs="Calibri"/>
        </w:rPr>
        <w:t xml:space="preserve"> na niskoj i srednje niskoj tehnologiji. U usporedbi s drugim gospodarstvima u Središnjoj i Istočnoj Europi, Hrvatska ostvaruje spori n</w:t>
      </w:r>
      <w:r>
        <w:rPr>
          <w:rFonts w:cs="Calibri"/>
        </w:rPr>
        <w:t xml:space="preserve">apredak u preobrazbi strukture </w:t>
      </w:r>
      <w:r w:rsidRPr="001C0D9F">
        <w:rPr>
          <w:rFonts w:cs="Calibri"/>
        </w:rPr>
        <w:t xml:space="preserve">proizvodnje i izvoza prema proizvodima koji intenzivno koriste tehnologiju i kvalificiranu radnu snagu. </w:t>
      </w:r>
    </w:p>
    <w:p w:rsidR="000C1520" w:rsidRPr="001C0D9F" w:rsidRDefault="000C1520" w:rsidP="00AF6936">
      <w:pPr>
        <w:spacing w:line="360" w:lineRule="auto"/>
        <w:jc w:val="both"/>
        <w:rPr>
          <w:rFonts w:cs="Calibri"/>
        </w:rPr>
      </w:pPr>
      <w:r w:rsidRPr="001C0D9F">
        <w:rPr>
          <w:rFonts w:cs="Calibri"/>
        </w:rPr>
        <w:t xml:space="preserve">Stoga je potrebno poduzeti određene mjere ne samo u smjeru pojačanog financiranja istraživanja, razvoja tehnologije i inovacija, već i u smjeru povezivanja istraživačkih programa na nacionalnoj i međunarodnoj razini kao i jačanja veza s regijom i Europom. U tom bi smislu </w:t>
      </w:r>
      <w:r>
        <w:rPr>
          <w:rFonts w:cs="Calibri"/>
        </w:rPr>
        <w:t>jedan od osnovnih ciljeva treba</w:t>
      </w:r>
      <w:r w:rsidRPr="001C0D9F">
        <w:rPr>
          <w:rFonts w:cs="Calibri"/>
        </w:rPr>
        <w:t>o biti stvaranje sektorskih tehnoloških platformi i umrežavanje centara izvrsnosti i centara kompetencije</w:t>
      </w:r>
      <w:r w:rsidR="00D87C12">
        <w:rPr>
          <w:rFonts w:cs="Calibri"/>
        </w:rPr>
        <w:t xml:space="preserve">, </w:t>
      </w:r>
      <w:r w:rsidRPr="001C0D9F">
        <w:rPr>
          <w:rFonts w:cs="Calibri"/>
        </w:rPr>
        <w:t xml:space="preserve">čime će se stimulirati razmjena znanja i iskustva između znanstveno-istraživačkog i poslovnog sektora. </w:t>
      </w:r>
    </w:p>
    <w:p w:rsidR="000C1520" w:rsidRPr="001C0D9F" w:rsidRDefault="000C1520" w:rsidP="00AF6936">
      <w:pPr>
        <w:spacing w:before="120" w:line="360" w:lineRule="auto"/>
        <w:jc w:val="both"/>
        <w:rPr>
          <w:rFonts w:cs="Calibri"/>
        </w:rPr>
      </w:pPr>
      <w:r w:rsidRPr="001C0D9F">
        <w:rPr>
          <w:rFonts w:cs="Calibri"/>
        </w:rPr>
        <w:t>Ulaganja u istraživanje, razvoj i inovacije u RH u razdoblju od 20</w:t>
      </w:r>
      <w:r>
        <w:rPr>
          <w:rFonts w:cs="Calibri"/>
        </w:rPr>
        <w:t>00. do 2010. godine iznose od 0,73% do 1,</w:t>
      </w:r>
      <w:r w:rsidRPr="001C0D9F">
        <w:rPr>
          <w:rFonts w:cs="Calibri"/>
        </w:rPr>
        <w:t xml:space="preserve">07% BDP-a. U 2010. godini u RH </w:t>
      </w:r>
      <w:r>
        <w:rPr>
          <w:rFonts w:cs="Calibri"/>
        </w:rPr>
        <w:t xml:space="preserve">je utrošeno </w:t>
      </w:r>
      <w:r w:rsidRPr="001C0D9F">
        <w:rPr>
          <w:rFonts w:cs="Calibri"/>
        </w:rPr>
        <w:t>2.366.067.000,00 kuna sredstava državnog proračuna za aktivnost istraživanja i razvoja, a udio državnih proračunskih sredstava za istraživanj</w:t>
      </w:r>
      <w:r>
        <w:rPr>
          <w:rFonts w:cs="Calibri"/>
        </w:rPr>
        <w:t>e i razvoj u BDP-u (GBAORD kao postotak BDP-a) iznosio je 0,</w:t>
      </w:r>
      <w:r w:rsidRPr="001C0D9F">
        <w:rPr>
          <w:rFonts w:cs="Calibri"/>
        </w:rPr>
        <w:t xml:space="preserve">69 %. Prema navedenim pokazateljima RH </w:t>
      </w:r>
      <w:r w:rsidRPr="001C0D9F">
        <w:rPr>
          <w:rFonts w:cs="Calibri"/>
        </w:rPr>
        <w:lastRenderedPageBreak/>
        <w:t>značajno zaostaje za prosjekom EU</w:t>
      </w:r>
      <w:r>
        <w:rPr>
          <w:rFonts w:cs="Calibri"/>
        </w:rPr>
        <w:t xml:space="preserve"> 27 (2,</w:t>
      </w:r>
      <w:r w:rsidRPr="001C0D9F">
        <w:rPr>
          <w:rFonts w:cs="Calibri"/>
        </w:rPr>
        <w:t>0% u EU</w:t>
      </w:r>
      <w:r>
        <w:rPr>
          <w:rFonts w:cs="Calibri"/>
        </w:rPr>
        <w:t xml:space="preserve"> 27), no potrebno je</w:t>
      </w:r>
      <w:r w:rsidRPr="001C0D9F">
        <w:rPr>
          <w:rFonts w:cs="Calibri"/>
        </w:rPr>
        <w:t xml:space="preserve"> napomenuti da je i izdvajanje EU</w:t>
      </w:r>
      <w:r>
        <w:rPr>
          <w:rFonts w:cs="Calibri"/>
        </w:rPr>
        <w:t xml:space="preserve"> </w:t>
      </w:r>
      <w:r w:rsidRPr="001C0D9F">
        <w:rPr>
          <w:rFonts w:cs="Calibri"/>
        </w:rPr>
        <w:t>27 daleko ispod zacrtanog cilja od 3% BDP-a. Globalna, europska i naciona</w:t>
      </w:r>
      <w:r>
        <w:rPr>
          <w:rFonts w:cs="Calibri"/>
        </w:rPr>
        <w:t xml:space="preserve">lna gospodarska kriza usporavaju rast ulaganja u </w:t>
      </w:r>
      <w:r w:rsidRPr="00156548">
        <w:rPr>
          <w:rFonts w:cs="Calibri"/>
        </w:rPr>
        <w:t>I&amp;R</w:t>
      </w:r>
      <w:r w:rsidRPr="001C0D9F">
        <w:rPr>
          <w:rFonts w:cs="Calibri"/>
        </w:rPr>
        <w:t xml:space="preserve"> što je vidljivo iz podataka </w:t>
      </w:r>
      <w:proofErr w:type="spellStart"/>
      <w:r w:rsidRPr="001C0D9F">
        <w:rPr>
          <w:rFonts w:cs="Calibri"/>
        </w:rPr>
        <w:t>Eurostata</w:t>
      </w:r>
      <w:proofErr w:type="spellEnd"/>
      <w:r w:rsidRPr="001C0D9F">
        <w:rPr>
          <w:rFonts w:cs="Calibri"/>
        </w:rPr>
        <w:t xml:space="preserve"> o izdacima za istraživanje i razvoj (GERD kao</w:t>
      </w:r>
      <w:r>
        <w:rPr>
          <w:rFonts w:cs="Calibri"/>
        </w:rPr>
        <w:t xml:space="preserve"> postotak </w:t>
      </w:r>
      <w:r w:rsidRPr="001C0D9F">
        <w:rPr>
          <w:rFonts w:cs="Calibri"/>
        </w:rPr>
        <w:t>BDP-a) koji od 2008. godine stagnir</w:t>
      </w:r>
      <w:r>
        <w:rPr>
          <w:rFonts w:cs="Calibri"/>
        </w:rPr>
        <w:t>aju ili padaju (u 2010. za RH iznosili su 0,73 %,  2009. 0,84 %, 2008. 0,</w:t>
      </w:r>
      <w:r w:rsidRPr="001C0D9F">
        <w:rPr>
          <w:rFonts w:cs="Calibri"/>
        </w:rPr>
        <w:t xml:space="preserve">9 %, </w:t>
      </w:r>
      <w:r w:rsidRPr="009D4FC0">
        <w:rPr>
          <w:rFonts w:cs="Calibri"/>
        </w:rPr>
        <w:t>2007. 0,81 %, 2006. 0,76</w:t>
      </w:r>
      <w:r>
        <w:rPr>
          <w:rFonts w:cs="Calibri"/>
        </w:rPr>
        <w:t xml:space="preserve"> %, 2005. 0,87 %, 2004. 1,</w:t>
      </w:r>
      <w:r w:rsidRPr="001C0D9F">
        <w:rPr>
          <w:rFonts w:cs="Calibri"/>
        </w:rPr>
        <w:t>05 %).</w:t>
      </w:r>
      <w:r w:rsidRPr="001C0D9F">
        <w:rPr>
          <w:rFonts w:cs="Calibri"/>
          <w:vertAlign w:val="superscript"/>
        </w:rPr>
        <w:footnoteReference w:id="33"/>
      </w:r>
      <w:r w:rsidRPr="001C0D9F">
        <w:rPr>
          <w:rFonts w:cs="Calibri"/>
        </w:rPr>
        <w:t xml:space="preserve"> </w:t>
      </w:r>
    </w:p>
    <w:p w:rsidR="000C1520" w:rsidRDefault="000C1520" w:rsidP="00AF6936">
      <w:pPr>
        <w:spacing w:line="360" w:lineRule="auto"/>
        <w:jc w:val="both"/>
        <w:rPr>
          <w:rFonts w:cs="Calibri"/>
        </w:rPr>
      </w:pPr>
      <w:r w:rsidRPr="001C0D9F">
        <w:rPr>
          <w:rFonts w:cs="Calibri"/>
        </w:rPr>
        <w:t>Jedan od glavnih problema sektora znanosti u RH je većinsko financiranje istraživačke djelatnosti iz javnog sektora. Izdvajanja poslovn</w:t>
      </w:r>
      <w:r>
        <w:rPr>
          <w:rFonts w:cs="Calibri"/>
        </w:rPr>
        <w:t>og sektora predstavljaju tek trećinu</w:t>
      </w:r>
      <w:r w:rsidRPr="001C0D9F">
        <w:rPr>
          <w:rFonts w:cs="Calibri"/>
        </w:rPr>
        <w:t xml:space="preserve"> ukupnih izdvajanja za istraživanje i razvoj.</w:t>
      </w:r>
      <w:r>
        <w:rPr>
          <w:rFonts w:cs="Calibri"/>
        </w:rPr>
        <w:t xml:space="preserve"> </w:t>
      </w:r>
      <w:r w:rsidRPr="001C0D9F">
        <w:rPr>
          <w:rFonts w:cs="Calibri"/>
        </w:rPr>
        <w:t>Izdaci za istraživanje i razv</w:t>
      </w:r>
      <w:r>
        <w:rPr>
          <w:rFonts w:cs="Calibri"/>
        </w:rPr>
        <w:t>oj poslovnog sektora (BERD kao postotak</w:t>
      </w:r>
      <w:r w:rsidRPr="001C0D9F">
        <w:rPr>
          <w:rFonts w:cs="Calibri"/>
        </w:rPr>
        <w:t xml:space="preserve"> </w:t>
      </w:r>
      <w:r>
        <w:rPr>
          <w:rFonts w:cs="Calibri"/>
        </w:rPr>
        <w:t>BDP-a) u 2010. iznosili su 0,32</w:t>
      </w:r>
      <w:r w:rsidRPr="00F5458F">
        <w:rPr>
          <w:rFonts w:cs="Calibri"/>
        </w:rPr>
        <w:t>% BDP</w:t>
      </w:r>
      <w:r w:rsidR="00F5458F" w:rsidRPr="00F5458F">
        <w:rPr>
          <w:rFonts w:cs="Calibri"/>
        </w:rPr>
        <w:t>-a (dok je</w:t>
      </w:r>
      <w:r w:rsidRPr="00F5458F">
        <w:rPr>
          <w:rFonts w:cs="Calibri"/>
        </w:rPr>
        <w:t xml:space="preserve"> ukupan iznos</w:t>
      </w:r>
      <w:r>
        <w:rPr>
          <w:rFonts w:cs="Calibri"/>
        </w:rPr>
        <w:t xml:space="preserve"> ulaganja u </w:t>
      </w:r>
      <w:r w:rsidRPr="00156548">
        <w:rPr>
          <w:rFonts w:cs="Calibri"/>
        </w:rPr>
        <w:t>I&amp;R</w:t>
      </w:r>
      <w:r w:rsidR="00F5458F">
        <w:rPr>
          <w:rFonts w:cs="Calibri"/>
        </w:rPr>
        <w:t xml:space="preserve"> bio </w:t>
      </w:r>
      <w:r>
        <w:rPr>
          <w:rFonts w:cs="Calibri"/>
        </w:rPr>
        <w:t>0,</w:t>
      </w:r>
      <w:r w:rsidRPr="001C0D9F">
        <w:rPr>
          <w:rFonts w:cs="Calibri"/>
        </w:rPr>
        <w:t>73% BD</w:t>
      </w:r>
      <w:r>
        <w:rPr>
          <w:rFonts w:cs="Calibri"/>
        </w:rPr>
        <w:t>P-a), dok u EU 27 udio iznosi 1,23%</w:t>
      </w:r>
      <w:r w:rsidRPr="001C0D9F">
        <w:rPr>
          <w:rFonts w:cs="Calibri"/>
        </w:rPr>
        <w:t xml:space="preserve"> </w:t>
      </w:r>
      <w:r w:rsidRPr="00F5458F">
        <w:rPr>
          <w:rFonts w:cs="Calibri"/>
        </w:rPr>
        <w:t>BDP</w:t>
      </w:r>
      <w:r w:rsidR="00F5458F" w:rsidRPr="00F5458F">
        <w:rPr>
          <w:rFonts w:cs="Calibri"/>
        </w:rPr>
        <w:t xml:space="preserve">-a (dok je </w:t>
      </w:r>
      <w:r w:rsidRPr="00F5458F">
        <w:rPr>
          <w:rFonts w:cs="Calibri"/>
        </w:rPr>
        <w:t>ukupan iznos</w:t>
      </w:r>
      <w:r>
        <w:rPr>
          <w:rFonts w:cs="Calibri"/>
        </w:rPr>
        <w:t xml:space="preserve"> ulaganja u </w:t>
      </w:r>
      <w:r w:rsidRPr="00156548">
        <w:rPr>
          <w:rFonts w:cs="Calibri"/>
        </w:rPr>
        <w:t xml:space="preserve">I&amp;R </w:t>
      </w:r>
      <w:r w:rsidR="00F5458F">
        <w:rPr>
          <w:rFonts w:cs="Calibri"/>
        </w:rPr>
        <w:t xml:space="preserve">bio </w:t>
      </w:r>
      <w:r>
        <w:rPr>
          <w:rFonts w:cs="Calibri"/>
        </w:rPr>
        <w:t>2% BDP-a).</w:t>
      </w:r>
      <w:r w:rsidRPr="001C0D9F">
        <w:rPr>
          <w:rFonts w:cs="Calibri"/>
        </w:rPr>
        <w:t xml:space="preserve"> Također je zabilježen padajući trend </w:t>
      </w:r>
      <w:r>
        <w:rPr>
          <w:rFonts w:cs="Calibri"/>
        </w:rPr>
        <w:t>i u odnosu na 2008.</w:t>
      </w:r>
      <w:r w:rsidRPr="001C0D9F">
        <w:rPr>
          <w:rFonts w:cs="Calibri"/>
        </w:rPr>
        <w:t xml:space="preserve"> </w:t>
      </w:r>
      <w:r>
        <w:rPr>
          <w:rFonts w:cs="Calibri"/>
        </w:rPr>
        <w:t>(0,4 %) i 2009. (0,34 %). Dakle, za razliku od RH</w:t>
      </w:r>
      <w:r w:rsidRPr="001C0D9F">
        <w:rPr>
          <w:rFonts w:cs="Calibri"/>
        </w:rPr>
        <w:t xml:space="preserve"> u EU je odnos između ulaganja javnog i privatnog sektora upravo obrnut: većina ulaganja u znanost d</w:t>
      </w:r>
      <w:r>
        <w:rPr>
          <w:rFonts w:cs="Calibri"/>
        </w:rPr>
        <w:t>olazi iz nevladinog sektora (54,</w:t>
      </w:r>
      <w:r w:rsidRPr="001C0D9F">
        <w:rPr>
          <w:rFonts w:cs="Calibri"/>
        </w:rPr>
        <w:t>1%), a najviši udio privatnog ulaganja (&gt;60%) zabilježen je u vrlo razvijenim europskim zemljama poput Luksemburga, Finske i Danske</w:t>
      </w:r>
      <w:r w:rsidRPr="001C0D9F">
        <w:rPr>
          <w:rFonts w:cs="Calibri"/>
          <w:vertAlign w:val="superscript"/>
        </w:rPr>
        <w:footnoteReference w:id="34"/>
      </w:r>
      <w:r w:rsidRPr="001C0D9F">
        <w:rPr>
          <w:rFonts w:cs="Calibri"/>
        </w:rPr>
        <w:t xml:space="preserve">. </w:t>
      </w:r>
    </w:p>
    <w:p w:rsidR="000C1520" w:rsidRPr="001C0D9F" w:rsidRDefault="000C1520" w:rsidP="00AF6936">
      <w:pPr>
        <w:spacing w:line="360" w:lineRule="auto"/>
        <w:jc w:val="both"/>
        <w:rPr>
          <w:rFonts w:cs="Calibri"/>
        </w:rPr>
      </w:pPr>
      <w:r w:rsidRPr="001C0D9F">
        <w:rPr>
          <w:rFonts w:cs="Calibri"/>
        </w:rPr>
        <w:t>Većina istraživanja i razvoja u privatnom sektoru (BERD) financirana je od strane samih poslovnih tvrtki (72% u 2008</w:t>
      </w:r>
      <w:r>
        <w:rPr>
          <w:rFonts w:cs="Calibri"/>
        </w:rPr>
        <w:t>.</w:t>
      </w:r>
      <w:r w:rsidRPr="001C0D9F">
        <w:rPr>
          <w:rFonts w:cs="Calibri"/>
        </w:rPr>
        <w:t xml:space="preserve">), dok strani investitori doprinose poslovnom </w:t>
      </w:r>
      <w:r w:rsidRPr="009D4FC0">
        <w:rPr>
          <w:rFonts w:cs="Calibri"/>
        </w:rPr>
        <w:t>sektoru sa 14,7%.</w:t>
      </w:r>
      <w:r w:rsidRPr="001C0D9F">
        <w:rPr>
          <w:rFonts w:cs="Calibri"/>
        </w:rPr>
        <w:t xml:space="preserve"> Jedan od temeljnih problema ulaganja u istraživanje i razvoj iz privatnog sektora jest slaba tehnološka razina hrvatskih poduzeća, koja ne mogu stvoriti potrebnu</w:t>
      </w:r>
      <w:r>
        <w:rPr>
          <w:rFonts w:cs="Calibri"/>
        </w:rPr>
        <w:t xml:space="preserve"> kritičnu masu u svrhu</w:t>
      </w:r>
      <w:r w:rsidRPr="001C0D9F">
        <w:rPr>
          <w:rFonts w:cs="Calibri"/>
        </w:rPr>
        <w:t xml:space="preserve"> apsorpcije istraživačkih rezultata i povećanja svoje inovativnosti.</w:t>
      </w:r>
      <w:r w:rsidRPr="001C0D9F">
        <w:rPr>
          <w:rFonts w:cs="Calibri"/>
          <w:vertAlign w:val="superscript"/>
        </w:rPr>
        <w:footnoteReference w:id="35"/>
      </w:r>
      <w:r w:rsidRPr="001C0D9F">
        <w:rPr>
          <w:rFonts w:cs="Calibri"/>
        </w:rPr>
        <w:t xml:space="preserve">  Dakle, hrvatskoj istraživačkoj zajednici nedostaju dinamični partneri iz privatnog sekt</w:t>
      </w:r>
      <w:r>
        <w:rPr>
          <w:rFonts w:cs="Calibri"/>
        </w:rPr>
        <w:t>ora, koji trenutno imaju male tehnološke kapacitete i slaba ulaganj</w:t>
      </w:r>
      <w:r w:rsidRPr="001C0D9F">
        <w:rPr>
          <w:rFonts w:cs="Calibri"/>
        </w:rPr>
        <w:t>a u istraživanje i razvoj.</w:t>
      </w:r>
      <w:r w:rsidRPr="001C0D9F">
        <w:rPr>
          <w:rFonts w:cs="Calibri"/>
          <w:vertAlign w:val="superscript"/>
        </w:rPr>
        <w:footnoteReference w:id="36"/>
      </w:r>
      <w:r>
        <w:rPr>
          <w:rFonts w:cs="Calibri"/>
        </w:rPr>
        <w:t xml:space="preserve"> Takvu situaciju potvrđuju prethodno</w:t>
      </w:r>
      <w:r w:rsidRPr="001C0D9F">
        <w:rPr>
          <w:rFonts w:cs="Calibri"/>
        </w:rPr>
        <w:t xml:space="preserve"> spomenuti podaci prema kojima ulaganje poslovnog sektora u istraživanje i razvoj </w:t>
      </w:r>
      <w:r>
        <w:rPr>
          <w:rFonts w:cs="Calibri"/>
        </w:rPr>
        <w:t>u RH iznosi svega 30 eura po glavi stanovnika</w:t>
      </w:r>
      <w:r w:rsidRPr="001C0D9F">
        <w:rPr>
          <w:rFonts w:cs="Calibri"/>
        </w:rPr>
        <w:t>, za razliku od Slovenije gdje ulaganje u I&amp;</w:t>
      </w:r>
      <w:r>
        <w:rPr>
          <w:rFonts w:cs="Calibri"/>
        </w:rPr>
        <w:t>R iznosi čak 130 eura po glavi stanovnika</w:t>
      </w:r>
      <w:r w:rsidR="00D87C12">
        <w:rPr>
          <w:rFonts w:cs="Calibri"/>
        </w:rPr>
        <w:t>. P</w:t>
      </w:r>
      <w:r w:rsidRPr="001C0D9F">
        <w:rPr>
          <w:rFonts w:cs="Calibri"/>
        </w:rPr>
        <w:t xml:space="preserve">ritom </w:t>
      </w:r>
      <w:r>
        <w:rPr>
          <w:rFonts w:cs="Calibri"/>
        </w:rPr>
        <w:t xml:space="preserve">je potrebno istaknuti </w:t>
      </w:r>
      <w:r w:rsidRPr="001C0D9F">
        <w:rPr>
          <w:rFonts w:cs="Calibri"/>
        </w:rPr>
        <w:t xml:space="preserve">da će privatna ulaganja </w:t>
      </w:r>
      <w:r w:rsidRPr="00156548">
        <w:rPr>
          <w:rFonts w:cs="Calibri"/>
        </w:rPr>
        <w:t xml:space="preserve">češće nego javna </w:t>
      </w:r>
      <w:r w:rsidRPr="001C0D9F">
        <w:rPr>
          <w:rFonts w:cs="Calibri"/>
        </w:rPr>
        <w:t>rezultirati inovacijama.</w:t>
      </w:r>
      <w:r w:rsidRPr="001C0D9F">
        <w:rPr>
          <w:rFonts w:cs="Calibri"/>
          <w:vertAlign w:val="superscript"/>
        </w:rPr>
        <w:footnoteReference w:id="37"/>
      </w:r>
      <w:r w:rsidRPr="001C0D9F">
        <w:rPr>
          <w:rFonts w:cs="Calibri"/>
        </w:rPr>
        <w:t xml:space="preserve"> Niska ulaganja </w:t>
      </w:r>
      <w:r>
        <w:rPr>
          <w:rFonts w:cs="Calibri"/>
        </w:rPr>
        <w:t xml:space="preserve">malih i srednjih poduzeća u istraživanje i razvoj </w:t>
      </w:r>
      <w:r w:rsidRPr="001C0D9F">
        <w:rPr>
          <w:rFonts w:cs="Calibri"/>
        </w:rPr>
        <w:t xml:space="preserve">također </w:t>
      </w:r>
      <w:r>
        <w:rPr>
          <w:rFonts w:cs="Calibri"/>
        </w:rPr>
        <w:t xml:space="preserve">su </w:t>
      </w:r>
      <w:r w:rsidRPr="001C0D9F">
        <w:rPr>
          <w:rFonts w:cs="Calibri"/>
        </w:rPr>
        <w:t>uvjetov</w:t>
      </w:r>
      <w:r>
        <w:rPr>
          <w:rFonts w:cs="Calibri"/>
        </w:rPr>
        <w:t>ana</w:t>
      </w:r>
      <w:r w:rsidRPr="001C0D9F">
        <w:rPr>
          <w:rFonts w:cs="Calibri"/>
        </w:rPr>
        <w:t xml:space="preserve"> malim mogućnostima financiranja u </w:t>
      </w:r>
      <w:r>
        <w:rPr>
          <w:rFonts w:cs="Calibri"/>
        </w:rPr>
        <w:t xml:space="preserve">njihovim </w:t>
      </w:r>
      <w:r w:rsidRPr="001C0D9F">
        <w:rPr>
          <w:rFonts w:cs="Calibri"/>
        </w:rPr>
        <w:t xml:space="preserve">ranim </w:t>
      </w:r>
      <w:r>
        <w:rPr>
          <w:rFonts w:cs="Calibri"/>
        </w:rPr>
        <w:t>razvojnim fazama</w:t>
      </w:r>
      <w:r w:rsidRPr="001C0D9F">
        <w:rPr>
          <w:rFonts w:cs="Calibri"/>
        </w:rPr>
        <w:t>. Naime, u RH su fondovi rizičnog kapitala (</w:t>
      </w:r>
      <w:proofErr w:type="spellStart"/>
      <w:r w:rsidRPr="001C0D9F">
        <w:rPr>
          <w:rFonts w:cs="Calibri"/>
        </w:rPr>
        <w:t>eng</w:t>
      </w:r>
      <w:proofErr w:type="spellEnd"/>
      <w:r w:rsidRPr="001C0D9F">
        <w:rPr>
          <w:rFonts w:cs="Calibri"/>
        </w:rPr>
        <w:t xml:space="preserve">. </w:t>
      </w:r>
      <w:proofErr w:type="spellStart"/>
      <w:r w:rsidRPr="001C0D9F">
        <w:rPr>
          <w:rFonts w:cs="Calibri"/>
        </w:rPr>
        <w:t>venture</w:t>
      </w:r>
      <w:proofErr w:type="spellEnd"/>
      <w:r w:rsidRPr="001C0D9F">
        <w:rPr>
          <w:rFonts w:cs="Calibri"/>
        </w:rPr>
        <w:t xml:space="preserve"> </w:t>
      </w:r>
      <w:proofErr w:type="spellStart"/>
      <w:r w:rsidRPr="001C0D9F">
        <w:rPr>
          <w:rFonts w:cs="Calibri"/>
        </w:rPr>
        <w:t>capital</w:t>
      </w:r>
      <w:proofErr w:type="spellEnd"/>
      <w:r w:rsidRPr="001C0D9F">
        <w:rPr>
          <w:rFonts w:cs="Calibri"/>
        </w:rPr>
        <w:t xml:space="preserve"> </w:t>
      </w:r>
      <w:proofErr w:type="spellStart"/>
      <w:r w:rsidRPr="001C0D9F">
        <w:rPr>
          <w:rFonts w:cs="Calibri"/>
        </w:rPr>
        <w:t>funds</w:t>
      </w:r>
      <w:proofErr w:type="spellEnd"/>
      <w:r w:rsidRPr="001C0D9F">
        <w:rPr>
          <w:rFonts w:cs="Calibri"/>
        </w:rPr>
        <w:t>) još nerazvijeni, stoga nove i inovativne tvrtke koje i</w:t>
      </w:r>
      <w:r>
        <w:rPr>
          <w:rFonts w:cs="Calibri"/>
        </w:rPr>
        <w:t>maju tehnološki potencijal (</w:t>
      </w:r>
      <w:proofErr w:type="spellStart"/>
      <w:r>
        <w:rPr>
          <w:rFonts w:cs="Calibri"/>
        </w:rPr>
        <w:t>eng</w:t>
      </w:r>
      <w:proofErr w:type="spellEnd"/>
      <w:r>
        <w:rPr>
          <w:rFonts w:cs="Calibri"/>
        </w:rPr>
        <w:t>.</w:t>
      </w:r>
      <w:r w:rsidRPr="001C0D9F">
        <w:rPr>
          <w:rFonts w:cs="Calibri"/>
        </w:rPr>
        <w:t xml:space="preserve"> start-ups) ne mogu osigurati dovoljno financijskih sredstava za svoj razvoj i komercijalizaciju znanja.</w:t>
      </w:r>
      <w:r w:rsidRPr="001C0D9F">
        <w:rPr>
          <w:rFonts w:cs="Calibri"/>
          <w:vertAlign w:val="superscript"/>
        </w:rPr>
        <w:footnoteReference w:id="38"/>
      </w:r>
      <w:r w:rsidRPr="001C0D9F">
        <w:rPr>
          <w:rFonts w:cs="Calibri"/>
        </w:rPr>
        <w:t xml:space="preserve"> </w:t>
      </w:r>
    </w:p>
    <w:p w:rsidR="000C1520" w:rsidRPr="001C0D9F" w:rsidRDefault="000C1520" w:rsidP="00AF6936">
      <w:pPr>
        <w:spacing w:before="120" w:line="360" w:lineRule="auto"/>
        <w:jc w:val="both"/>
        <w:rPr>
          <w:rFonts w:cs="Calibri"/>
        </w:rPr>
      </w:pPr>
      <w:r w:rsidRPr="001C0D9F">
        <w:rPr>
          <w:rFonts w:cs="Calibri"/>
        </w:rPr>
        <w:lastRenderedPageBreak/>
        <w:t>Kako bi se potaknuo daljnji rast ulaganja u istraživanje i razvoj od strane privatnog sektora, fiskalne potp</w:t>
      </w:r>
      <w:r>
        <w:rPr>
          <w:rFonts w:cs="Calibri"/>
        </w:rPr>
        <w:t>ore za I&amp;R značajno su povećane</w:t>
      </w:r>
      <w:r w:rsidRPr="001C0D9F">
        <w:rPr>
          <w:rFonts w:cs="Calibri"/>
        </w:rPr>
        <w:t xml:space="preserve"> u 2004. godini kada su standardne mjere o carinskim izuzećima proširene na poticaje vezane uz ulaganja u I&amp;R. Danas RH daje d</w:t>
      </w:r>
      <w:r>
        <w:rPr>
          <w:rFonts w:cs="Calibri"/>
        </w:rPr>
        <w:t>ržavne potpore za istraživanje, razvoj i</w:t>
      </w:r>
      <w:r w:rsidRPr="001C0D9F">
        <w:rPr>
          <w:rFonts w:cs="Calibri"/>
        </w:rPr>
        <w:t xml:space="preserve"> inovacije u obliku državnih subvencija ili poreznih poticaja. Državne potpore osigurane su za: (1) temeljna istraživanja, (2) primijenjena istraživanja i (3) razvojna istraživanja. Horizontalne dr</w:t>
      </w:r>
      <w:r>
        <w:rPr>
          <w:rFonts w:cs="Calibri"/>
        </w:rPr>
        <w:t xml:space="preserve">žavne potpore za istraživanje, </w:t>
      </w:r>
      <w:r w:rsidRPr="001C0D9F">
        <w:rPr>
          <w:rFonts w:cs="Calibri"/>
        </w:rPr>
        <w:t>razvoj i inovacije kontinuirano rastu od 2004</w:t>
      </w:r>
      <w:r>
        <w:rPr>
          <w:rFonts w:cs="Calibri"/>
        </w:rPr>
        <w:t>.</w:t>
      </w:r>
      <w:r w:rsidRPr="001C0D9F">
        <w:rPr>
          <w:rFonts w:cs="Calibri"/>
        </w:rPr>
        <w:t>, što dokazuje sve već</w:t>
      </w:r>
      <w:r>
        <w:rPr>
          <w:rFonts w:cs="Calibri"/>
        </w:rPr>
        <w:t>e zanimanje za I&amp;R i inovacije te</w:t>
      </w:r>
      <w:r w:rsidRPr="001C0D9F">
        <w:rPr>
          <w:rFonts w:cs="Calibri"/>
        </w:rPr>
        <w:t xml:space="preserve"> njihovu ulogu u ekonomskom rastu.</w:t>
      </w:r>
    </w:p>
    <w:p w:rsidR="000C1520" w:rsidRPr="001C0D9F" w:rsidRDefault="000C1520" w:rsidP="00AF6936">
      <w:pPr>
        <w:spacing w:before="120" w:line="360" w:lineRule="auto"/>
        <w:jc w:val="both"/>
        <w:rPr>
          <w:rFonts w:cs="Calibri"/>
        </w:rPr>
      </w:pPr>
      <w:r w:rsidRPr="001C0D9F">
        <w:rPr>
          <w:rFonts w:cs="Calibri"/>
        </w:rPr>
        <w:t xml:space="preserve">Važna komponenta konkurentnosti zemlje je procjena njezinih rezultata u inovacijama. Prema posljednjem izvješću </w:t>
      </w:r>
      <w:proofErr w:type="spellStart"/>
      <w:r w:rsidRPr="00C71368">
        <w:rPr>
          <w:rFonts w:cs="Calibri"/>
          <w:i/>
        </w:rPr>
        <w:t>Innovation</w:t>
      </w:r>
      <w:proofErr w:type="spellEnd"/>
      <w:r w:rsidRPr="00C71368">
        <w:rPr>
          <w:rFonts w:cs="Calibri"/>
          <w:i/>
        </w:rPr>
        <w:t xml:space="preserve"> Union </w:t>
      </w:r>
      <w:proofErr w:type="spellStart"/>
      <w:r w:rsidRPr="00C71368">
        <w:rPr>
          <w:rFonts w:cs="Calibri"/>
          <w:i/>
        </w:rPr>
        <w:t>Scoreboarda</w:t>
      </w:r>
      <w:proofErr w:type="spellEnd"/>
      <w:r w:rsidRPr="001C0D9F">
        <w:rPr>
          <w:rFonts w:cs="Calibri"/>
        </w:rPr>
        <w:t xml:space="preserve"> 2011. godine</w:t>
      </w:r>
      <w:r>
        <w:rPr>
          <w:rFonts w:cs="Calibri"/>
        </w:rPr>
        <w:t>,</w:t>
      </w:r>
      <w:r w:rsidRPr="001C0D9F">
        <w:rPr>
          <w:rFonts w:cs="Calibri"/>
        </w:rPr>
        <w:t xml:space="preserve"> RH je u odnosu na prethodnu godinu napredovala za tri mjesta na ljestvici pra</w:t>
      </w:r>
      <w:r>
        <w:rPr>
          <w:rFonts w:cs="Calibri"/>
        </w:rPr>
        <w:t xml:space="preserve">ćenja inovativne sposobnosti </w:t>
      </w:r>
      <w:r w:rsidRPr="001C0D9F">
        <w:rPr>
          <w:rFonts w:cs="Calibri"/>
        </w:rPr>
        <w:t>zemalja</w:t>
      </w:r>
      <w:r>
        <w:rPr>
          <w:rFonts w:cs="Calibri"/>
        </w:rPr>
        <w:t xml:space="preserve"> EU-a</w:t>
      </w:r>
      <w:r w:rsidRPr="001C0D9F">
        <w:rPr>
          <w:rFonts w:cs="Calibri"/>
        </w:rPr>
        <w:t>. Hrvatska je također napredovala prema SII pokazatelju (</w:t>
      </w:r>
      <w:proofErr w:type="spellStart"/>
      <w:r>
        <w:rPr>
          <w:rFonts w:cs="Calibri"/>
        </w:rPr>
        <w:t>eng</w:t>
      </w:r>
      <w:proofErr w:type="spellEnd"/>
      <w:r>
        <w:rPr>
          <w:rFonts w:cs="Calibri"/>
        </w:rPr>
        <w:t xml:space="preserve">. </w:t>
      </w:r>
      <w:proofErr w:type="spellStart"/>
      <w:r w:rsidRPr="001C0D9F">
        <w:rPr>
          <w:rFonts w:cs="Calibri"/>
        </w:rPr>
        <w:t>Summary</w:t>
      </w:r>
      <w:proofErr w:type="spellEnd"/>
      <w:r w:rsidRPr="001C0D9F">
        <w:rPr>
          <w:rFonts w:cs="Calibri"/>
        </w:rPr>
        <w:t xml:space="preserve"> </w:t>
      </w:r>
      <w:proofErr w:type="spellStart"/>
      <w:r w:rsidRPr="001C0D9F">
        <w:rPr>
          <w:rFonts w:cs="Calibri"/>
        </w:rPr>
        <w:t>Innovation</w:t>
      </w:r>
      <w:proofErr w:type="spellEnd"/>
      <w:r w:rsidRPr="001C0D9F">
        <w:rPr>
          <w:rFonts w:cs="Calibri"/>
        </w:rPr>
        <w:t xml:space="preserve"> </w:t>
      </w:r>
      <w:proofErr w:type="spellStart"/>
      <w:r w:rsidRPr="001C0D9F">
        <w:rPr>
          <w:rFonts w:cs="Calibri"/>
        </w:rPr>
        <w:t>Index</w:t>
      </w:r>
      <w:proofErr w:type="spellEnd"/>
      <w:r w:rsidRPr="001C0D9F">
        <w:rPr>
          <w:rFonts w:cs="Calibri"/>
        </w:rPr>
        <w:t>), koji je u</w:t>
      </w:r>
      <w:r>
        <w:rPr>
          <w:rFonts w:cs="Calibri"/>
        </w:rPr>
        <w:t xml:space="preserve"> 2011. iznosio 0,301 (dok je prosjek EU 27 iznosio 0,</w:t>
      </w:r>
      <w:r w:rsidRPr="001C0D9F">
        <w:rPr>
          <w:rFonts w:cs="Calibri"/>
        </w:rPr>
        <w:t>539), u od</w:t>
      </w:r>
      <w:r>
        <w:rPr>
          <w:rFonts w:cs="Calibri"/>
        </w:rPr>
        <w:t>nosu na 2008. kada je iznosio 0,</w:t>
      </w:r>
      <w:r w:rsidRPr="001C0D9F">
        <w:rPr>
          <w:rFonts w:cs="Calibri"/>
        </w:rPr>
        <w:t>293, čime j</w:t>
      </w:r>
      <w:r>
        <w:rPr>
          <w:rFonts w:cs="Calibri"/>
        </w:rPr>
        <w:t>e napustila (najslabiju) grupu „skromno inovativnih“ (</w:t>
      </w:r>
      <w:proofErr w:type="spellStart"/>
      <w:r>
        <w:rPr>
          <w:rFonts w:cs="Calibri"/>
        </w:rPr>
        <w:t>eng</w:t>
      </w:r>
      <w:proofErr w:type="spellEnd"/>
      <w:r>
        <w:rPr>
          <w:rFonts w:cs="Calibri"/>
        </w:rPr>
        <w:t xml:space="preserve">. </w:t>
      </w:r>
      <w:proofErr w:type="spellStart"/>
      <w:r w:rsidRPr="001C0D9F">
        <w:rPr>
          <w:rFonts w:cs="Calibri"/>
        </w:rPr>
        <w:t>modest</w:t>
      </w:r>
      <w:proofErr w:type="spellEnd"/>
      <w:r w:rsidRPr="001C0D9F">
        <w:rPr>
          <w:rFonts w:cs="Calibri"/>
        </w:rPr>
        <w:t xml:space="preserve"> </w:t>
      </w:r>
      <w:proofErr w:type="spellStart"/>
      <w:r>
        <w:rPr>
          <w:rFonts w:cs="Calibri"/>
        </w:rPr>
        <w:t>innovative</w:t>
      </w:r>
      <w:proofErr w:type="spellEnd"/>
      <w:r w:rsidRPr="001C0D9F">
        <w:rPr>
          <w:rFonts w:cs="Calibri"/>
        </w:rPr>
        <w:t xml:space="preserve">) i </w:t>
      </w:r>
      <w:r>
        <w:rPr>
          <w:rFonts w:cs="Calibri"/>
        </w:rPr>
        <w:t>učvrstila svoje mjesto u gru</w:t>
      </w:r>
      <w:r w:rsidR="00F5458F">
        <w:rPr>
          <w:rFonts w:cs="Calibri"/>
        </w:rPr>
        <w:t>pi „umjereno inovativnih“ (</w:t>
      </w:r>
      <w:proofErr w:type="spellStart"/>
      <w:r w:rsidR="00F5458F">
        <w:rPr>
          <w:rFonts w:cs="Calibri"/>
        </w:rPr>
        <w:t>eng</w:t>
      </w:r>
      <w:proofErr w:type="spellEnd"/>
      <w:r w:rsidR="00F5458F">
        <w:rPr>
          <w:rFonts w:cs="Calibri"/>
        </w:rPr>
        <w:t xml:space="preserve">. </w:t>
      </w:r>
      <w:proofErr w:type="spellStart"/>
      <w:r>
        <w:rPr>
          <w:rFonts w:cs="Calibri"/>
        </w:rPr>
        <w:t>moderate</w:t>
      </w:r>
      <w:proofErr w:type="spellEnd"/>
      <w:r>
        <w:rPr>
          <w:rFonts w:cs="Calibri"/>
        </w:rPr>
        <w:t xml:space="preserve"> </w:t>
      </w:r>
      <w:proofErr w:type="spellStart"/>
      <w:r>
        <w:rPr>
          <w:rFonts w:cs="Calibri"/>
        </w:rPr>
        <w:t>innovative</w:t>
      </w:r>
      <w:proofErr w:type="spellEnd"/>
      <w:r w:rsidRPr="001C0D9F">
        <w:rPr>
          <w:rFonts w:cs="Calibri"/>
        </w:rPr>
        <w:t>) zemalja (drugoj od četiri).</w:t>
      </w:r>
      <w:r w:rsidRPr="001C0D9F">
        <w:rPr>
          <w:rFonts w:cs="Calibri"/>
          <w:vertAlign w:val="superscript"/>
        </w:rPr>
        <w:footnoteReference w:id="39"/>
      </w:r>
      <w:r w:rsidRPr="001C0D9F">
        <w:rPr>
          <w:rFonts w:cs="Calibri"/>
        </w:rPr>
        <w:t xml:space="preserve"> Ovaj rast trebao bi se nastaviti, sa</w:t>
      </w:r>
      <w:r>
        <w:rPr>
          <w:rFonts w:cs="Calibri"/>
        </w:rPr>
        <w:t xml:space="preserve"> ciljem da SII u 2013. iznosi 0,307, u 2014. godini 0,</w:t>
      </w:r>
      <w:r w:rsidRPr="001C0D9F">
        <w:rPr>
          <w:rFonts w:cs="Calibri"/>
        </w:rPr>
        <w:t>310</w:t>
      </w:r>
      <w:r>
        <w:rPr>
          <w:rFonts w:cs="Calibri"/>
        </w:rPr>
        <w:t>, a u 2015. 0,</w:t>
      </w:r>
      <w:r w:rsidRPr="001C0D9F">
        <w:rPr>
          <w:rFonts w:cs="Calibri"/>
        </w:rPr>
        <w:t>312.</w:t>
      </w:r>
      <w:r w:rsidRPr="001C0D9F">
        <w:rPr>
          <w:rFonts w:cs="Calibri"/>
          <w:vertAlign w:val="superscript"/>
        </w:rPr>
        <w:footnoteReference w:id="40"/>
      </w:r>
      <w:r>
        <w:rPr>
          <w:rFonts w:cs="Calibri"/>
        </w:rPr>
        <w:t xml:space="preserve"> Također je potrebno naglasiti da je </w:t>
      </w:r>
      <w:r w:rsidRPr="001C0D9F">
        <w:rPr>
          <w:rFonts w:cs="Calibri"/>
        </w:rPr>
        <w:t>H</w:t>
      </w:r>
      <w:r>
        <w:rPr>
          <w:rFonts w:cs="Calibri"/>
        </w:rPr>
        <w:t>rvatska</w:t>
      </w:r>
      <w:r w:rsidRPr="001C0D9F">
        <w:rPr>
          <w:rFonts w:cs="Calibri"/>
        </w:rPr>
        <w:t xml:space="preserve"> već u 2010. godini imala ukupan rast inovacija od 4%, a u 2011</w:t>
      </w:r>
      <w:r>
        <w:rPr>
          <w:rFonts w:cs="Calibri"/>
        </w:rPr>
        <w:t>. 5,</w:t>
      </w:r>
      <w:r w:rsidRPr="001C0D9F">
        <w:rPr>
          <w:rFonts w:cs="Calibri"/>
        </w:rPr>
        <w:t>3 %</w:t>
      </w:r>
      <w:r>
        <w:rPr>
          <w:rFonts w:cs="Calibri"/>
        </w:rPr>
        <w:t>,</w:t>
      </w:r>
      <w:r w:rsidRPr="001C0D9F">
        <w:rPr>
          <w:rFonts w:cs="Calibri"/>
        </w:rPr>
        <w:t xml:space="preserve"> </w:t>
      </w:r>
      <w:r>
        <w:rPr>
          <w:rFonts w:cs="Calibri"/>
        </w:rPr>
        <w:t>što je bilo značajno više od EU 27 prosjeka (0,</w:t>
      </w:r>
      <w:r w:rsidRPr="001C0D9F">
        <w:rPr>
          <w:rFonts w:cs="Calibri"/>
        </w:rPr>
        <w:t>33 %). Taj trend rasta ukazuje da će RH, nastavi li istim tempom, još bolje učvrstiti svoje mjesto u trenutnoj kategoriji.</w:t>
      </w:r>
      <w:r w:rsidRPr="001C0D9F">
        <w:rPr>
          <w:rFonts w:cs="Calibri"/>
          <w:vertAlign w:val="superscript"/>
        </w:rPr>
        <w:t xml:space="preserve"> </w:t>
      </w:r>
      <w:r w:rsidRPr="001C0D9F">
        <w:rPr>
          <w:rFonts w:cs="Calibri"/>
          <w:vertAlign w:val="superscript"/>
        </w:rPr>
        <w:footnoteReference w:id="41"/>
      </w:r>
    </w:p>
    <w:p w:rsidR="000C1520" w:rsidRDefault="000C1520" w:rsidP="00AF6936">
      <w:pPr>
        <w:spacing w:after="0" w:line="360" w:lineRule="auto"/>
        <w:jc w:val="both"/>
        <w:rPr>
          <w:rFonts w:cs="Calibri"/>
        </w:rPr>
      </w:pPr>
      <w:r w:rsidRPr="001C0D9F">
        <w:rPr>
          <w:rFonts w:cs="Calibri"/>
        </w:rPr>
        <w:t>Hrvatski istra</w:t>
      </w:r>
      <w:r>
        <w:rPr>
          <w:rFonts w:cs="Calibri"/>
        </w:rPr>
        <w:t xml:space="preserve">živački i inovacijski sustav </w:t>
      </w:r>
      <w:r w:rsidRPr="001C0D9F">
        <w:rPr>
          <w:rFonts w:cs="Calibri"/>
        </w:rPr>
        <w:t xml:space="preserve">trebao </w:t>
      </w:r>
      <w:r>
        <w:rPr>
          <w:rFonts w:cs="Calibri"/>
        </w:rPr>
        <w:t xml:space="preserve">bi </w:t>
      </w:r>
      <w:r w:rsidRPr="001C0D9F">
        <w:rPr>
          <w:rFonts w:cs="Calibri"/>
        </w:rPr>
        <w:t>ostvariti značajne prednosti ulaskom u EU i punom integracijom u ERA-u. Time se povećavaju mogućnosti ostvarenja izvrsnosti i konkurentnosti hrvatskog inovacijskog sustava</w:t>
      </w:r>
      <w:r>
        <w:rPr>
          <w:rFonts w:cs="Calibri"/>
        </w:rPr>
        <w:t xml:space="preserve"> čineći pritom osnovu za privlačenje investicija u industrije u nastajanju i visoko-tehnološke sektore.</w:t>
      </w:r>
    </w:p>
    <w:p w:rsidR="00671FBC" w:rsidRDefault="00671FBC" w:rsidP="00AF6936">
      <w:pPr>
        <w:spacing w:after="0" w:line="360" w:lineRule="auto"/>
        <w:jc w:val="both"/>
        <w:rPr>
          <w:rFonts w:cs="Calibri"/>
        </w:rPr>
      </w:pPr>
    </w:p>
    <w:p w:rsidR="000C1520" w:rsidRPr="002F1844" w:rsidRDefault="000C1520" w:rsidP="00AF6936">
      <w:pPr>
        <w:spacing w:after="0" w:line="360" w:lineRule="auto"/>
        <w:jc w:val="both"/>
        <w:rPr>
          <w:rFonts w:cs="Calibri"/>
        </w:rPr>
      </w:pPr>
      <w:r w:rsidRPr="002F1844">
        <w:rPr>
          <w:rFonts w:cs="Calibri"/>
          <w:b/>
          <w:i/>
          <w:color w:val="FF0000"/>
        </w:rPr>
        <w:t>... dok su dodatan čimbenik za priljev inv</w:t>
      </w:r>
      <w:r w:rsidRPr="009C50D9">
        <w:rPr>
          <w:rFonts w:cs="Calibri"/>
          <w:b/>
          <w:i/>
          <w:color w:val="FF0000"/>
        </w:rPr>
        <w:t>esti</w:t>
      </w:r>
      <w:r>
        <w:rPr>
          <w:rFonts w:cs="Calibri"/>
          <w:b/>
          <w:i/>
          <w:color w:val="FF0000"/>
        </w:rPr>
        <w:t>cija u RH kvalitetni ljudski potencijali.</w:t>
      </w:r>
      <w:r w:rsidRPr="009C50D9">
        <w:rPr>
          <w:rFonts w:cs="Calibri"/>
          <w:b/>
          <w:i/>
          <w:color w:val="FF0000"/>
        </w:rPr>
        <w:t xml:space="preserve"> </w:t>
      </w:r>
    </w:p>
    <w:p w:rsidR="000C1520" w:rsidRPr="001C0D9F" w:rsidRDefault="000C1520" w:rsidP="00AF6936">
      <w:pPr>
        <w:autoSpaceDE w:val="0"/>
        <w:autoSpaceDN w:val="0"/>
        <w:adjustRightInd w:val="0"/>
        <w:spacing w:line="360" w:lineRule="auto"/>
        <w:jc w:val="both"/>
        <w:rPr>
          <w:rFonts w:cs="Calibri"/>
        </w:rPr>
      </w:pPr>
      <w:r>
        <w:rPr>
          <w:rFonts w:cs="Times-Italic"/>
          <w:iCs/>
        </w:rPr>
        <w:t xml:space="preserve">Ljudski potencijali bitni su čimbenici privlačenja investicija u Republiku Hrvatsku. </w:t>
      </w:r>
      <w:r w:rsidRPr="001C0D9F">
        <w:rPr>
          <w:rFonts w:cs="Calibri"/>
        </w:rPr>
        <w:t xml:space="preserve">U novom globalnom </w:t>
      </w:r>
      <w:r>
        <w:rPr>
          <w:rFonts w:cs="Calibri"/>
        </w:rPr>
        <w:t>kontekstu radna snaga mora imati sposobnosti</w:t>
      </w:r>
      <w:r w:rsidRPr="001C0D9F">
        <w:rPr>
          <w:rFonts w:cs="Calibri"/>
        </w:rPr>
        <w:t xml:space="preserve"> </w:t>
      </w:r>
      <w:r>
        <w:rPr>
          <w:rFonts w:cs="Calibri"/>
        </w:rPr>
        <w:t>da odgovori</w:t>
      </w:r>
      <w:r w:rsidRPr="001C0D9F">
        <w:rPr>
          <w:rFonts w:cs="Calibri"/>
        </w:rPr>
        <w:t xml:space="preserve"> na promjene vezane uz razvoj i rast</w:t>
      </w:r>
      <w:r>
        <w:rPr>
          <w:rFonts w:cs="Calibri"/>
        </w:rPr>
        <w:t xml:space="preserve"> unutar zemlje te na promjenjive</w:t>
      </w:r>
      <w:r w:rsidRPr="001C0D9F">
        <w:rPr>
          <w:rFonts w:cs="Calibri"/>
        </w:rPr>
        <w:t xml:space="preserve"> uvjete na globalnom tržištu. Kvaliteta i kvantiteta zaposlenika unutar poduzeća ovisi o industrijsk</w:t>
      </w:r>
      <w:r>
        <w:rPr>
          <w:rFonts w:cs="Calibri"/>
        </w:rPr>
        <w:t>oj grupi kojoj poduzeće pripada te</w:t>
      </w:r>
      <w:r w:rsidRPr="001C0D9F">
        <w:rPr>
          <w:rFonts w:cs="Calibri"/>
        </w:rPr>
        <w:t xml:space="preserve"> proizvodnoj aktivnosti i veličini poduzeća. Tehnološki parametri a</w:t>
      </w:r>
      <w:r>
        <w:rPr>
          <w:rFonts w:cs="Calibri"/>
        </w:rPr>
        <w:t xml:space="preserve">ktivnosti poduzeća određuju </w:t>
      </w:r>
      <w:r w:rsidRPr="001C0D9F">
        <w:rPr>
          <w:rFonts w:cs="Calibri"/>
        </w:rPr>
        <w:t xml:space="preserve">je </w:t>
      </w:r>
      <w:r>
        <w:rPr>
          <w:rFonts w:cs="Calibri"/>
        </w:rPr>
        <w:t xml:space="preserve">li </w:t>
      </w:r>
      <w:r w:rsidRPr="001C0D9F">
        <w:rPr>
          <w:rFonts w:cs="Calibri"/>
        </w:rPr>
        <w:t>njihova proizvodnja kapitalno, radno ili znanstveno intenzivna. Ve</w:t>
      </w:r>
      <w:r>
        <w:rPr>
          <w:rFonts w:cs="Calibri"/>
        </w:rPr>
        <w:t>ličina poduzeća, s druge strane, određuje hoće li</w:t>
      </w:r>
      <w:r w:rsidRPr="001C0D9F">
        <w:rPr>
          <w:rFonts w:cs="Calibri"/>
        </w:rPr>
        <w:t xml:space="preserve"> u poduzeću biti </w:t>
      </w:r>
      <w:r w:rsidRPr="001C0D9F">
        <w:rPr>
          <w:rFonts w:cs="Calibri"/>
        </w:rPr>
        <w:lastRenderedPageBreak/>
        <w:t>veći ili manji broj zaposleni</w:t>
      </w:r>
      <w:r>
        <w:rPr>
          <w:rFonts w:cs="Calibri"/>
        </w:rPr>
        <w:t>ka te kakva</w:t>
      </w:r>
      <w:r w:rsidRPr="001C0D9F">
        <w:rPr>
          <w:rFonts w:cs="Calibri"/>
        </w:rPr>
        <w:t xml:space="preserve"> će biti kombinacija radne snage, kapitala i znanja potrebna za jedinicu p</w:t>
      </w:r>
      <w:r>
        <w:rPr>
          <w:rFonts w:cs="Calibri"/>
        </w:rPr>
        <w:t>roizvodnje. Ulaganja u izobrazbu</w:t>
      </w:r>
      <w:r w:rsidRPr="001C0D9F">
        <w:rPr>
          <w:rFonts w:cs="Calibri"/>
        </w:rPr>
        <w:t xml:space="preserve"> i usavršavanje zna</w:t>
      </w:r>
      <w:r>
        <w:rPr>
          <w:rFonts w:cs="Calibri"/>
        </w:rPr>
        <w:t>nja i vještina zaposlenika ovise</w:t>
      </w:r>
      <w:r w:rsidRPr="001C0D9F">
        <w:rPr>
          <w:rFonts w:cs="Calibri"/>
        </w:rPr>
        <w:t xml:space="preserve"> o veličini poduzeća  kao i o sredstvima </w:t>
      </w:r>
      <w:r>
        <w:rPr>
          <w:rFonts w:cs="Calibri"/>
        </w:rPr>
        <w:t>koje može izdvojiti za tu svrhu</w:t>
      </w:r>
      <w:r w:rsidRPr="001C0D9F">
        <w:rPr>
          <w:rFonts w:cs="Calibri"/>
        </w:rPr>
        <w:t xml:space="preserve">. </w:t>
      </w:r>
    </w:p>
    <w:p w:rsidR="000C1520" w:rsidRPr="001C0D9F" w:rsidRDefault="000C1520" w:rsidP="00AF6936">
      <w:pPr>
        <w:spacing w:line="360" w:lineRule="auto"/>
        <w:jc w:val="both"/>
        <w:rPr>
          <w:rFonts w:cs="Calibri"/>
        </w:rPr>
      </w:pPr>
      <w:r w:rsidRPr="001C0D9F">
        <w:rPr>
          <w:rFonts w:cs="Calibri"/>
        </w:rPr>
        <w:t xml:space="preserve">Da bi bile konkurentne, zemlje koje žele privući investitore u </w:t>
      </w:r>
      <w:r>
        <w:rPr>
          <w:rFonts w:cs="Calibri"/>
        </w:rPr>
        <w:t xml:space="preserve">industrije u nastajanju i u </w:t>
      </w:r>
      <w:r w:rsidRPr="001C0D9F">
        <w:rPr>
          <w:rFonts w:cs="Calibri"/>
        </w:rPr>
        <w:t>visoko-tehnološke sektore,</w:t>
      </w:r>
      <w:r>
        <w:rPr>
          <w:rFonts w:cs="Calibri"/>
        </w:rPr>
        <w:t xml:space="preserve"> trebaju obrazovanu radnu snagu te</w:t>
      </w:r>
      <w:r w:rsidRPr="001C0D9F">
        <w:rPr>
          <w:rFonts w:cs="Calibri"/>
        </w:rPr>
        <w:t xml:space="preserve"> veliki broj znanstvenika i inženjera. Intelektualni potencijal, odnosno znanj</w:t>
      </w:r>
      <w:r>
        <w:rPr>
          <w:rFonts w:cs="Calibri"/>
        </w:rPr>
        <w:t>e i vještine pojedinaca, ključni su čimbenici</w:t>
      </w:r>
      <w:r w:rsidRPr="001C0D9F">
        <w:rPr>
          <w:rFonts w:cs="Calibri"/>
        </w:rPr>
        <w:t xml:space="preserve"> u privlačenju investicija u sektore s visokom dodanom vrijednosti.  </w:t>
      </w:r>
    </w:p>
    <w:p w:rsidR="000C1520" w:rsidRPr="001C0D9F" w:rsidRDefault="000C1520" w:rsidP="00AF6936">
      <w:pPr>
        <w:spacing w:line="360" w:lineRule="auto"/>
        <w:jc w:val="both"/>
        <w:rPr>
          <w:rFonts w:cs="Calibri"/>
        </w:rPr>
      </w:pPr>
      <w:r w:rsidRPr="001C0D9F">
        <w:rPr>
          <w:rFonts w:cs="Calibri"/>
        </w:rPr>
        <w:t>Udio radne snage u sektoru znanosti i tehnologije u RH kao udio u ukupnoj radnoj snazi (HRST) kons</w:t>
      </w:r>
      <w:r>
        <w:rPr>
          <w:rFonts w:cs="Calibri"/>
        </w:rPr>
        <w:t>tantno se povećava, te je od 27,6% 2002. godine došao na 32,</w:t>
      </w:r>
      <w:r w:rsidRPr="001C0D9F">
        <w:rPr>
          <w:rFonts w:cs="Calibri"/>
        </w:rPr>
        <w:t>1%</w:t>
      </w:r>
      <w:r>
        <w:rPr>
          <w:rFonts w:cs="Calibri"/>
        </w:rPr>
        <w:t xml:space="preserve"> </w:t>
      </w:r>
      <w:r w:rsidRPr="001C0D9F">
        <w:rPr>
          <w:rFonts w:cs="Calibri"/>
        </w:rPr>
        <w:t>u 2010. godini, što se može usporediti s većinom EU</w:t>
      </w:r>
      <w:r>
        <w:rPr>
          <w:rFonts w:cs="Calibri"/>
        </w:rPr>
        <w:t xml:space="preserve"> </w:t>
      </w:r>
      <w:r w:rsidRPr="001C0D9F">
        <w:rPr>
          <w:rFonts w:cs="Calibri"/>
        </w:rPr>
        <w:t>27 zemalja (EU</w:t>
      </w:r>
      <w:r>
        <w:rPr>
          <w:rFonts w:cs="Calibri"/>
        </w:rPr>
        <w:t xml:space="preserve"> 27 prosjek iznosi 40,</w:t>
      </w:r>
      <w:r w:rsidRPr="001C0D9F">
        <w:rPr>
          <w:rFonts w:cs="Calibri"/>
        </w:rPr>
        <w:t>5%). Javni sektor u RH zapošljava 81% svih istraživača.</w:t>
      </w:r>
      <w:r w:rsidRPr="001C0D9F">
        <w:rPr>
          <w:rFonts w:cs="Calibri"/>
          <w:vertAlign w:val="superscript"/>
        </w:rPr>
        <w:footnoteReference w:id="42"/>
      </w:r>
    </w:p>
    <w:p w:rsidR="000C1520" w:rsidRPr="001C0D9F" w:rsidRDefault="000C1520" w:rsidP="00AF6936">
      <w:pPr>
        <w:spacing w:line="360" w:lineRule="auto"/>
        <w:jc w:val="both"/>
        <w:rPr>
          <w:rFonts w:cs="Calibri"/>
        </w:rPr>
      </w:pPr>
      <w:r w:rsidRPr="001C0D9F">
        <w:rPr>
          <w:rFonts w:cs="Calibri"/>
        </w:rPr>
        <w:t>Što se tiče usmjerenja unutar sustava obrazovanja prema p</w:t>
      </w:r>
      <w:r>
        <w:rPr>
          <w:rFonts w:cs="Calibri"/>
        </w:rPr>
        <w:t>ojedinim sektorima, RH se u cjelini</w:t>
      </w:r>
      <w:r w:rsidRPr="001C0D9F">
        <w:rPr>
          <w:rFonts w:cs="Calibri"/>
        </w:rPr>
        <w:t xml:space="preserve"> ne razlikuje značajno od EU</w:t>
      </w:r>
      <w:r>
        <w:rPr>
          <w:rFonts w:cs="Calibri"/>
        </w:rPr>
        <w:t xml:space="preserve"> 27 trendova 2008. g</w:t>
      </w:r>
      <w:r w:rsidRPr="001C0D9F">
        <w:rPr>
          <w:rFonts w:cs="Calibri"/>
        </w:rPr>
        <w:t>odine</w:t>
      </w:r>
      <w:r>
        <w:rPr>
          <w:rFonts w:cs="Calibri"/>
        </w:rPr>
        <w:t>. V</w:t>
      </w:r>
      <w:r w:rsidRPr="001C0D9F">
        <w:rPr>
          <w:rFonts w:cs="Calibri"/>
        </w:rPr>
        <w:t xml:space="preserve">ećina je studenata diplomirala u društvenim </w:t>
      </w:r>
      <w:r w:rsidRPr="00253124">
        <w:rPr>
          <w:rFonts w:cs="Calibri"/>
        </w:rPr>
        <w:t>znanostima (57,7%), dok</w:t>
      </w:r>
      <w:r w:rsidRPr="001C0D9F">
        <w:rPr>
          <w:rFonts w:cs="Calibri"/>
        </w:rPr>
        <w:t xml:space="preserve"> je broj diplomiranih studenata prirodnih znanosti (7%), inženjera (13.7%) i studenata u području biomedicine (6.4%) bio znatno niži. Broj stečenih doktorata u RH kretao se od 280 u 2000. godini, 357 u 2004. godini te 572 u 2009. godini. Pri tome je potrebno posvetiti pozornost i raspodjeli novostečenih doktorata znanosti po znanstvenim područjima. U SAD-u je najveći broj novostečenih doktorata zabilježen u području bioloških znanosti, </w:t>
      </w:r>
      <w:r>
        <w:rPr>
          <w:rFonts w:cs="Calibri"/>
        </w:rPr>
        <w:t>biomedicine, računalne tehnologije i psihologije. U</w:t>
      </w:r>
      <w:r w:rsidRPr="001C0D9F">
        <w:rPr>
          <w:rFonts w:cs="Calibri"/>
        </w:rPr>
        <w:t xml:space="preserve"> Europi je najveći porast broja doktorata zabilježen u medicini, biološkim i tehničkim znanostima, dok je u Hrvatskoj u 2009./2010. godini najveći porast doktora znanosti zabilježen u području biomedicine i zdravstva te u društvenim znanostima.</w:t>
      </w:r>
    </w:p>
    <w:p w:rsidR="00E603EE" w:rsidRDefault="000C1520" w:rsidP="00AF6936">
      <w:pPr>
        <w:spacing w:line="360" w:lineRule="auto"/>
        <w:jc w:val="both"/>
        <w:rPr>
          <w:rFonts w:cs="Calibri"/>
        </w:rPr>
      </w:pPr>
      <w:r w:rsidRPr="001C0D9F">
        <w:rPr>
          <w:rFonts w:cs="Calibri"/>
        </w:rPr>
        <w:t>Dakle, možemo reći da RH općenito slijedi europske trendove u smislu ponude i potražnje ljudskih potencijala u znanosti i tehnologij</w:t>
      </w:r>
      <w:r>
        <w:rPr>
          <w:rFonts w:cs="Calibri"/>
        </w:rPr>
        <w:t>i. Važno je naglasiti da je</w:t>
      </w:r>
      <w:r w:rsidRPr="001C0D9F">
        <w:rPr>
          <w:rFonts w:cs="Calibri"/>
        </w:rPr>
        <w:t xml:space="preserve"> odljev mozgova</w:t>
      </w:r>
      <w:r>
        <w:rPr>
          <w:rFonts w:cs="Calibri"/>
        </w:rPr>
        <w:t xml:space="preserve"> u Hrvatskoj</w:t>
      </w:r>
      <w:r w:rsidRPr="001C0D9F">
        <w:rPr>
          <w:rFonts w:cs="Calibri"/>
        </w:rPr>
        <w:t xml:space="preserve"> dugogodišnji problem koji ima neg</w:t>
      </w:r>
      <w:r>
        <w:rPr>
          <w:rFonts w:cs="Calibri"/>
        </w:rPr>
        <w:t>ativan utjecaj</w:t>
      </w:r>
      <w:r w:rsidRPr="001C0D9F">
        <w:rPr>
          <w:rFonts w:cs="Calibri"/>
        </w:rPr>
        <w:t xml:space="preserve"> na hrvatsko gospodarstvo i društvo u cjelini. Jedno od m</w:t>
      </w:r>
      <w:r w:rsidRPr="001C0D9F">
        <w:rPr>
          <w:rFonts w:cs="Calibri"/>
          <w:lang w:val="en-US"/>
        </w:rPr>
        <w:t>o</w:t>
      </w:r>
      <w:proofErr w:type="spellStart"/>
      <w:r>
        <w:rPr>
          <w:rFonts w:cs="Calibri"/>
        </w:rPr>
        <w:t>gućih</w:t>
      </w:r>
      <w:proofErr w:type="spellEnd"/>
      <w:r w:rsidRPr="001C0D9F">
        <w:rPr>
          <w:rFonts w:cs="Calibri"/>
        </w:rPr>
        <w:t xml:space="preserve"> rješenja tog probl</w:t>
      </w:r>
      <w:r>
        <w:rPr>
          <w:rFonts w:cs="Calibri"/>
        </w:rPr>
        <w:t xml:space="preserve">ema je stvaranje preduvjeta za </w:t>
      </w:r>
      <w:r w:rsidRPr="001C0D9F">
        <w:rPr>
          <w:rFonts w:cs="Calibri"/>
        </w:rPr>
        <w:t xml:space="preserve">obrnuti odljev mozgova, odnosno povratak hrvatskih istraživača iz inozemstva i privlačenje odabranih </w:t>
      </w:r>
      <w:r>
        <w:rPr>
          <w:rFonts w:cs="Calibri"/>
        </w:rPr>
        <w:t xml:space="preserve">međunarodnih istraživača </w:t>
      </w:r>
      <w:r w:rsidRPr="001C0D9F">
        <w:rPr>
          <w:rFonts w:cs="Calibri"/>
        </w:rPr>
        <w:t>i stručnjaka</w:t>
      </w:r>
      <w:r w:rsidRPr="001C0D9F">
        <w:rPr>
          <w:rFonts w:cs="Calibri"/>
          <w:lang w:val="en-US"/>
        </w:rPr>
        <w:t>.</w:t>
      </w:r>
      <w:r>
        <w:rPr>
          <w:rFonts w:cs="Calibri"/>
          <w:lang w:val="en-US"/>
        </w:rPr>
        <w:t xml:space="preserve"> </w:t>
      </w:r>
      <w:r>
        <w:rPr>
          <w:rFonts w:cs="Calibri"/>
        </w:rPr>
        <w:t xml:space="preserve">Stoga je potrebno </w:t>
      </w:r>
      <w:r w:rsidRPr="001C0D9F">
        <w:rPr>
          <w:rFonts w:cs="Calibri"/>
        </w:rPr>
        <w:t>povećati broj vrhunskih z</w:t>
      </w:r>
      <w:r>
        <w:rPr>
          <w:rFonts w:cs="Calibri"/>
        </w:rPr>
        <w:t xml:space="preserve">nanstvenika povratnika (koji </w:t>
      </w:r>
      <w:r w:rsidRPr="001C0D9F">
        <w:rPr>
          <w:rFonts w:cs="Calibri"/>
        </w:rPr>
        <w:t>2004. godine iznosi 79)</w:t>
      </w:r>
      <w:r w:rsidRPr="001C0D9F">
        <w:rPr>
          <w:rFonts w:cs="Calibri"/>
          <w:vertAlign w:val="superscript"/>
        </w:rPr>
        <w:footnoteReference w:id="43"/>
      </w:r>
      <w:r w:rsidRPr="001C0D9F">
        <w:rPr>
          <w:rFonts w:cs="Calibri"/>
        </w:rPr>
        <w:t xml:space="preserve"> na 90 u 2013. godini. </w:t>
      </w:r>
    </w:p>
    <w:p w:rsidR="000C1520" w:rsidRPr="001C0D9F" w:rsidRDefault="000C1520" w:rsidP="00AF6936">
      <w:pPr>
        <w:spacing w:line="360" w:lineRule="auto"/>
        <w:jc w:val="both"/>
        <w:rPr>
          <w:rFonts w:cs="Calibri"/>
        </w:rPr>
      </w:pPr>
      <w:r w:rsidRPr="001C0D9F">
        <w:rPr>
          <w:rFonts w:cs="Calibri"/>
        </w:rPr>
        <w:lastRenderedPageBreak/>
        <w:t xml:space="preserve">RH se poput nekih drugih zemalja u regiji  suočava s nedostatkom visokoobrazovanih mladih kadrova, kao i njihovim raseljavanjem u razvijenije zemlje. Postotak mladih znanstvenika (20-29 godina) na </w:t>
      </w:r>
      <w:r>
        <w:rPr>
          <w:rFonts w:cs="Calibri"/>
        </w:rPr>
        <w:t xml:space="preserve">doktorskim studijima (0,23%) </w:t>
      </w:r>
      <w:r w:rsidRPr="001C0D9F">
        <w:rPr>
          <w:rFonts w:cs="Calibri"/>
        </w:rPr>
        <w:t xml:space="preserve">gotovo </w:t>
      </w:r>
      <w:r>
        <w:rPr>
          <w:rFonts w:cs="Calibri"/>
        </w:rPr>
        <w:t xml:space="preserve">je </w:t>
      </w:r>
      <w:r w:rsidRPr="001C0D9F">
        <w:rPr>
          <w:rFonts w:cs="Calibri"/>
        </w:rPr>
        <w:t>četiri puta niži od postotka u</w:t>
      </w:r>
      <w:r>
        <w:rPr>
          <w:rFonts w:cs="Calibri"/>
        </w:rPr>
        <w:t xml:space="preserve"> nekim europskim zemljama (primjerice </w:t>
      </w:r>
      <w:r w:rsidRPr="001C0D9F">
        <w:rPr>
          <w:rFonts w:cs="Calibri"/>
        </w:rPr>
        <w:t>u Švicarskoj, Švedskoj, Češkoj), a nedostatna financijska sredstva otežavaju plaćanje posl</w:t>
      </w:r>
      <w:r>
        <w:rPr>
          <w:rFonts w:cs="Calibri"/>
        </w:rPr>
        <w:t>ijediplomske doktorske izobrazbe</w:t>
      </w:r>
      <w:r w:rsidRPr="001C0D9F">
        <w:rPr>
          <w:rFonts w:cs="Calibri"/>
        </w:rPr>
        <w:t xml:space="preserve"> mladim znanstvenicima, organizaciju znanstvenih skupova i odlaske na međunarodne znanstvene skupove i usavršavanja</w:t>
      </w:r>
      <w:r w:rsidRPr="001C0D9F">
        <w:rPr>
          <w:rFonts w:cs="Calibri"/>
          <w:vertAlign w:val="superscript"/>
        </w:rPr>
        <w:footnoteReference w:id="44"/>
      </w:r>
      <w:r w:rsidRPr="001C0D9F">
        <w:rPr>
          <w:rFonts w:cs="Calibri"/>
        </w:rPr>
        <w:t xml:space="preserve">. </w:t>
      </w:r>
    </w:p>
    <w:p w:rsidR="000C1520" w:rsidRPr="001C0D9F" w:rsidRDefault="000C1520" w:rsidP="00AF6936">
      <w:pPr>
        <w:spacing w:line="360" w:lineRule="auto"/>
        <w:jc w:val="both"/>
        <w:rPr>
          <w:rFonts w:cs="Calibri"/>
        </w:rPr>
      </w:pPr>
      <w:r>
        <w:rPr>
          <w:rFonts w:cs="Calibri"/>
        </w:rPr>
        <w:t>Iako gore naveden podatak o 32,</w:t>
      </w:r>
      <w:r w:rsidRPr="001C0D9F">
        <w:rPr>
          <w:rFonts w:cs="Calibri"/>
        </w:rPr>
        <w:t>1% zaposlenih u znanosti i tehnologiji ne zaostaje m</w:t>
      </w:r>
      <w:r>
        <w:rPr>
          <w:rFonts w:cs="Calibri"/>
        </w:rPr>
        <w:t>nogo za europskim prosjekom (40,</w:t>
      </w:r>
      <w:r w:rsidRPr="001C0D9F">
        <w:rPr>
          <w:rFonts w:cs="Calibri"/>
        </w:rPr>
        <w:t>5%), financijska sredstva koja se izdvajaju</w:t>
      </w:r>
      <w:r>
        <w:rPr>
          <w:rFonts w:cs="Calibri"/>
        </w:rPr>
        <w:t xml:space="preserve"> ne prate taj pozitivan trend pa zapošljavanje</w:t>
      </w:r>
      <w:r w:rsidRPr="001C0D9F">
        <w:rPr>
          <w:rFonts w:cs="Calibri"/>
        </w:rPr>
        <w:t xml:space="preserve"> u ovom sektoru zbo</w:t>
      </w:r>
      <w:r>
        <w:rPr>
          <w:rFonts w:cs="Calibri"/>
        </w:rPr>
        <w:t xml:space="preserve">g niskih prihoda ne privlači </w:t>
      </w:r>
      <w:r w:rsidRPr="001C0D9F">
        <w:rPr>
          <w:rFonts w:cs="Calibri"/>
        </w:rPr>
        <w:t>mlade osobe</w:t>
      </w:r>
      <w:r w:rsidRPr="001C0D9F">
        <w:rPr>
          <w:rFonts w:cs="Calibri"/>
          <w:vertAlign w:val="superscript"/>
        </w:rPr>
        <w:footnoteReference w:id="45"/>
      </w:r>
      <w:r w:rsidRPr="001C0D9F">
        <w:rPr>
          <w:rFonts w:cs="Calibri"/>
        </w:rPr>
        <w:t>. Sustav razvoja karijere u istraživačkom sektoru ne stimulira dovoljno izvrsnost u radu zaposlenika te odvraća mlade istraživače od znanstvene karijere. Kadrovi nakon završenog obrazovanja vrlo teško nalaze posao u sustavu ili svojoj struci. Činjenica je da je broj znanstvenika zaposlenih u gospodarskim subjektima zanemariv. Primjerice u 2009. godini od ukupnog broja istraživača u RH, u poslovnom sektoru bilo je zaposleno svega 12 %, dok je u sustavu državne uprave bilo 24 % zaposlenih</w:t>
      </w:r>
      <w:r>
        <w:rPr>
          <w:rFonts w:cs="Calibri"/>
        </w:rPr>
        <w:t>,</w:t>
      </w:r>
      <w:r w:rsidRPr="001C0D9F">
        <w:rPr>
          <w:rFonts w:cs="Calibri"/>
        </w:rPr>
        <w:t xml:space="preserve"> a u sustavu visokog obrazovanja 64 %.</w:t>
      </w:r>
      <w:r w:rsidRPr="001C0D9F">
        <w:rPr>
          <w:rFonts w:cs="Calibri"/>
          <w:vertAlign w:val="superscript"/>
        </w:rPr>
        <w:footnoteReference w:id="46"/>
      </w:r>
      <w:r w:rsidRPr="001C0D9F">
        <w:rPr>
          <w:rFonts w:cs="Calibri"/>
        </w:rPr>
        <w:t xml:space="preserve"> Iako se u suvremenom gospodarstvu sve više koriste mogućnosti projektnog zapošljavanja, zapošlj</w:t>
      </w:r>
      <w:r>
        <w:rPr>
          <w:rFonts w:cs="Calibri"/>
        </w:rPr>
        <w:t>avanja na određeno vrijeme i slično</w:t>
      </w:r>
      <w:r w:rsidRPr="001C0D9F">
        <w:rPr>
          <w:rFonts w:cs="Calibri"/>
        </w:rPr>
        <w:t>, hrvatski p</w:t>
      </w:r>
      <w:r>
        <w:rPr>
          <w:rFonts w:cs="Calibri"/>
        </w:rPr>
        <w:t>ravni sustav tome nije primjereno</w:t>
      </w:r>
      <w:r w:rsidRPr="001C0D9F">
        <w:rPr>
          <w:rFonts w:cs="Calibri"/>
        </w:rPr>
        <w:t xml:space="preserve"> prilagođen. </w:t>
      </w:r>
    </w:p>
    <w:p w:rsidR="000C1520" w:rsidRPr="009D7CBD" w:rsidRDefault="000C1520" w:rsidP="009D7CBD">
      <w:pPr>
        <w:spacing w:before="120" w:line="360" w:lineRule="auto"/>
        <w:jc w:val="both"/>
        <w:rPr>
          <w:rFonts w:cs="Calibri"/>
        </w:rPr>
      </w:pPr>
      <w:r w:rsidRPr="001C0D9F">
        <w:rPr>
          <w:rFonts w:cs="Calibri"/>
        </w:rPr>
        <w:t>Zak</w:t>
      </w:r>
      <w:r>
        <w:rPr>
          <w:rFonts w:cs="Calibri"/>
        </w:rPr>
        <w:t>ljučno, Hrvatska ima relativno dobre osnove</w:t>
      </w:r>
      <w:r w:rsidRPr="001C0D9F">
        <w:rPr>
          <w:rFonts w:cs="Calibri"/>
        </w:rPr>
        <w:t xml:space="preserve"> ljudskog kapitala. No, potrebno je uložiti dodatne napore s ciljem boljeg usklađivanja tržišta rada i potreba gospodarstva, poboljšanja o</w:t>
      </w:r>
      <w:r>
        <w:rPr>
          <w:rFonts w:cs="Calibri"/>
        </w:rPr>
        <w:t xml:space="preserve">brazovnog sustava i poticanja </w:t>
      </w:r>
      <w:proofErr w:type="spellStart"/>
      <w:r>
        <w:rPr>
          <w:rFonts w:cs="Calibri"/>
        </w:rPr>
        <w:t>c</w:t>
      </w:r>
      <w:r w:rsidRPr="001C0D9F">
        <w:rPr>
          <w:rFonts w:cs="Calibri"/>
        </w:rPr>
        <w:t>jeloživotnog</w:t>
      </w:r>
      <w:proofErr w:type="spellEnd"/>
      <w:r w:rsidRPr="001C0D9F">
        <w:rPr>
          <w:rFonts w:cs="Calibri"/>
        </w:rPr>
        <w:t xml:space="preserve"> obrazovanja. </w:t>
      </w:r>
    </w:p>
    <w:p w:rsidR="000C1520" w:rsidRPr="00636499" w:rsidRDefault="000C1520" w:rsidP="00AF6936">
      <w:pPr>
        <w:pStyle w:val="Heading1"/>
        <w:rPr>
          <w:lang w:val="hr-HR"/>
        </w:rPr>
      </w:pPr>
      <w:bookmarkStart w:id="18" w:name="_Toc373137857"/>
      <w:r>
        <w:rPr>
          <w:lang w:val="hr-HR"/>
        </w:rPr>
        <w:t xml:space="preserve">SWOT </w:t>
      </w:r>
      <w:r w:rsidRPr="00636499">
        <w:rPr>
          <w:lang w:val="hr-HR"/>
        </w:rPr>
        <w:t xml:space="preserve">ANALIZA (PREDNOSTI, </w:t>
      </w:r>
      <w:r w:rsidRPr="00F5458F">
        <w:rPr>
          <w:lang w:val="hr-HR"/>
        </w:rPr>
        <w:t xml:space="preserve">SLABOSTI, </w:t>
      </w:r>
      <w:r w:rsidR="00F5458F" w:rsidRPr="00F5458F">
        <w:rPr>
          <w:lang w:val="hr-HR"/>
        </w:rPr>
        <w:t>PRILIKE I PRIJETNJE</w:t>
      </w:r>
      <w:r w:rsidRPr="00636499">
        <w:rPr>
          <w:lang w:val="hr-HR"/>
        </w:rPr>
        <w:t xml:space="preserve"> POTICANJA INVESTICIJA U RH)</w:t>
      </w:r>
      <w:bookmarkEnd w:id="18"/>
    </w:p>
    <w:p w:rsidR="000C1520" w:rsidRPr="00636499" w:rsidRDefault="000C1520" w:rsidP="00AF6936">
      <w:pPr>
        <w:autoSpaceDE w:val="0"/>
        <w:autoSpaceDN w:val="0"/>
        <w:adjustRightInd w:val="0"/>
        <w:spacing w:after="0" w:line="360" w:lineRule="auto"/>
        <w:jc w:val="both"/>
        <w:rPr>
          <w:rFonts w:eastAsia="TTE22ACBD0t00" w:cs="Calibri"/>
        </w:rPr>
      </w:pPr>
      <w:r w:rsidRPr="00636499">
        <w:rPr>
          <w:rFonts w:cs="Calibri"/>
        </w:rPr>
        <w:t xml:space="preserve">SWOT </w:t>
      </w:r>
      <w:r w:rsidRPr="00636499">
        <w:rPr>
          <w:rFonts w:eastAsia="TTE22ACBD0t00" w:cs="Calibri"/>
        </w:rPr>
        <w:t>analiza izrađena je u suradnji s predstavnicima resornih tijela državne uprave i partnerskih institucija u okviru uspostavljen</w:t>
      </w:r>
      <w:r>
        <w:rPr>
          <w:rFonts w:eastAsia="TTE22ACBD0t00" w:cs="Calibri"/>
        </w:rPr>
        <w:t>ih radnih skupina. Analiza prednosti</w:t>
      </w:r>
      <w:r w:rsidRPr="00636499">
        <w:rPr>
          <w:rFonts w:eastAsia="TTE22ACBD0t00" w:cs="Calibri"/>
        </w:rPr>
        <w:t xml:space="preserve">, </w:t>
      </w:r>
      <w:r w:rsidRPr="00F5458F">
        <w:rPr>
          <w:rFonts w:eastAsia="TTE22ACBD0t00" w:cs="Calibri"/>
        </w:rPr>
        <w:t>slabosti, prilika i prijetnji</w:t>
      </w:r>
      <w:r w:rsidRPr="00636499">
        <w:rPr>
          <w:rFonts w:eastAsia="TTE22ACBD0t00" w:cs="Calibri"/>
        </w:rPr>
        <w:t xml:space="preserve"> izvedena je iz osnovne analize. Osnovna analiza prikazala je glavne prednosti RH kao investicijske destinacije te je ukazala na potencijale</w:t>
      </w:r>
      <w:r>
        <w:rPr>
          <w:rFonts w:eastAsia="TTE22ACBD0t00" w:cs="Calibri"/>
        </w:rPr>
        <w:t>,</w:t>
      </w:r>
      <w:r w:rsidRPr="00636499">
        <w:rPr>
          <w:rFonts w:eastAsia="TTE22ACBD0t00" w:cs="Calibri"/>
        </w:rPr>
        <w:t xml:space="preserve"> ali i kritična pitanja vezana uz poticanje i realizaciju investicija. </w:t>
      </w:r>
    </w:p>
    <w:p w:rsidR="000C1520" w:rsidRDefault="000C1520" w:rsidP="00AF6936">
      <w:pPr>
        <w:autoSpaceDE w:val="0"/>
        <w:autoSpaceDN w:val="0"/>
        <w:adjustRightInd w:val="0"/>
        <w:spacing w:after="0" w:line="360" w:lineRule="auto"/>
        <w:jc w:val="both"/>
        <w:rPr>
          <w:rFonts w:eastAsia="TTE22ACBD0t00" w:cs="Calibri"/>
        </w:rPr>
      </w:pPr>
      <w:r w:rsidRPr="00636499">
        <w:rPr>
          <w:rFonts w:eastAsia="TTE22ACBD0t00" w:cs="Calibri"/>
        </w:rPr>
        <w:t>Prilikom izrade SWOT analize</w:t>
      </w:r>
      <w:r>
        <w:rPr>
          <w:rFonts w:eastAsia="TTE22ACBD0t00" w:cs="Calibri"/>
        </w:rPr>
        <w:t xml:space="preserve"> uvažavani su sinergijski učinci</w:t>
      </w:r>
      <w:r w:rsidRPr="00636499">
        <w:rPr>
          <w:rFonts w:eastAsia="TTE22ACBD0t00" w:cs="Calibri"/>
        </w:rPr>
        <w:t>. Naime, sasvim je izvjesno kako bez rasta i poticanja konkurentnosti gospodarstva, poboljšanja u područjima obrazovanja, istraživanja, tehnološkog razvoja i inovacija, razvoja poslovne i znanstv</w:t>
      </w:r>
      <w:r>
        <w:rPr>
          <w:rFonts w:eastAsia="TTE22ACBD0t00" w:cs="Calibri"/>
        </w:rPr>
        <w:t>eno-istraživačke infrastrukture te</w:t>
      </w:r>
      <w:r w:rsidRPr="00636499">
        <w:rPr>
          <w:rFonts w:eastAsia="TTE22ACBD0t00" w:cs="Calibri"/>
        </w:rPr>
        <w:t xml:space="preserve"> stvaranja kvalitetnog poslovnog okruženja od strane države nema poticajnog okruž</w:t>
      </w:r>
      <w:r>
        <w:rPr>
          <w:rFonts w:eastAsia="TTE22ACBD0t00" w:cs="Calibri"/>
        </w:rPr>
        <w:t xml:space="preserve">enja za privlačenje </w:t>
      </w:r>
      <w:r w:rsidRPr="003C7119">
        <w:rPr>
          <w:rFonts w:eastAsia="TTE22ACBD0t00" w:cs="Calibri"/>
        </w:rPr>
        <w:t>investicija.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4819"/>
      </w:tblGrid>
      <w:tr w:rsidR="000C1520" w:rsidRPr="00623771" w:rsidTr="00C52B01">
        <w:trPr>
          <w:trHeight w:val="455"/>
        </w:trPr>
        <w:tc>
          <w:tcPr>
            <w:tcW w:w="4503" w:type="dxa"/>
            <w:shd w:val="clear" w:color="auto" w:fill="8DB3E2"/>
          </w:tcPr>
          <w:p w:rsidR="000C1520" w:rsidRPr="00623771" w:rsidRDefault="000C1520" w:rsidP="00C52B01">
            <w:pPr>
              <w:spacing w:before="120"/>
              <w:ind w:left="360"/>
              <w:jc w:val="center"/>
              <w:rPr>
                <w:rFonts w:cs="Calibri"/>
                <w:b/>
              </w:rPr>
            </w:pPr>
            <w:r w:rsidRPr="00623771">
              <w:rPr>
                <w:rFonts w:cs="Calibri"/>
                <w:b/>
              </w:rPr>
              <w:lastRenderedPageBreak/>
              <w:t>PREDNOSTI</w:t>
            </w:r>
          </w:p>
        </w:tc>
        <w:tc>
          <w:tcPr>
            <w:tcW w:w="4819" w:type="dxa"/>
            <w:shd w:val="clear" w:color="auto" w:fill="D99594"/>
          </w:tcPr>
          <w:p w:rsidR="000C1520" w:rsidRPr="00623771" w:rsidRDefault="000C1520" w:rsidP="00C52B01">
            <w:pPr>
              <w:spacing w:before="120"/>
              <w:ind w:left="360"/>
              <w:jc w:val="center"/>
              <w:rPr>
                <w:rFonts w:cs="Calibri"/>
                <w:b/>
              </w:rPr>
            </w:pPr>
            <w:r w:rsidRPr="00623771">
              <w:rPr>
                <w:rFonts w:cs="Calibri"/>
                <w:b/>
              </w:rPr>
              <w:t>SLABOSTI</w:t>
            </w:r>
          </w:p>
        </w:tc>
      </w:tr>
      <w:tr w:rsidR="000C1520" w:rsidRPr="00623771" w:rsidTr="006B2250">
        <w:trPr>
          <w:trHeight w:val="108"/>
        </w:trPr>
        <w:tc>
          <w:tcPr>
            <w:tcW w:w="4503" w:type="dxa"/>
            <w:shd w:val="clear" w:color="auto" w:fill="B8CCE4"/>
          </w:tcPr>
          <w:p w:rsidR="000C1520" w:rsidRPr="009A4981" w:rsidRDefault="000C1520" w:rsidP="006B2250">
            <w:pPr>
              <w:numPr>
                <w:ilvl w:val="0"/>
                <w:numId w:val="11"/>
              </w:numPr>
              <w:spacing w:after="0" w:line="240" w:lineRule="auto"/>
              <w:jc w:val="both"/>
              <w:rPr>
                <w:rFonts w:cs="Calibri"/>
                <w:sz w:val="20"/>
                <w:szCs w:val="20"/>
              </w:rPr>
            </w:pPr>
            <w:r w:rsidRPr="009A4981">
              <w:rPr>
                <w:rFonts w:cs="Calibri"/>
                <w:sz w:val="20"/>
                <w:szCs w:val="20"/>
              </w:rPr>
              <w:t>Povoljan geostrateški položaj i dobra prometna povezanost;</w:t>
            </w:r>
          </w:p>
          <w:p w:rsidR="000C1520" w:rsidRPr="009A4981" w:rsidRDefault="000C1520" w:rsidP="006B2250">
            <w:pPr>
              <w:numPr>
                <w:ilvl w:val="0"/>
                <w:numId w:val="11"/>
              </w:numPr>
              <w:spacing w:after="0" w:line="240" w:lineRule="auto"/>
              <w:jc w:val="both"/>
              <w:rPr>
                <w:rFonts w:cs="Calibri"/>
                <w:sz w:val="20"/>
                <w:szCs w:val="20"/>
              </w:rPr>
            </w:pPr>
            <w:r w:rsidRPr="009A4981">
              <w:rPr>
                <w:rFonts w:cs="Calibri"/>
                <w:sz w:val="20"/>
                <w:szCs w:val="20"/>
              </w:rPr>
              <w:t>Razvijena poslovna, prometna i telekomunikacijska infrastruktura;</w:t>
            </w:r>
          </w:p>
          <w:p w:rsidR="000C1520" w:rsidRPr="009A4981" w:rsidRDefault="000C1520" w:rsidP="006B2250">
            <w:pPr>
              <w:numPr>
                <w:ilvl w:val="0"/>
                <w:numId w:val="11"/>
              </w:numPr>
              <w:spacing w:after="0" w:line="240" w:lineRule="auto"/>
              <w:jc w:val="both"/>
              <w:rPr>
                <w:rFonts w:cs="Calibri"/>
                <w:sz w:val="20"/>
                <w:szCs w:val="20"/>
              </w:rPr>
            </w:pPr>
            <w:r w:rsidRPr="009A4981">
              <w:rPr>
                <w:rFonts w:cs="Calibri"/>
                <w:sz w:val="20"/>
                <w:szCs w:val="20"/>
              </w:rPr>
              <w:t xml:space="preserve">Obrazovana radna snaga; </w:t>
            </w:r>
          </w:p>
          <w:p w:rsidR="000C1520" w:rsidRPr="009A4981" w:rsidRDefault="000C1520" w:rsidP="006B2250">
            <w:pPr>
              <w:numPr>
                <w:ilvl w:val="0"/>
                <w:numId w:val="11"/>
              </w:numPr>
              <w:spacing w:after="0" w:line="240" w:lineRule="auto"/>
              <w:jc w:val="both"/>
              <w:rPr>
                <w:rFonts w:cs="Calibri"/>
                <w:sz w:val="20"/>
                <w:szCs w:val="20"/>
              </w:rPr>
            </w:pPr>
            <w:r w:rsidRPr="009A4981">
              <w:rPr>
                <w:rFonts w:cs="Calibri"/>
                <w:sz w:val="20"/>
                <w:szCs w:val="20"/>
              </w:rPr>
              <w:t>Tradicija industrijske proizvodnje;</w:t>
            </w:r>
          </w:p>
          <w:p w:rsidR="000C1520" w:rsidRPr="009A4981" w:rsidRDefault="000C1520" w:rsidP="006B2250">
            <w:pPr>
              <w:numPr>
                <w:ilvl w:val="0"/>
                <w:numId w:val="11"/>
              </w:numPr>
              <w:spacing w:after="0" w:line="240" w:lineRule="auto"/>
              <w:jc w:val="both"/>
              <w:rPr>
                <w:rFonts w:cs="Calibri"/>
                <w:sz w:val="20"/>
                <w:szCs w:val="20"/>
              </w:rPr>
            </w:pPr>
            <w:r w:rsidRPr="009A4981">
              <w:rPr>
                <w:rFonts w:cs="Calibri"/>
                <w:sz w:val="20"/>
                <w:szCs w:val="20"/>
              </w:rPr>
              <w:t xml:space="preserve">Prirodni uvjeti za proizvodnju energije iz obnovljivih izvora; </w:t>
            </w:r>
          </w:p>
          <w:p w:rsidR="000C1520" w:rsidRPr="009A4981" w:rsidRDefault="000C1520" w:rsidP="006B2250">
            <w:pPr>
              <w:numPr>
                <w:ilvl w:val="0"/>
                <w:numId w:val="11"/>
              </w:numPr>
              <w:spacing w:after="0" w:line="240" w:lineRule="auto"/>
              <w:jc w:val="both"/>
              <w:rPr>
                <w:rFonts w:cs="Calibri"/>
                <w:sz w:val="20"/>
                <w:szCs w:val="20"/>
              </w:rPr>
            </w:pPr>
            <w:r w:rsidRPr="009A4981">
              <w:rPr>
                <w:rFonts w:cs="Calibri"/>
                <w:sz w:val="20"/>
                <w:szCs w:val="20"/>
              </w:rPr>
              <w:t>Izgrađen zakonodavni i institucionalni okvir za investicije;</w:t>
            </w:r>
          </w:p>
          <w:p w:rsidR="000C1520" w:rsidRPr="009A4981" w:rsidRDefault="000C1520" w:rsidP="006B2250">
            <w:pPr>
              <w:numPr>
                <w:ilvl w:val="0"/>
                <w:numId w:val="11"/>
              </w:numPr>
              <w:spacing w:after="0" w:line="240" w:lineRule="auto"/>
              <w:jc w:val="both"/>
              <w:rPr>
                <w:rFonts w:cs="Calibri"/>
                <w:sz w:val="20"/>
                <w:szCs w:val="20"/>
              </w:rPr>
            </w:pPr>
            <w:r w:rsidRPr="009A4981">
              <w:rPr>
                <w:rFonts w:cs="Calibri"/>
                <w:sz w:val="20"/>
                <w:szCs w:val="20"/>
              </w:rPr>
              <w:t xml:space="preserve">Razvijena poslovna infrastruktura i poslovne potporne institucije; </w:t>
            </w:r>
          </w:p>
          <w:p w:rsidR="000C1520" w:rsidRPr="009A4981" w:rsidRDefault="000C1520" w:rsidP="006B2250">
            <w:pPr>
              <w:numPr>
                <w:ilvl w:val="0"/>
                <w:numId w:val="11"/>
              </w:numPr>
              <w:spacing w:after="0" w:line="240" w:lineRule="auto"/>
              <w:jc w:val="both"/>
              <w:rPr>
                <w:rFonts w:cs="Calibri"/>
                <w:sz w:val="20"/>
                <w:szCs w:val="20"/>
              </w:rPr>
            </w:pPr>
            <w:r w:rsidRPr="009A4981">
              <w:rPr>
                <w:rFonts w:cs="Calibri"/>
                <w:sz w:val="20"/>
                <w:szCs w:val="20"/>
              </w:rPr>
              <w:t xml:space="preserve">Raznoliki prirodni resursi (šume, poljoprivredne površine, </w:t>
            </w:r>
            <w:smartTag w:uri="urn:schemas-microsoft-com:office:smarttags" w:element="metricconverter">
              <w:smartTagPr>
                <w:attr w:name="ProductID" w:val="5.800 km"/>
              </w:smartTagPr>
              <w:r w:rsidRPr="009A4981">
                <w:rPr>
                  <w:rFonts w:cs="Calibri"/>
                  <w:sz w:val="20"/>
                  <w:szCs w:val="20"/>
                </w:rPr>
                <w:t>5.800 km</w:t>
              </w:r>
            </w:smartTag>
            <w:r w:rsidRPr="009A4981">
              <w:rPr>
                <w:rFonts w:cs="Calibri"/>
                <w:sz w:val="20"/>
                <w:szCs w:val="20"/>
              </w:rPr>
              <w:t xml:space="preserve"> jadranske obale, vode i hrvatski dio Jadranskog mora); </w:t>
            </w:r>
          </w:p>
          <w:p w:rsidR="000C1520" w:rsidRPr="009A4981" w:rsidRDefault="000C1520" w:rsidP="006B2250">
            <w:pPr>
              <w:numPr>
                <w:ilvl w:val="0"/>
                <w:numId w:val="13"/>
              </w:numPr>
              <w:spacing w:after="0" w:line="240" w:lineRule="auto"/>
              <w:jc w:val="both"/>
              <w:rPr>
                <w:rFonts w:cs="Calibri"/>
                <w:sz w:val="20"/>
                <w:szCs w:val="20"/>
              </w:rPr>
            </w:pPr>
            <w:r w:rsidRPr="009A4981">
              <w:rPr>
                <w:rFonts w:cs="Calibri"/>
                <w:sz w:val="20"/>
                <w:szCs w:val="20"/>
              </w:rPr>
              <w:t>Ulaskom u EU RH je postala dio tržišta od 500 milijuna stanovnika;</w:t>
            </w:r>
          </w:p>
          <w:p w:rsidR="000C1520" w:rsidRPr="009A4981" w:rsidRDefault="000C1520" w:rsidP="006B2250">
            <w:pPr>
              <w:numPr>
                <w:ilvl w:val="0"/>
                <w:numId w:val="13"/>
              </w:numPr>
              <w:spacing w:after="0" w:line="240" w:lineRule="auto"/>
              <w:jc w:val="both"/>
              <w:rPr>
                <w:rFonts w:cs="Calibri"/>
                <w:sz w:val="20"/>
                <w:szCs w:val="20"/>
              </w:rPr>
            </w:pPr>
            <w:r w:rsidRPr="009A4981">
              <w:rPr>
                <w:rFonts w:cs="Calibri"/>
                <w:sz w:val="20"/>
                <w:szCs w:val="20"/>
              </w:rPr>
              <w:t>Usvojen p</w:t>
            </w:r>
            <w:r w:rsidR="00F5458F" w:rsidRPr="009A4981">
              <w:rPr>
                <w:rFonts w:cs="Calibri"/>
                <w:sz w:val="20"/>
                <w:szCs w:val="20"/>
              </w:rPr>
              <w:t>ristup integriranoj</w:t>
            </w:r>
            <w:r w:rsidRPr="009A4981">
              <w:rPr>
                <w:rFonts w:cs="Calibri"/>
                <w:sz w:val="20"/>
                <w:szCs w:val="20"/>
              </w:rPr>
              <w:t xml:space="preserve"> zašti</w:t>
            </w:r>
            <w:r w:rsidR="00F5458F" w:rsidRPr="009A4981">
              <w:rPr>
                <w:rFonts w:cs="Calibri"/>
                <w:sz w:val="20"/>
                <w:szCs w:val="20"/>
              </w:rPr>
              <w:t>ti i upravljanju</w:t>
            </w:r>
            <w:r w:rsidRPr="009A4981">
              <w:rPr>
                <w:rFonts w:cs="Calibri"/>
                <w:sz w:val="20"/>
                <w:szCs w:val="20"/>
              </w:rPr>
              <w:t xml:space="preserve"> obalnim područjem i morskim okolišem;</w:t>
            </w:r>
          </w:p>
          <w:p w:rsidR="000C1520" w:rsidRPr="009A4981" w:rsidRDefault="000C1520" w:rsidP="006B2250">
            <w:pPr>
              <w:ind w:left="360"/>
              <w:jc w:val="both"/>
              <w:rPr>
                <w:rFonts w:cs="Calibri"/>
                <w:sz w:val="20"/>
                <w:szCs w:val="20"/>
              </w:rPr>
            </w:pPr>
          </w:p>
        </w:tc>
        <w:tc>
          <w:tcPr>
            <w:tcW w:w="4819" w:type="dxa"/>
            <w:shd w:val="clear" w:color="auto" w:fill="D99594"/>
          </w:tcPr>
          <w:p w:rsidR="000C1520" w:rsidRPr="009A4981" w:rsidRDefault="000C1520" w:rsidP="006B2250">
            <w:pPr>
              <w:pStyle w:val="ListParagraph"/>
              <w:numPr>
                <w:ilvl w:val="0"/>
                <w:numId w:val="17"/>
              </w:numPr>
              <w:spacing w:after="0" w:line="240" w:lineRule="auto"/>
              <w:ind w:left="317" w:hanging="283"/>
              <w:jc w:val="both"/>
              <w:rPr>
                <w:rFonts w:cs="Calibri"/>
                <w:sz w:val="20"/>
                <w:szCs w:val="20"/>
              </w:rPr>
            </w:pPr>
            <w:r w:rsidRPr="009A4981">
              <w:rPr>
                <w:rFonts w:cs="Calibri"/>
                <w:sz w:val="20"/>
                <w:szCs w:val="20"/>
              </w:rPr>
              <w:t>Postojanje administrativnih prepreka za investicije;</w:t>
            </w:r>
          </w:p>
          <w:p w:rsidR="000C1520" w:rsidRPr="009A4981" w:rsidRDefault="000C1520" w:rsidP="006B2250">
            <w:pPr>
              <w:pStyle w:val="ListParagraph"/>
              <w:numPr>
                <w:ilvl w:val="0"/>
                <w:numId w:val="17"/>
              </w:numPr>
              <w:spacing w:after="0" w:line="240" w:lineRule="auto"/>
              <w:ind w:left="317" w:hanging="283"/>
              <w:jc w:val="both"/>
              <w:rPr>
                <w:rFonts w:cs="Calibri"/>
                <w:sz w:val="20"/>
                <w:szCs w:val="20"/>
              </w:rPr>
            </w:pPr>
            <w:r w:rsidRPr="009A4981">
              <w:rPr>
                <w:rFonts w:cs="Calibri"/>
                <w:sz w:val="20"/>
                <w:szCs w:val="20"/>
              </w:rPr>
              <w:t xml:space="preserve">Gospodarska struktura ovisna o tradicionalnim, nisko-tehnološkim sektorima; </w:t>
            </w:r>
          </w:p>
          <w:p w:rsidR="000C1520" w:rsidRPr="009A4981" w:rsidRDefault="000C1520" w:rsidP="006B2250">
            <w:pPr>
              <w:pStyle w:val="ListParagraph"/>
              <w:numPr>
                <w:ilvl w:val="0"/>
                <w:numId w:val="17"/>
              </w:numPr>
              <w:spacing w:after="0" w:line="240" w:lineRule="auto"/>
              <w:ind w:left="317" w:hanging="283"/>
              <w:jc w:val="both"/>
              <w:rPr>
                <w:rFonts w:cs="Calibri"/>
                <w:sz w:val="20"/>
                <w:szCs w:val="20"/>
              </w:rPr>
            </w:pPr>
            <w:r w:rsidRPr="009A4981">
              <w:rPr>
                <w:rFonts w:cs="Calibri"/>
                <w:sz w:val="20"/>
                <w:szCs w:val="20"/>
              </w:rPr>
              <w:t>Dijelom zastarjela tehnologija i niska dodana vrijednost industrijske proizvodnje;</w:t>
            </w:r>
          </w:p>
          <w:p w:rsidR="000C1520" w:rsidRPr="009A4981" w:rsidRDefault="000C1520" w:rsidP="006B2250">
            <w:pPr>
              <w:pStyle w:val="ListParagraph"/>
              <w:numPr>
                <w:ilvl w:val="0"/>
                <w:numId w:val="17"/>
              </w:numPr>
              <w:spacing w:after="0" w:line="240" w:lineRule="auto"/>
              <w:ind w:left="317" w:hanging="283"/>
              <w:jc w:val="both"/>
              <w:rPr>
                <w:rFonts w:cs="Calibri"/>
                <w:sz w:val="20"/>
                <w:szCs w:val="20"/>
              </w:rPr>
            </w:pPr>
            <w:r w:rsidRPr="009A4981">
              <w:rPr>
                <w:rFonts w:cs="Calibri"/>
                <w:sz w:val="20"/>
                <w:szCs w:val="20"/>
              </w:rPr>
              <w:t>Razmjerno visok trošak rada i niska produktivnost;</w:t>
            </w:r>
          </w:p>
          <w:p w:rsidR="000C1520" w:rsidRPr="009A4981" w:rsidRDefault="000C1520" w:rsidP="006B2250">
            <w:pPr>
              <w:pStyle w:val="ListParagraph"/>
              <w:numPr>
                <w:ilvl w:val="0"/>
                <w:numId w:val="17"/>
              </w:numPr>
              <w:spacing w:after="0" w:line="240" w:lineRule="auto"/>
              <w:ind w:left="317" w:hanging="283"/>
              <w:jc w:val="both"/>
              <w:rPr>
                <w:rFonts w:cs="Calibri"/>
                <w:sz w:val="20"/>
                <w:szCs w:val="20"/>
              </w:rPr>
            </w:pPr>
            <w:r w:rsidRPr="009A4981">
              <w:rPr>
                <w:rFonts w:cs="Calibri"/>
                <w:sz w:val="20"/>
                <w:szCs w:val="20"/>
              </w:rPr>
              <w:t>Nedovoljna primjena sustava upravljanja kvalitetom i standarda korporativnog upravljanja;</w:t>
            </w:r>
          </w:p>
          <w:p w:rsidR="000C1520" w:rsidRPr="009A4981" w:rsidRDefault="000C1520" w:rsidP="006B2250">
            <w:pPr>
              <w:pStyle w:val="ListParagraph"/>
              <w:numPr>
                <w:ilvl w:val="0"/>
                <w:numId w:val="17"/>
              </w:numPr>
              <w:spacing w:after="0" w:line="240" w:lineRule="auto"/>
              <w:ind w:left="317" w:hanging="283"/>
              <w:jc w:val="both"/>
              <w:rPr>
                <w:rFonts w:cs="Calibri"/>
                <w:sz w:val="20"/>
                <w:szCs w:val="20"/>
              </w:rPr>
            </w:pPr>
            <w:r w:rsidRPr="009A4981">
              <w:rPr>
                <w:rFonts w:cs="Calibri"/>
                <w:sz w:val="20"/>
                <w:szCs w:val="20"/>
              </w:rPr>
              <w:t>Neusklađeno tržište rada s potrebama gospodarstva;</w:t>
            </w:r>
          </w:p>
          <w:p w:rsidR="000C1520" w:rsidRPr="009A4981" w:rsidRDefault="000C1520" w:rsidP="006B2250">
            <w:pPr>
              <w:pStyle w:val="ListParagraph"/>
              <w:numPr>
                <w:ilvl w:val="0"/>
                <w:numId w:val="17"/>
              </w:numPr>
              <w:spacing w:after="0" w:line="240" w:lineRule="auto"/>
              <w:ind w:left="317" w:hanging="283"/>
              <w:jc w:val="both"/>
              <w:rPr>
                <w:rFonts w:cs="Calibri"/>
                <w:sz w:val="20"/>
                <w:szCs w:val="20"/>
              </w:rPr>
            </w:pPr>
            <w:r w:rsidRPr="009A4981">
              <w:rPr>
                <w:rFonts w:cs="Calibri"/>
                <w:sz w:val="20"/>
                <w:szCs w:val="20"/>
              </w:rPr>
              <w:t xml:space="preserve">Odljev mozgova; </w:t>
            </w:r>
          </w:p>
          <w:p w:rsidR="000C1520" w:rsidRPr="009A4981" w:rsidRDefault="000C1520" w:rsidP="006B2250">
            <w:pPr>
              <w:pStyle w:val="ListParagraph"/>
              <w:numPr>
                <w:ilvl w:val="0"/>
                <w:numId w:val="17"/>
              </w:numPr>
              <w:spacing w:after="0" w:line="240" w:lineRule="auto"/>
              <w:ind w:left="317" w:hanging="283"/>
              <w:jc w:val="both"/>
              <w:rPr>
                <w:rFonts w:cs="Calibri"/>
                <w:sz w:val="20"/>
                <w:szCs w:val="20"/>
              </w:rPr>
            </w:pPr>
            <w:r w:rsidRPr="009A4981">
              <w:rPr>
                <w:rFonts w:cs="Calibri"/>
                <w:sz w:val="20"/>
                <w:szCs w:val="20"/>
              </w:rPr>
              <w:t>Nedovoljna umreženost javnog, privatnog i znanstveno- istraživačkog sektora;</w:t>
            </w:r>
          </w:p>
          <w:p w:rsidR="000C1520" w:rsidRPr="009A4981" w:rsidRDefault="000C1520" w:rsidP="006B2250">
            <w:pPr>
              <w:pStyle w:val="ListParagraph"/>
              <w:numPr>
                <w:ilvl w:val="0"/>
                <w:numId w:val="17"/>
              </w:numPr>
              <w:spacing w:after="0" w:line="240" w:lineRule="auto"/>
              <w:ind w:left="317" w:hanging="283"/>
              <w:jc w:val="both"/>
              <w:rPr>
                <w:rFonts w:cs="Calibri"/>
                <w:sz w:val="20"/>
                <w:szCs w:val="20"/>
              </w:rPr>
            </w:pPr>
            <w:r w:rsidRPr="009A4981">
              <w:rPr>
                <w:rFonts w:cs="Calibri"/>
                <w:sz w:val="20"/>
                <w:szCs w:val="20"/>
              </w:rPr>
              <w:t>Nepovoljna struktura investicija (koncentracija investicija u uslužnom sektoru);</w:t>
            </w:r>
          </w:p>
          <w:p w:rsidR="000C1520" w:rsidRPr="009A4981" w:rsidRDefault="000C1520" w:rsidP="006B2250">
            <w:pPr>
              <w:numPr>
                <w:ilvl w:val="0"/>
                <w:numId w:val="17"/>
              </w:numPr>
              <w:spacing w:after="0" w:line="240" w:lineRule="auto"/>
              <w:ind w:left="317" w:hanging="283"/>
              <w:jc w:val="both"/>
              <w:rPr>
                <w:rFonts w:cs="Calibri"/>
                <w:sz w:val="20"/>
                <w:szCs w:val="20"/>
              </w:rPr>
            </w:pPr>
            <w:r w:rsidRPr="009A4981">
              <w:rPr>
                <w:rFonts w:cs="Calibri"/>
                <w:sz w:val="20"/>
                <w:szCs w:val="20"/>
              </w:rPr>
              <w:t xml:space="preserve">Nedostatak </w:t>
            </w:r>
            <w:proofErr w:type="spellStart"/>
            <w:r w:rsidRPr="009A4981">
              <w:rPr>
                <w:rFonts w:cs="Calibri"/>
                <w:i/>
                <w:sz w:val="20"/>
                <w:szCs w:val="20"/>
              </w:rPr>
              <w:t>greenfield</w:t>
            </w:r>
            <w:proofErr w:type="spellEnd"/>
            <w:r w:rsidRPr="009A4981">
              <w:rPr>
                <w:rFonts w:cs="Calibri"/>
                <w:sz w:val="20"/>
                <w:szCs w:val="20"/>
              </w:rPr>
              <w:t xml:space="preserve"> investicija u visoko-tehnološke i izvozno-orijentirane sektore;</w:t>
            </w:r>
          </w:p>
          <w:p w:rsidR="000C1520" w:rsidRPr="009A4981" w:rsidRDefault="000C1520" w:rsidP="006B2250">
            <w:pPr>
              <w:numPr>
                <w:ilvl w:val="0"/>
                <w:numId w:val="17"/>
              </w:numPr>
              <w:spacing w:after="0" w:line="240" w:lineRule="auto"/>
              <w:ind w:left="317" w:hanging="283"/>
              <w:jc w:val="both"/>
              <w:rPr>
                <w:rFonts w:cs="Calibri"/>
                <w:sz w:val="20"/>
                <w:szCs w:val="20"/>
              </w:rPr>
            </w:pPr>
            <w:r w:rsidRPr="009A4981">
              <w:rPr>
                <w:rFonts w:cs="Calibri"/>
                <w:sz w:val="20"/>
                <w:szCs w:val="20"/>
              </w:rPr>
              <w:t>Nedefinirani industrijski lanci vrijednosti;</w:t>
            </w:r>
          </w:p>
          <w:p w:rsidR="000C1520" w:rsidRPr="009A4981" w:rsidRDefault="000C1520" w:rsidP="006B2250">
            <w:pPr>
              <w:numPr>
                <w:ilvl w:val="0"/>
                <w:numId w:val="17"/>
              </w:numPr>
              <w:spacing w:after="0" w:line="240" w:lineRule="auto"/>
              <w:ind w:left="317" w:hanging="283"/>
              <w:jc w:val="both"/>
              <w:rPr>
                <w:rFonts w:cs="Calibri"/>
                <w:sz w:val="20"/>
                <w:szCs w:val="20"/>
              </w:rPr>
            </w:pPr>
            <w:r w:rsidRPr="009A4981">
              <w:rPr>
                <w:rFonts w:cs="Calibri"/>
                <w:sz w:val="20"/>
                <w:szCs w:val="20"/>
              </w:rPr>
              <w:t xml:space="preserve">Nedovoljna razvijenost tržišta rizičnog kapitala i visok trošak kapitala; </w:t>
            </w:r>
          </w:p>
          <w:p w:rsidR="000C1520" w:rsidRPr="009A4981" w:rsidRDefault="000C1520" w:rsidP="006B2250">
            <w:pPr>
              <w:numPr>
                <w:ilvl w:val="0"/>
                <w:numId w:val="17"/>
              </w:numPr>
              <w:spacing w:after="0" w:line="240" w:lineRule="auto"/>
              <w:ind w:left="317" w:hanging="283"/>
              <w:jc w:val="both"/>
              <w:rPr>
                <w:rFonts w:cs="Calibri"/>
                <w:sz w:val="20"/>
                <w:szCs w:val="20"/>
              </w:rPr>
            </w:pPr>
            <w:r w:rsidRPr="009A4981">
              <w:rPr>
                <w:rFonts w:cs="Calibri"/>
                <w:sz w:val="20"/>
                <w:szCs w:val="20"/>
              </w:rPr>
              <w:t>Nedovoljno razvijena infrastruktura u potpomognutim područjima;</w:t>
            </w:r>
          </w:p>
          <w:p w:rsidR="000C1520" w:rsidRPr="009A4981" w:rsidRDefault="000C1520" w:rsidP="006B2250">
            <w:pPr>
              <w:numPr>
                <w:ilvl w:val="0"/>
                <w:numId w:val="17"/>
              </w:numPr>
              <w:spacing w:after="0" w:line="240" w:lineRule="auto"/>
              <w:ind w:left="317" w:hanging="283"/>
              <w:jc w:val="both"/>
              <w:rPr>
                <w:rFonts w:cs="Calibri"/>
                <w:sz w:val="20"/>
                <w:szCs w:val="20"/>
              </w:rPr>
            </w:pPr>
            <w:r w:rsidRPr="009A4981">
              <w:rPr>
                <w:rFonts w:cs="Calibri"/>
                <w:sz w:val="20"/>
                <w:szCs w:val="20"/>
              </w:rPr>
              <w:t>Neučinkovito stavljanje u funkciju  državne imovine;</w:t>
            </w:r>
          </w:p>
          <w:p w:rsidR="000C1520" w:rsidRPr="009A4981" w:rsidRDefault="000C1520" w:rsidP="006B2250">
            <w:pPr>
              <w:numPr>
                <w:ilvl w:val="0"/>
                <w:numId w:val="17"/>
              </w:numPr>
              <w:spacing w:after="0" w:line="240" w:lineRule="auto"/>
              <w:ind w:left="317" w:hanging="283"/>
              <w:jc w:val="both"/>
              <w:rPr>
                <w:rFonts w:cs="Calibri"/>
                <w:sz w:val="20"/>
                <w:szCs w:val="20"/>
              </w:rPr>
            </w:pPr>
            <w:r w:rsidRPr="009A4981">
              <w:rPr>
                <w:rFonts w:cs="Calibri"/>
                <w:sz w:val="20"/>
                <w:szCs w:val="20"/>
              </w:rPr>
              <w:t>Nedovoljno ulaganje u istraživanje i razvoj te niski stupanj komercijalizacije inovacija;</w:t>
            </w:r>
          </w:p>
          <w:p w:rsidR="000C1520" w:rsidRPr="009A4981" w:rsidRDefault="000C1520" w:rsidP="006B2250">
            <w:pPr>
              <w:numPr>
                <w:ilvl w:val="0"/>
                <w:numId w:val="17"/>
              </w:numPr>
              <w:spacing w:after="0" w:line="240" w:lineRule="auto"/>
              <w:ind w:left="317" w:hanging="283"/>
              <w:jc w:val="both"/>
              <w:rPr>
                <w:rFonts w:cs="Calibri"/>
                <w:sz w:val="20"/>
                <w:szCs w:val="20"/>
              </w:rPr>
            </w:pPr>
            <w:r w:rsidRPr="009A4981">
              <w:rPr>
                <w:rFonts w:cs="Calibri"/>
                <w:sz w:val="20"/>
                <w:szCs w:val="20"/>
              </w:rPr>
              <w:t>Nedovoljna primjena KET tehnologija;</w:t>
            </w:r>
          </w:p>
          <w:p w:rsidR="000C1520" w:rsidRPr="009A4981" w:rsidRDefault="000C1520" w:rsidP="006B2250">
            <w:pPr>
              <w:numPr>
                <w:ilvl w:val="0"/>
                <w:numId w:val="17"/>
              </w:numPr>
              <w:spacing w:after="0" w:line="240" w:lineRule="auto"/>
              <w:ind w:left="317" w:hanging="283"/>
              <w:jc w:val="both"/>
              <w:rPr>
                <w:rFonts w:cs="Calibri"/>
                <w:sz w:val="20"/>
                <w:szCs w:val="20"/>
              </w:rPr>
            </w:pPr>
            <w:r w:rsidRPr="009A4981">
              <w:rPr>
                <w:rFonts w:cs="Calibri"/>
                <w:sz w:val="20"/>
                <w:szCs w:val="20"/>
              </w:rPr>
              <w:t>Nedovoljno ulaganje u promociju RH kao prepoznatljive i  poželjne investicijske destinacije;</w:t>
            </w:r>
          </w:p>
        </w:tc>
      </w:tr>
      <w:tr w:rsidR="000C1520" w:rsidRPr="00623771" w:rsidTr="006B2250">
        <w:trPr>
          <w:trHeight w:val="108"/>
        </w:trPr>
        <w:tc>
          <w:tcPr>
            <w:tcW w:w="4503" w:type="dxa"/>
            <w:shd w:val="clear" w:color="auto" w:fill="00B050"/>
          </w:tcPr>
          <w:p w:rsidR="000C1520" w:rsidRPr="009A4981" w:rsidRDefault="000C1520" w:rsidP="00C52B01">
            <w:pPr>
              <w:tabs>
                <w:tab w:val="num" w:pos="340"/>
              </w:tabs>
              <w:spacing w:before="120" w:after="0" w:line="240" w:lineRule="auto"/>
              <w:ind w:left="360" w:hanging="360"/>
              <w:jc w:val="center"/>
              <w:rPr>
                <w:rFonts w:cs="Calibri"/>
                <w:b/>
                <w:sz w:val="20"/>
                <w:szCs w:val="20"/>
              </w:rPr>
            </w:pPr>
            <w:r w:rsidRPr="009A4981">
              <w:rPr>
                <w:rFonts w:cs="Calibri"/>
                <w:b/>
                <w:sz w:val="20"/>
                <w:szCs w:val="20"/>
              </w:rPr>
              <w:t>MOGUĆNOSTI</w:t>
            </w:r>
          </w:p>
        </w:tc>
        <w:tc>
          <w:tcPr>
            <w:tcW w:w="4819" w:type="dxa"/>
            <w:shd w:val="clear" w:color="auto" w:fill="FABF8F"/>
          </w:tcPr>
          <w:p w:rsidR="000C1520" w:rsidRPr="009A4981" w:rsidRDefault="000C1520" w:rsidP="00C52B01">
            <w:pPr>
              <w:tabs>
                <w:tab w:val="num" w:pos="720"/>
              </w:tabs>
              <w:spacing w:before="120" w:after="0" w:line="240" w:lineRule="auto"/>
              <w:ind w:left="720" w:hanging="360"/>
              <w:jc w:val="center"/>
              <w:rPr>
                <w:rFonts w:cs="Calibri"/>
                <w:b/>
                <w:sz w:val="20"/>
                <w:szCs w:val="20"/>
              </w:rPr>
            </w:pPr>
            <w:r w:rsidRPr="009A4981">
              <w:rPr>
                <w:rFonts w:cs="Calibri"/>
                <w:b/>
                <w:sz w:val="20"/>
                <w:szCs w:val="20"/>
              </w:rPr>
              <w:t>IZAZOVI (prijetnje)</w:t>
            </w:r>
          </w:p>
        </w:tc>
      </w:tr>
      <w:tr w:rsidR="000C1520" w:rsidRPr="00623771" w:rsidTr="006B2250">
        <w:trPr>
          <w:trHeight w:val="108"/>
        </w:trPr>
        <w:tc>
          <w:tcPr>
            <w:tcW w:w="4503" w:type="dxa"/>
            <w:shd w:val="clear" w:color="auto" w:fill="00B050"/>
          </w:tcPr>
          <w:p w:rsidR="000C1520" w:rsidRPr="009A4981" w:rsidRDefault="000C1520" w:rsidP="006B2250">
            <w:pPr>
              <w:numPr>
                <w:ilvl w:val="0"/>
                <w:numId w:val="13"/>
              </w:numPr>
              <w:spacing w:after="0" w:line="240" w:lineRule="auto"/>
              <w:jc w:val="both"/>
              <w:rPr>
                <w:rFonts w:cs="Calibri"/>
                <w:sz w:val="20"/>
                <w:szCs w:val="20"/>
              </w:rPr>
            </w:pPr>
            <w:r w:rsidRPr="009A4981">
              <w:rPr>
                <w:rFonts w:cs="Calibri"/>
                <w:sz w:val="20"/>
                <w:szCs w:val="20"/>
              </w:rPr>
              <w:t>Pametna sektorska specijalizacija RH;</w:t>
            </w:r>
          </w:p>
          <w:p w:rsidR="000C1520" w:rsidRPr="009A4981" w:rsidRDefault="000C1520" w:rsidP="006B2250">
            <w:pPr>
              <w:numPr>
                <w:ilvl w:val="0"/>
                <w:numId w:val="13"/>
              </w:numPr>
              <w:spacing w:after="0" w:line="240" w:lineRule="auto"/>
              <w:jc w:val="both"/>
              <w:rPr>
                <w:rFonts w:cs="Calibri"/>
                <w:sz w:val="20"/>
                <w:szCs w:val="20"/>
              </w:rPr>
            </w:pPr>
            <w:r w:rsidRPr="009A4981">
              <w:rPr>
                <w:rFonts w:cs="Calibri"/>
                <w:sz w:val="20"/>
                <w:szCs w:val="20"/>
              </w:rPr>
              <w:t xml:space="preserve">Mogućnost korištenja strukturnih instrumenata Kohezijske politike EU-a;   </w:t>
            </w:r>
          </w:p>
          <w:p w:rsidR="000C1520" w:rsidRPr="009A4981" w:rsidRDefault="000C1520" w:rsidP="006B2250">
            <w:pPr>
              <w:numPr>
                <w:ilvl w:val="0"/>
                <w:numId w:val="13"/>
              </w:numPr>
              <w:spacing w:after="0" w:line="240" w:lineRule="auto"/>
              <w:jc w:val="both"/>
              <w:rPr>
                <w:rFonts w:cs="Calibri"/>
                <w:sz w:val="20"/>
                <w:szCs w:val="20"/>
              </w:rPr>
            </w:pPr>
            <w:r w:rsidRPr="009A4981">
              <w:rPr>
                <w:rFonts w:cs="Calibri"/>
                <w:sz w:val="20"/>
                <w:szCs w:val="20"/>
              </w:rPr>
              <w:t xml:space="preserve">Razvoj i internacionalizacija </w:t>
            </w:r>
            <w:proofErr w:type="spellStart"/>
            <w:r w:rsidRPr="009A4981">
              <w:rPr>
                <w:rFonts w:cs="Calibri"/>
                <w:sz w:val="20"/>
                <w:szCs w:val="20"/>
              </w:rPr>
              <w:t>klastera</w:t>
            </w:r>
            <w:proofErr w:type="spellEnd"/>
            <w:r w:rsidRPr="009A4981">
              <w:rPr>
                <w:rFonts w:cs="Calibri"/>
                <w:sz w:val="20"/>
                <w:szCs w:val="20"/>
              </w:rPr>
              <w:t xml:space="preserve"> konkurentnosti; </w:t>
            </w:r>
          </w:p>
          <w:p w:rsidR="000C1520" w:rsidRPr="009A4981" w:rsidRDefault="000C1520" w:rsidP="006B2250">
            <w:pPr>
              <w:numPr>
                <w:ilvl w:val="0"/>
                <w:numId w:val="13"/>
              </w:numPr>
              <w:spacing w:after="0" w:line="240" w:lineRule="auto"/>
              <w:jc w:val="both"/>
              <w:rPr>
                <w:rFonts w:cs="Calibri"/>
                <w:sz w:val="20"/>
                <w:szCs w:val="20"/>
              </w:rPr>
            </w:pPr>
            <w:r w:rsidRPr="009A4981">
              <w:rPr>
                <w:rFonts w:cs="Calibri"/>
                <w:sz w:val="20"/>
                <w:szCs w:val="20"/>
              </w:rPr>
              <w:t>Transfer tehnologije kroz izravne strane investicije;</w:t>
            </w:r>
          </w:p>
          <w:p w:rsidR="000C1520" w:rsidRPr="009A4981" w:rsidRDefault="000C1520" w:rsidP="006B2250">
            <w:pPr>
              <w:numPr>
                <w:ilvl w:val="0"/>
                <w:numId w:val="13"/>
              </w:numPr>
              <w:spacing w:after="0" w:line="240" w:lineRule="auto"/>
              <w:jc w:val="both"/>
              <w:rPr>
                <w:rFonts w:cs="Calibri"/>
                <w:sz w:val="20"/>
                <w:szCs w:val="20"/>
              </w:rPr>
            </w:pPr>
            <w:r w:rsidRPr="009A4981">
              <w:rPr>
                <w:rFonts w:cs="Calibri"/>
                <w:sz w:val="20"/>
                <w:szCs w:val="20"/>
              </w:rPr>
              <w:t>Jačanje izvrsnosti industrije putem razvoja tehnoloških platformi;</w:t>
            </w:r>
          </w:p>
          <w:p w:rsidR="000C1520" w:rsidRPr="009A4981" w:rsidRDefault="000C1520" w:rsidP="006B2250">
            <w:pPr>
              <w:numPr>
                <w:ilvl w:val="0"/>
                <w:numId w:val="13"/>
              </w:numPr>
              <w:spacing w:after="0" w:line="240" w:lineRule="auto"/>
              <w:jc w:val="both"/>
              <w:rPr>
                <w:rFonts w:cs="Calibri"/>
                <w:sz w:val="20"/>
                <w:szCs w:val="20"/>
              </w:rPr>
            </w:pPr>
            <w:r w:rsidRPr="009A4981">
              <w:rPr>
                <w:rFonts w:cs="Calibri"/>
                <w:sz w:val="20"/>
                <w:szCs w:val="20"/>
              </w:rPr>
              <w:t xml:space="preserve">Promocija RH kao atraktivne investicijske destinacije; </w:t>
            </w:r>
          </w:p>
          <w:p w:rsidR="000C1520" w:rsidRPr="009A4981" w:rsidRDefault="000C1520" w:rsidP="006B2250">
            <w:pPr>
              <w:numPr>
                <w:ilvl w:val="0"/>
                <w:numId w:val="13"/>
              </w:numPr>
              <w:spacing w:after="0" w:line="240" w:lineRule="auto"/>
              <w:jc w:val="both"/>
              <w:rPr>
                <w:rFonts w:cs="Calibri"/>
                <w:sz w:val="20"/>
                <w:szCs w:val="20"/>
              </w:rPr>
            </w:pPr>
            <w:r w:rsidRPr="009A4981">
              <w:rPr>
                <w:rFonts w:cs="Calibri"/>
                <w:sz w:val="20"/>
                <w:szCs w:val="20"/>
              </w:rPr>
              <w:t>Mobilizacija investicijskog potencijala dijaspore;</w:t>
            </w:r>
          </w:p>
          <w:p w:rsidR="000C1520" w:rsidRPr="009A4981" w:rsidRDefault="000C1520" w:rsidP="006B2250">
            <w:pPr>
              <w:numPr>
                <w:ilvl w:val="0"/>
                <w:numId w:val="13"/>
              </w:numPr>
              <w:spacing w:after="0" w:line="240" w:lineRule="auto"/>
              <w:jc w:val="both"/>
              <w:rPr>
                <w:rFonts w:cs="Calibri"/>
                <w:sz w:val="20"/>
                <w:szCs w:val="20"/>
              </w:rPr>
            </w:pPr>
            <w:proofErr w:type="spellStart"/>
            <w:r w:rsidRPr="009A4981">
              <w:rPr>
                <w:rFonts w:cs="Calibri"/>
                <w:sz w:val="20"/>
                <w:szCs w:val="20"/>
              </w:rPr>
              <w:t>Cjeloživotno</w:t>
            </w:r>
            <w:proofErr w:type="spellEnd"/>
            <w:r w:rsidRPr="009A4981">
              <w:rPr>
                <w:rFonts w:cs="Calibri"/>
                <w:sz w:val="20"/>
                <w:szCs w:val="20"/>
              </w:rPr>
              <w:t xml:space="preserve"> obrazovanje i mogućnost brze prekvalifikacije radne snage;</w:t>
            </w:r>
          </w:p>
          <w:p w:rsidR="000C1520" w:rsidRPr="009A4981" w:rsidRDefault="000C1520" w:rsidP="006B2250">
            <w:pPr>
              <w:numPr>
                <w:ilvl w:val="0"/>
                <w:numId w:val="13"/>
              </w:numPr>
              <w:autoSpaceDE w:val="0"/>
              <w:autoSpaceDN w:val="0"/>
              <w:adjustRightInd w:val="0"/>
              <w:spacing w:after="0" w:line="240" w:lineRule="auto"/>
              <w:jc w:val="both"/>
              <w:rPr>
                <w:rFonts w:cs="Calibri"/>
                <w:sz w:val="20"/>
                <w:szCs w:val="20"/>
              </w:rPr>
            </w:pPr>
            <w:r w:rsidRPr="009A4981">
              <w:rPr>
                <w:rFonts w:cs="Calibri"/>
                <w:sz w:val="20"/>
                <w:szCs w:val="20"/>
              </w:rPr>
              <w:t xml:space="preserve">Jačanje uloge gospodarske diplomacije u </w:t>
            </w:r>
            <w:proofErr w:type="spellStart"/>
            <w:r w:rsidRPr="009A4981">
              <w:rPr>
                <w:rFonts w:cs="Calibri"/>
                <w:sz w:val="20"/>
                <w:szCs w:val="20"/>
              </w:rPr>
              <w:t>proaktivnom</w:t>
            </w:r>
            <w:proofErr w:type="spellEnd"/>
            <w:r w:rsidRPr="009A4981">
              <w:rPr>
                <w:rFonts w:cs="Calibri"/>
                <w:sz w:val="20"/>
                <w:szCs w:val="20"/>
              </w:rPr>
              <w:t xml:space="preserve"> privlačenju investicija;</w:t>
            </w:r>
          </w:p>
        </w:tc>
        <w:tc>
          <w:tcPr>
            <w:tcW w:w="4819" w:type="dxa"/>
            <w:shd w:val="clear" w:color="auto" w:fill="FABF8F"/>
          </w:tcPr>
          <w:p w:rsidR="000C1520" w:rsidRPr="009A4981" w:rsidRDefault="000C1520" w:rsidP="006B2250">
            <w:pPr>
              <w:numPr>
                <w:ilvl w:val="0"/>
                <w:numId w:val="12"/>
              </w:numPr>
              <w:spacing w:after="0" w:line="240" w:lineRule="auto"/>
              <w:jc w:val="both"/>
              <w:rPr>
                <w:rFonts w:cs="Calibri"/>
                <w:sz w:val="20"/>
                <w:szCs w:val="20"/>
              </w:rPr>
            </w:pPr>
            <w:r w:rsidRPr="009A4981">
              <w:rPr>
                <w:rFonts w:cs="Calibri"/>
                <w:sz w:val="20"/>
                <w:szCs w:val="20"/>
              </w:rPr>
              <w:t>Globalne promjene na svjetskom tržištu vezano uz privlačenje izravnih stranih investicija (Brazil, Indija, Kina);</w:t>
            </w:r>
          </w:p>
          <w:p w:rsidR="000C1520" w:rsidRPr="009A4981" w:rsidRDefault="000C1520" w:rsidP="006B2250">
            <w:pPr>
              <w:numPr>
                <w:ilvl w:val="0"/>
                <w:numId w:val="12"/>
              </w:numPr>
              <w:spacing w:after="0" w:line="240" w:lineRule="auto"/>
              <w:jc w:val="both"/>
              <w:rPr>
                <w:rFonts w:cs="Calibri"/>
                <w:sz w:val="20"/>
                <w:szCs w:val="20"/>
              </w:rPr>
            </w:pPr>
            <w:r w:rsidRPr="009A4981">
              <w:rPr>
                <w:rFonts w:cs="Calibri"/>
                <w:sz w:val="20"/>
                <w:szCs w:val="20"/>
              </w:rPr>
              <w:t>Jačanje investicijske atraktivnosti drugih zemalja u Jugoistočnoj Europi;</w:t>
            </w:r>
          </w:p>
          <w:p w:rsidR="000C1520" w:rsidRPr="009A4981" w:rsidRDefault="000C1520" w:rsidP="006B2250">
            <w:pPr>
              <w:numPr>
                <w:ilvl w:val="0"/>
                <w:numId w:val="12"/>
              </w:numPr>
              <w:spacing w:after="0" w:line="240" w:lineRule="auto"/>
              <w:jc w:val="both"/>
              <w:rPr>
                <w:rFonts w:cs="Calibri"/>
                <w:sz w:val="20"/>
                <w:szCs w:val="20"/>
              </w:rPr>
            </w:pPr>
            <w:r w:rsidRPr="009A4981">
              <w:rPr>
                <w:rFonts w:cs="Calibri"/>
                <w:sz w:val="20"/>
                <w:szCs w:val="20"/>
              </w:rPr>
              <w:t xml:space="preserve">Globalna financijska kriza; </w:t>
            </w:r>
          </w:p>
          <w:p w:rsidR="000C1520" w:rsidRPr="009A4981" w:rsidRDefault="000C1520" w:rsidP="006B2250">
            <w:pPr>
              <w:numPr>
                <w:ilvl w:val="0"/>
                <w:numId w:val="12"/>
              </w:numPr>
              <w:spacing w:after="0" w:line="240" w:lineRule="auto"/>
              <w:jc w:val="both"/>
              <w:rPr>
                <w:rFonts w:cs="Calibri"/>
                <w:sz w:val="20"/>
                <w:szCs w:val="20"/>
              </w:rPr>
            </w:pPr>
            <w:r w:rsidRPr="009A4981">
              <w:rPr>
                <w:rFonts w:cs="Calibri"/>
                <w:sz w:val="20"/>
                <w:szCs w:val="20"/>
              </w:rPr>
              <w:t>Nestabilna politička situacija u okruženju, odnosno u zemljama koje nisu članice EU-a;</w:t>
            </w:r>
          </w:p>
          <w:p w:rsidR="000C1520" w:rsidRPr="009A4981" w:rsidRDefault="000C1520" w:rsidP="006B2250">
            <w:pPr>
              <w:numPr>
                <w:ilvl w:val="0"/>
                <w:numId w:val="12"/>
              </w:numPr>
              <w:spacing w:after="0" w:line="240" w:lineRule="auto"/>
              <w:jc w:val="both"/>
              <w:rPr>
                <w:rFonts w:cs="Calibri"/>
                <w:sz w:val="20"/>
                <w:szCs w:val="20"/>
              </w:rPr>
            </w:pPr>
            <w:r w:rsidRPr="009A4981">
              <w:rPr>
                <w:rFonts w:cs="Calibri"/>
                <w:sz w:val="20"/>
                <w:szCs w:val="20"/>
              </w:rPr>
              <w:t>Narušavanje ravnoteže postojećih prirodnih resursa;</w:t>
            </w:r>
          </w:p>
          <w:p w:rsidR="000C1520" w:rsidRPr="009A4981" w:rsidRDefault="000C1520" w:rsidP="006B2250">
            <w:pPr>
              <w:tabs>
                <w:tab w:val="num" w:pos="720"/>
              </w:tabs>
              <w:spacing w:before="120" w:after="0" w:line="240" w:lineRule="auto"/>
              <w:ind w:left="720" w:hanging="360"/>
              <w:jc w:val="both"/>
              <w:rPr>
                <w:rFonts w:cs="Calibri"/>
                <w:sz w:val="20"/>
                <w:szCs w:val="20"/>
              </w:rPr>
            </w:pPr>
          </w:p>
        </w:tc>
      </w:tr>
    </w:tbl>
    <w:p w:rsidR="000C1520" w:rsidRPr="00E3779F" w:rsidRDefault="000C1520" w:rsidP="00923D77">
      <w:pPr>
        <w:spacing w:line="360" w:lineRule="auto"/>
        <w:jc w:val="both"/>
        <w:rPr>
          <w:rFonts w:cs="Calibri"/>
        </w:rPr>
      </w:pPr>
    </w:p>
    <w:p w:rsidR="009A4981" w:rsidRDefault="009A4981" w:rsidP="004D155A">
      <w:pPr>
        <w:pStyle w:val="Heading1"/>
      </w:pPr>
      <w:bookmarkStart w:id="19" w:name="_Toc348951837"/>
      <w:bookmarkStart w:id="20" w:name="_Toc351127598"/>
      <w:bookmarkStart w:id="21" w:name="_Toc373137858"/>
      <w:bookmarkEnd w:id="15"/>
      <w:bookmarkEnd w:id="16"/>
    </w:p>
    <w:p w:rsidR="00E603EE" w:rsidRPr="00E603EE" w:rsidRDefault="00E603EE" w:rsidP="00E603EE">
      <w:pPr>
        <w:rPr>
          <w:lang w:val="lt-LT" w:eastAsia="lt-LT"/>
        </w:rPr>
      </w:pPr>
    </w:p>
    <w:p w:rsidR="000C1520" w:rsidRPr="004D155A" w:rsidRDefault="000C1520" w:rsidP="004D155A">
      <w:pPr>
        <w:pStyle w:val="Heading1"/>
      </w:pPr>
      <w:r w:rsidRPr="004D155A">
        <w:lastRenderedPageBreak/>
        <w:t xml:space="preserve">2. </w:t>
      </w:r>
      <w:bookmarkEnd w:id="19"/>
      <w:bookmarkEnd w:id="20"/>
      <w:r w:rsidRPr="004D155A">
        <w:t>VIZIJA I STRATEŠKI CILJEVI</w:t>
      </w:r>
      <w:bookmarkEnd w:id="21"/>
    </w:p>
    <w:p w:rsidR="000C1520" w:rsidRPr="00636499" w:rsidRDefault="000C1520" w:rsidP="009F3330">
      <w:pPr>
        <w:pStyle w:val="Heading2"/>
      </w:pPr>
    </w:p>
    <w:p w:rsidR="000C1520" w:rsidRPr="00435399" w:rsidRDefault="000C1520" w:rsidP="00435399">
      <w:pPr>
        <w:jc w:val="both"/>
      </w:pPr>
      <w:r w:rsidRPr="00636499">
        <w:t>U okviru Strategije poticanja investicij</w:t>
      </w:r>
      <w:r>
        <w:t>a definirana je vizija Republike Hrvatske</w:t>
      </w:r>
      <w:r w:rsidRPr="00636499">
        <w:t xml:space="preserve"> do 2020. godine.</w:t>
      </w:r>
    </w:p>
    <w:p w:rsidR="000C1520" w:rsidRPr="00D74ECD" w:rsidRDefault="000C1520" w:rsidP="00D74ECD">
      <w:pPr>
        <w:pBdr>
          <w:top w:val="single" w:sz="4" w:space="1" w:color="auto"/>
          <w:left w:val="single" w:sz="4" w:space="4" w:color="auto"/>
          <w:bottom w:val="single" w:sz="4" w:space="1" w:color="auto"/>
          <w:right w:val="single" w:sz="4" w:space="4" w:color="auto"/>
        </w:pBdr>
        <w:shd w:val="clear" w:color="auto" w:fill="C6D9F1"/>
        <w:jc w:val="center"/>
        <w:rPr>
          <w:b/>
          <w:color w:val="000000"/>
        </w:rPr>
      </w:pPr>
      <w:r w:rsidRPr="00D74ECD">
        <w:rPr>
          <w:b/>
          <w:color w:val="000000"/>
        </w:rPr>
        <w:t xml:space="preserve"> </w:t>
      </w:r>
      <w:r w:rsidRPr="009D7CBD">
        <w:rPr>
          <w:b/>
          <w:color w:val="000000"/>
        </w:rPr>
        <w:t>Hrvatska 2020. jedna je od</w:t>
      </w:r>
      <w:r w:rsidRPr="00D74ECD">
        <w:rPr>
          <w:b/>
          <w:color w:val="000000"/>
        </w:rPr>
        <w:t xml:space="preserve"> 30 najatraktivnijih lokacija na svijetu za investiranje i bilježi</w:t>
      </w:r>
    </w:p>
    <w:p w:rsidR="000C1520" w:rsidRPr="00D74ECD" w:rsidRDefault="000C1520" w:rsidP="00D74ECD">
      <w:pPr>
        <w:pBdr>
          <w:top w:val="single" w:sz="4" w:space="1" w:color="auto"/>
          <w:left w:val="single" w:sz="4" w:space="4" w:color="auto"/>
          <w:bottom w:val="single" w:sz="4" w:space="1" w:color="auto"/>
          <w:right w:val="single" w:sz="4" w:space="4" w:color="auto"/>
        </w:pBdr>
        <w:shd w:val="clear" w:color="auto" w:fill="C6D9F1"/>
        <w:jc w:val="center"/>
        <w:rPr>
          <w:b/>
          <w:color w:val="000000"/>
        </w:rPr>
      </w:pPr>
      <w:r w:rsidRPr="00D74ECD">
        <w:rPr>
          <w:b/>
          <w:color w:val="000000"/>
        </w:rPr>
        <w:t>stabilan godišnji rast priljeva izravnih stranih investicija</w:t>
      </w:r>
    </w:p>
    <w:p w:rsidR="000C1520" w:rsidRDefault="000C1520" w:rsidP="00FB21A2">
      <w:pPr>
        <w:spacing w:line="360" w:lineRule="auto"/>
        <w:jc w:val="both"/>
        <w:rPr>
          <w:rFonts w:eastAsia="TTE22ACBD0t00" w:cs="Calibri"/>
          <w:szCs w:val="24"/>
        </w:rPr>
      </w:pPr>
      <w:r w:rsidRPr="00636499">
        <w:rPr>
          <w:rFonts w:cs="Calibri"/>
        </w:rPr>
        <w:t xml:space="preserve">Opći </w:t>
      </w:r>
      <w:r>
        <w:rPr>
          <w:rFonts w:cs="Calibri"/>
        </w:rPr>
        <w:t xml:space="preserve">je </w:t>
      </w:r>
      <w:r w:rsidRPr="00636499">
        <w:rPr>
          <w:rFonts w:cs="Calibri"/>
        </w:rPr>
        <w:t>cilj Stra</w:t>
      </w:r>
      <w:r>
        <w:rPr>
          <w:rFonts w:cs="Calibri"/>
        </w:rPr>
        <w:t xml:space="preserve">tegije poticanja investicija </w:t>
      </w:r>
      <w:r w:rsidRPr="00636499">
        <w:rPr>
          <w:rFonts w:cs="Calibri"/>
        </w:rPr>
        <w:t xml:space="preserve">pridonijeti ostvarivanju vizije i potaknuti gospodarski rast i konkurentnost </w:t>
      </w:r>
      <w:r>
        <w:rPr>
          <w:rFonts w:cs="Calibri"/>
        </w:rPr>
        <w:t>RH</w:t>
      </w:r>
      <w:r w:rsidRPr="00636499">
        <w:rPr>
          <w:rFonts w:cs="Calibri"/>
        </w:rPr>
        <w:t xml:space="preserve"> kroz povećanje priljeva domaćih i stranih investicija. </w:t>
      </w:r>
      <w:r w:rsidRPr="00636499">
        <w:rPr>
          <w:rFonts w:eastAsia="TTE22ACBD0t00" w:cs="Calibri"/>
          <w:szCs w:val="24"/>
        </w:rPr>
        <w:t>Taj će se cilj postić</w:t>
      </w:r>
      <w:r>
        <w:rPr>
          <w:rFonts w:eastAsia="TTE22ACBD0t00" w:cs="Calibri"/>
          <w:szCs w:val="24"/>
        </w:rPr>
        <w:t>i kroz sljedeće strateške ciljeve:</w:t>
      </w:r>
    </w:p>
    <w:p w:rsidR="000C1520" w:rsidRDefault="000C1520" w:rsidP="00230928">
      <w:pPr>
        <w:spacing w:line="360" w:lineRule="auto"/>
        <w:jc w:val="both"/>
        <w:rPr>
          <w:rFonts w:eastAsia="TTE22ACBD0t00" w:cs="Calibri"/>
          <w:szCs w:val="24"/>
        </w:rPr>
      </w:pPr>
      <w:r>
        <w:rPr>
          <w:rFonts w:eastAsia="TTE22ACBD0t00" w:cs="Calibri"/>
          <w:szCs w:val="24"/>
        </w:rPr>
        <w:t>1. Poboljšanje investicijske klime u RH mjereno rangiranjem RH u odnosu na druge zemlje u okviru Izvješća o globalnoj konkurentnosti (GCR) i prema lakoći poslovanja (</w:t>
      </w:r>
      <w:proofErr w:type="spellStart"/>
      <w:r>
        <w:rPr>
          <w:rFonts w:eastAsia="TTE22ACBD0t00" w:cs="Calibri"/>
          <w:szCs w:val="24"/>
        </w:rPr>
        <w:t>eng</w:t>
      </w:r>
      <w:proofErr w:type="spellEnd"/>
      <w:r>
        <w:rPr>
          <w:rFonts w:eastAsia="TTE22ACBD0t00" w:cs="Calibri"/>
          <w:szCs w:val="24"/>
        </w:rPr>
        <w:t xml:space="preserve">. </w:t>
      </w:r>
      <w:proofErr w:type="spellStart"/>
      <w:r>
        <w:rPr>
          <w:rFonts w:eastAsia="TTE22ACBD0t00" w:cs="Calibri"/>
          <w:szCs w:val="24"/>
        </w:rPr>
        <w:t>Doing</w:t>
      </w:r>
      <w:proofErr w:type="spellEnd"/>
      <w:r>
        <w:rPr>
          <w:rFonts w:eastAsia="TTE22ACBD0t00" w:cs="Calibri"/>
          <w:szCs w:val="24"/>
        </w:rPr>
        <w:t xml:space="preserve"> </w:t>
      </w:r>
      <w:proofErr w:type="spellStart"/>
      <w:r>
        <w:rPr>
          <w:rFonts w:eastAsia="TTE22ACBD0t00" w:cs="Calibri"/>
          <w:szCs w:val="24"/>
        </w:rPr>
        <w:t>Business</w:t>
      </w:r>
      <w:proofErr w:type="spellEnd"/>
      <w:r>
        <w:rPr>
          <w:rFonts w:eastAsia="TTE22ACBD0t00" w:cs="Calibri"/>
          <w:szCs w:val="24"/>
        </w:rPr>
        <w:t>);</w:t>
      </w:r>
    </w:p>
    <w:p w:rsidR="000C1520" w:rsidRDefault="000C1520" w:rsidP="00230928">
      <w:pPr>
        <w:spacing w:line="360" w:lineRule="auto"/>
        <w:jc w:val="both"/>
        <w:rPr>
          <w:rFonts w:eastAsia="TTE22ACBD0t00" w:cs="Calibri"/>
          <w:szCs w:val="24"/>
        </w:rPr>
      </w:pPr>
      <w:r>
        <w:rPr>
          <w:rFonts w:eastAsia="TTE22ACBD0t00" w:cs="Calibri"/>
          <w:szCs w:val="24"/>
        </w:rPr>
        <w:t>2. Povećanje</w:t>
      </w:r>
      <w:r w:rsidR="00A346D5">
        <w:rPr>
          <w:rFonts w:eastAsia="TTE22ACBD0t00" w:cs="Calibri"/>
          <w:szCs w:val="24"/>
        </w:rPr>
        <w:t xml:space="preserve"> kumulativnog</w:t>
      </w:r>
      <w:r>
        <w:rPr>
          <w:rFonts w:eastAsia="TTE22ACBD0t00" w:cs="Calibri"/>
          <w:szCs w:val="24"/>
        </w:rPr>
        <w:t xml:space="preserve"> priljeva izravnih stranih investicija (ISI)/povećanje priljeva ISI po glavi stanovnika;</w:t>
      </w:r>
    </w:p>
    <w:p w:rsidR="000C1520" w:rsidRDefault="000C1520" w:rsidP="00230928">
      <w:pPr>
        <w:spacing w:line="360" w:lineRule="auto"/>
        <w:jc w:val="both"/>
        <w:rPr>
          <w:rFonts w:eastAsia="TTE22ACBD0t00" w:cs="Calibri"/>
          <w:szCs w:val="24"/>
        </w:rPr>
      </w:pPr>
      <w:r>
        <w:rPr>
          <w:rFonts w:eastAsia="TTE22ACBD0t00" w:cs="Calibri"/>
          <w:szCs w:val="24"/>
        </w:rPr>
        <w:t>3. Postizanje udjela izravnih stranih investicija u BDP-u od 6% godišnje;</w:t>
      </w:r>
    </w:p>
    <w:p w:rsidR="000C1520" w:rsidRDefault="000C1520" w:rsidP="00230928">
      <w:pPr>
        <w:spacing w:line="360" w:lineRule="auto"/>
        <w:jc w:val="both"/>
        <w:rPr>
          <w:rFonts w:eastAsia="TTE22ACBD0t00" w:cs="Calibri"/>
          <w:szCs w:val="24"/>
        </w:rPr>
      </w:pPr>
      <w:r>
        <w:rPr>
          <w:rFonts w:eastAsia="TTE22ACBD0t00" w:cs="Calibri"/>
          <w:szCs w:val="24"/>
        </w:rPr>
        <w:t xml:space="preserve">4. Povećanje udjela </w:t>
      </w:r>
      <w:proofErr w:type="spellStart"/>
      <w:r w:rsidRPr="00590D08">
        <w:rPr>
          <w:rFonts w:eastAsia="TTE22ACBD0t00" w:cs="Calibri"/>
          <w:i/>
          <w:szCs w:val="24"/>
        </w:rPr>
        <w:t>greenfield</w:t>
      </w:r>
      <w:proofErr w:type="spellEnd"/>
      <w:r>
        <w:rPr>
          <w:rFonts w:eastAsia="TTE22ACBD0t00" w:cs="Calibri"/>
          <w:szCs w:val="24"/>
        </w:rPr>
        <w:t xml:space="preserve"> investicija u ukupnim investicijama u RH na </w:t>
      </w:r>
      <w:r w:rsidR="002941BC">
        <w:rPr>
          <w:rFonts w:eastAsia="TTE22ACBD0t00" w:cs="Calibri"/>
          <w:szCs w:val="24"/>
        </w:rPr>
        <w:t>70%</w:t>
      </w:r>
    </w:p>
    <w:p w:rsidR="000C1520" w:rsidRDefault="00230928" w:rsidP="00230928">
      <w:pPr>
        <w:spacing w:line="360" w:lineRule="auto"/>
        <w:jc w:val="both"/>
        <w:rPr>
          <w:rFonts w:eastAsia="TTE22ACBD0t00" w:cs="Calibri"/>
          <w:szCs w:val="24"/>
        </w:rPr>
      </w:pPr>
      <w:r>
        <w:rPr>
          <w:rFonts w:eastAsia="TTE22ACBD0t00" w:cs="Calibri"/>
          <w:szCs w:val="24"/>
        </w:rPr>
        <w:t>5</w:t>
      </w:r>
      <w:r w:rsidR="000C1520">
        <w:rPr>
          <w:rFonts w:eastAsia="TTE22ACBD0t00" w:cs="Calibri"/>
          <w:szCs w:val="24"/>
        </w:rPr>
        <w:t>. Povećanje udjela stranih investitora u aktivnostima istraživanja i r</w:t>
      </w:r>
      <w:r>
        <w:rPr>
          <w:rFonts w:eastAsia="TTE22ACBD0t00" w:cs="Calibri"/>
          <w:szCs w:val="24"/>
        </w:rPr>
        <w:t>azvoja poslovnog sektora na 25%</w:t>
      </w:r>
    </w:p>
    <w:p w:rsidR="000C1520" w:rsidRPr="00435399" w:rsidRDefault="000C1520" w:rsidP="00FB21A2">
      <w:pPr>
        <w:spacing w:line="360" w:lineRule="auto"/>
        <w:jc w:val="both"/>
        <w:rPr>
          <w:rFonts w:eastAsia="TTE22ACBD0t00" w:cs="Calibri"/>
          <w:b/>
          <w:szCs w:val="24"/>
        </w:rPr>
      </w:pPr>
      <w:r>
        <w:rPr>
          <w:rFonts w:eastAsia="TTE22ACBD0t00" w:cs="Calibri"/>
          <w:b/>
          <w:szCs w:val="24"/>
        </w:rPr>
        <w:t>Tablica 6</w:t>
      </w:r>
      <w:r w:rsidRPr="00435399">
        <w:rPr>
          <w:rFonts w:eastAsia="TTE22ACBD0t00" w:cs="Calibri"/>
          <w:b/>
          <w:szCs w:val="24"/>
        </w:rPr>
        <w:t xml:space="preserve">. Strateški pokazatelji uspješnosti poticanja investicija u Republici Hrvatskoj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2976"/>
        <w:gridCol w:w="2943"/>
      </w:tblGrid>
      <w:tr w:rsidR="000C1520" w:rsidRPr="00623771" w:rsidTr="00623771">
        <w:tc>
          <w:tcPr>
            <w:tcW w:w="3369" w:type="dxa"/>
            <w:shd w:val="clear" w:color="auto" w:fill="C6D9F1"/>
          </w:tcPr>
          <w:p w:rsidR="000C1520" w:rsidRPr="00623771" w:rsidRDefault="000C1520" w:rsidP="00623771">
            <w:pPr>
              <w:spacing w:after="0" w:line="240" w:lineRule="auto"/>
              <w:jc w:val="center"/>
              <w:rPr>
                <w:b/>
                <w:color w:val="000000"/>
              </w:rPr>
            </w:pPr>
            <w:r w:rsidRPr="00623771">
              <w:rPr>
                <w:b/>
                <w:color w:val="000000"/>
              </w:rPr>
              <w:t>POKAZATELJ</w:t>
            </w:r>
          </w:p>
          <w:p w:rsidR="000C1520" w:rsidRPr="00623771" w:rsidRDefault="000C1520" w:rsidP="00623771">
            <w:pPr>
              <w:spacing w:after="0" w:line="240" w:lineRule="auto"/>
              <w:jc w:val="center"/>
              <w:rPr>
                <w:b/>
                <w:color w:val="000000"/>
              </w:rPr>
            </w:pPr>
          </w:p>
        </w:tc>
        <w:tc>
          <w:tcPr>
            <w:tcW w:w="2976" w:type="dxa"/>
            <w:shd w:val="clear" w:color="auto" w:fill="C6D9F1"/>
          </w:tcPr>
          <w:p w:rsidR="000C1520" w:rsidRPr="00623771" w:rsidRDefault="000C1520" w:rsidP="00623771">
            <w:pPr>
              <w:spacing w:after="0" w:line="240" w:lineRule="auto"/>
              <w:jc w:val="center"/>
              <w:rPr>
                <w:b/>
                <w:color w:val="000000"/>
              </w:rPr>
            </w:pPr>
            <w:r w:rsidRPr="00623771">
              <w:rPr>
                <w:b/>
                <w:color w:val="000000"/>
              </w:rPr>
              <w:t>TRENUTNO STANJE</w:t>
            </w:r>
          </w:p>
        </w:tc>
        <w:tc>
          <w:tcPr>
            <w:tcW w:w="2943" w:type="dxa"/>
            <w:shd w:val="clear" w:color="auto" w:fill="C6D9F1"/>
          </w:tcPr>
          <w:p w:rsidR="000C1520" w:rsidRPr="00623771" w:rsidRDefault="000C1520" w:rsidP="00623771">
            <w:pPr>
              <w:spacing w:after="0" w:line="240" w:lineRule="auto"/>
              <w:jc w:val="center"/>
              <w:rPr>
                <w:b/>
                <w:color w:val="000000"/>
              </w:rPr>
            </w:pPr>
            <w:r w:rsidRPr="00623771">
              <w:rPr>
                <w:b/>
                <w:color w:val="000000"/>
              </w:rPr>
              <w:t>PLANIRANO STANJE</w:t>
            </w:r>
          </w:p>
          <w:p w:rsidR="000C1520" w:rsidRPr="00623771" w:rsidRDefault="000C1520" w:rsidP="00623771">
            <w:pPr>
              <w:spacing w:after="0" w:line="240" w:lineRule="auto"/>
              <w:jc w:val="center"/>
              <w:rPr>
                <w:b/>
                <w:color w:val="000000"/>
              </w:rPr>
            </w:pPr>
            <w:r w:rsidRPr="00623771">
              <w:rPr>
                <w:b/>
                <w:color w:val="000000"/>
              </w:rPr>
              <w:t>(2020. godine)</w:t>
            </w:r>
          </w:p>
        </w:tc>
      </w:tr>
      <w:tr w:rsidR="000C1520" w:rsidRPr="00623771" w:rsidTr="00623771">
        <w:tc>
          <w:tcPr>
            <w:tcW w:w="3369" w:type="dxa"/>
            <w:shd w:val="clear" w:color="auto" w:fill="C6D9F1"/>
          </w:tcPr>
          <w:p w:rsidR="000C1520" w:rsidRPr="00623771" w:rsidRDefault="000C1520" w:rsidP="00623771">
            <w:pPr>
              <w:spacing w:after="0" w:line="240" w:lineRule="auto"/>
              <w:jc w:val="center"/>
              <w:rPr>
                <w:b/>
                <w:color w:val="000000"/>
                <w:sz w:val="20"/>
                <w:szCs w:val="20"/>
              </w:rPr>
            </w:pPr>
            <w:r w:rsidRPr="00623771">
              <w:rPr>
                <w:b/>
                <w:color w:val="000000"/>
                <w:sz w:val="20"/>
                <w:szCs w:val="20"/>
              </w:rPr>
              <w:t>GCR</w:t>
            </w:r>
          </w:p>
        </w:tc>
        <w:tc>
          <w:tcPr>
            <w:tcW w:w="2976" w:type="dxa"/>
          </w:tcPr>
          <w:p w:rsidR="000C1520" w:rsidRPr="00623771" w:rsidRDefault="000C1520" w:rsidP="00623771">
            <w:pPr>
              <w:spacing w:after="0" w:line="240" w:lineRule="auto"/>
              <w:jc w:val="center"/>
              <w:rPr>
                <w:sz w:val="20"/>
                <w:szCs w:val="20"/>
              </w:rPr>
            </w:pPr>
            <w:r>
              <w:rPr>
                <w:sz w:val="20"/>
                <w:szCs w:val="20"/>
              </w:rPr>
              <w:t>81. pozicija od 144 zemlje</w:t>
            </w:r>
          </w:p>
        </w:tc>
        <w:tc>
          <w:tcPr>
            <w:tcW w:w="2943" w:type="dxa"/>
          </w:tcPr>
          <w:p w:rsidR="000C1520" w:rsidRPr="00623771" w:rsidRDefault="000C1520" w:rsidP="00623771">
            <w:pPr>
              <w:spacing w:after="0" w:line="240" w:lineRule="auto"/>
              <w:jc w:val="center"/>
              <w:rPr>
                <w:sz w:val="20"/>
                <w:szCs w:val="20"/>
              </w:rPr>
            </w:pPr>
            <w:r w:rsidRPr="00623771">
              <w:rPr>
                <w:sz w:val="20"/>
                <w:szCs w:val="20"/>
              </w:rPr>
              <w:t>RH među 50 najkonkurentnijih zemalja svijeta</w:t>
            </w:r>
          </w:p>
        </w:tc>
      </w:tr>
      <w:tr w:rsidR="000C1520" w:rsidRPr="00623771" w:rsidTr="00623771">
        <w:tc>
          <w:tcPr>
            <w:tcW w:w="3369" w:type="dxa"/>
            <w:shd w:val="clear" w:color="auto" w:fill="C6D9F1"/>
          </w:tcPr>
          <w:p w:rsidR="000C1520" w:rsidRPr="00623771" w:rsidRDefault="000C1520" w:rsidP="00623771">
            <w:pPr>
              <w:spacing w:after="0" w:line="240" w:lineRule="auto"/>
              <w:jc w:val="center"/>
              <w:rPr>
                <w:b/>
                <w:color w:val="000000"/>
                <w:sz w:val="20"/>
                <w:szCs w:val="20"/>
              </w:rPr>
            </w:pPr>
            <w:r w:rsidRPr="00623771">
              <w:rPr>
                <w:b/>
                <w:color w:val="000000"/>
                <w:sz w:val="20"/>
                <w:szCs w:val="20"/>
              </w:rPr>
              <w:t>Lakoća poslovanja</w:t>
            </w:r>
          </w:p>
        </w:tc>
        <w:tc>
          <w:tcPr>
            <w:tcW w:w="2976" w:type="dxa"/>
          </w:tcPr>
          <w:p w:rsidR="000C1520" w:rsidRPr="00623771" w:rsidRDefault="000C1520" w:rsidP="00623771">
            <w:pPr>
              <w:spacing w:after="0" w:line="240" w:lineRule="auto"/>
              <w:jc w:val="center"/>
              <w:rPr>
                <w:sz w:val="20"/>
                <w:szCs w:val="20"/>
              </w:rPr>
            </w:pPr>
            <w:r w:rsidRPr="00623771">
              <w:rPr>
                <w:sz w:val="20"/>
                <w:szCs w:val="20"/>
              </w:rPr>
              <w:t>89. pozicija od 189 zemalja</w:t>
            </w:r>
          </w:p>
        </w:tc>
        <w:tc>
          <w:tcPr>
            <w:tcW w:w="2943" w:type="dxa"/>
          </w:tcPr>
          <w:p w:rsidR="000C1520" w:rsidRPr="00623771" w:rsidRDefault="000C1520" w:rsidP="00623771">
            <w:pPr>
              <w:spacing w:after="0" w:line="240" w:lineRule="auto"/>
              <w:jc w:val="center"/>
              <w:rPr>
                <w:sz w:val="20"/>
                <w:szCs w:val="20"/>
              </w:rPr>
            </w:pPr>
            <w:r w:rsidRPr="00623771">
              <w:rPr>
                <w:sz w:val="20"/>
                <w:szCs w:val="20"/>
              </w:rPr>
              <w:t>RH među 50 najboljih zemalja po lakoći poslovanja</w:t>
            </w:r>
          </w:p>
        </w:tc>
      </w:tr>
      <w:tr w:rsidR="000C1520" w:rsidRPr="00623771" w:rsidTr="00623771">
        <w:tc>
          <w:tcPr>
            <w:tcW w:w="3369" w:type="dxa"/>
            <w:shd w:val="clear" w:color="auto" w:fill="C6D9F1"/>
          </w:tcPr>
          <w:p w:rsidR="000C1520" w:rsidRPr="00623771" w:rsidRDefault="000C1520" w:rsidP="00623771">
            <w:pPr>
              <w:spacing w:after="0" w:line="240" w:lineRule="auto"/>
              <w:jc w:val="center"/>
              <w:rPr>
                <w:b/>
                <w:color w:val="000000"/>
                <w:sz w:val="20"/>
                <w:szCs w:val="20"/>
              </w:rPr>
            </w:pPr>
            <w:r w:rsidRPr="00623771">
              <w:rPr>
                <w:b/>
                <w:color w:val="000000"/>
                <w:sz w:val="20"/>
                <w:szCs w:val="20"/>
              </w:rPr>
              <w:t>Priljev ISI</w:t>
            </w:r>
          </w:p>
          <w:p w:rsidR="000C1520" w:rsidRPr="00623771" w:rsidRDefault="000C1520" w:rsidP="00623771">
            <w:pPr>
              <w:spacing w:after="0" w:line="240" w:lineRule="auto"/>
              <w:jc w:val="center"/>
              <w:rPr>
                <w:b/>
                <w:color w:val="000000"/>
                <w:sz w:val="20"/>
                <w:szCs w:val="20"/>
              </w:rPr>
            </w:pPr>
          </w:p>
        </w:tc>
        <w:tc>
          <w:tcPr>
            <w:tcW w:w="2976" w:type="dxa"/>
          </w:tcPr>
          <w:p w:rsidR="000C1520" w:rsidRPr="00623771" w:rsidRDefault="000C1520" w:rsidP="00623771">
            <w:pPr>
              <w:spacing w:after="0" w:line="240" w:lineRule="auto"/>
              <w:jc w:val="center"/>
              <w:rPr>
                <w:sz w:val="20"/>
                <w:szCs w:val="20"/>
              </w:rPr>
            </w:pPr>
            <w:r w:rsidRPr="00623771">
              <w:rPr>
                <w:sz w:val="20"/>
                <w:szCs w:val="20"/>
              </w:rPr>
              <w:t>1 milijarda eura godišnje</w:t>
            </w:r>
          </w:p>
        </w:tc>
        <w:tc>
          <w:tcPr>
            <w:tcW w:w="2943" w:type="dxa"/>
          </w:tcPr>
          <w:p w:rsidR="000C1520" w:rsidRPr="00623771" w:rsidRDefault="000C1520" w:rsidP="00623771">
            <w:pPr>
              <w:spacing w:after="0" w:line="240" w:lineRule="auto"/>
              <w:jc w:val="center"/>
              <w:rPr>
                <w:sz w:val="20"/>
                <w:szCs w:val="20"/>
              </w:rPr>
            </w:pPr>
            <w:r>
              <w:rPr>
                <w:sz w:val="20"/>
                <w:szCs w:val="20"/>
              </w:rPr>
              <w:t>1,5 milijardi</w:t>
            </w:r>
            <w:r w:rsidRPr="00623771">
              <w:rPr>
                <w:sz w:val="20"/>
                <w:szCs w:val="20"/>
              </w:rPr>
              <w:t xml:space="preserve"> eura godišnje</w:t>
            </w:r>
          </w:p>
        </w:tc>
      </w:tr>
      <w:tr w:rsidR="000C1520" w:rsidRPr="00623771" w:rsidTr="00623771">
        <w:tc>
          <w:tcPr>
            <w:tcW w:w="3369" w:type="dxa"/>
            <w:shd w:val="clear" w:color="auto" w:fill="C6D9F1"/>
          </w:tcPr>
          <w:p w:rsidR="000C1520" w:rsidRPr="00623771" w:rsidRDefault="000E2850" w:rsidP="00623771">
            <w:pPr>
              <w:spacing w:after="0" w:line="240" w:lineRule="auto"/>
              <w:jc w:val="center"/>
              <w:rPr>
                <w:b/>
                <w:color w:val="000000"/>
                <w:sz w:val="20"/>
                <w:szCs w:val="20"/>
              </w:rPr>
            </w:pPr>
            <w:r>
              <w:rPr>
                <w:b/>
                <w:color w:val="000000"/>
                <w:sz w:val="20"/>
                <w:szCs w:val="20"/>
              </w:rPr>
              <w:t>Kumulativni p</w:t>
            </w:r>
            <w:r w:rsidR="00A346D5">
              <w:rPr>
                <w:b/>
                <w:color w:val="000000"/>
                <w:sz w:val="20"/>
                <w:szCs w:val="20"/>
              </w:rPr>
              <w:t xml:space="preserve">riljev ISI </w:t>
            </w:r>
            <w:proofErr w:type="spellStart"/>
            <w:r w:rsidR="00A346D5">
              <w:rPr>
                <w:b/>
                <w:color w:val="000000"/>
                <w:sz w:val="20"/>
                <w:szCs w:val="20"/>
              </w:rPr>
              <w:t>per</w:t>
            </w:r>
            <w:proofErr w:type="spellEnd"/>
            <w:r w:rsidR="00A346D5">
              <w:rPr>
                <w:b/>
                <w:color w:val="000000"/>
                <w:sz w:val="20"/>
                <w:szCs w:val="20"/>
              </w:rPr>
              <w:t xml:space="preserve"> </w:t>
            </w:r>
            <w:proofErr w:type="spellStart"/>
            <w:r w:rsidR="00A346D5">
              <w:rPr>
                <w:b/>
                <w:color w:val="000000"/>
                <w:sz w:val="20"/>
                <w:szCs w:val="20"/>
              </w:rPr>
              <w:t>capita</w:t>
            </w:r>
            <w:proofErr w:type="spellEnd"/>
          </w:p>
          <w:p w:rsidR="000C1520" w:rsidRPr="00623771" w:rsidRDefault="000C1520" w:rsidP="00623771">
            <w:pPr>
              <w:spacing w:after="0" w:line="240" w:lineRule="auto"/>
              <w:jc w:val="center"/>
              <w:rPr>
                <w:b/>
                <w:color w:val="000000"/>
                <w:sz w:val="20"/>
                <w:szCs w:val="20"/>
              </w:rPr>
            </w:pPr>
          </w:p>
        </w:tc>
        <w:tc>
          <w:tcPr>
            <w:tcW w:w="2976" w:type="dxa"/>
          </w:tcPr>
          <w:p w:rsidR="000C1520" w:rsidRPr="00623771" w:rsidRDefault="000C1520" w:rsidP="00623771">
            <w:pPr>
              <w:spacing w:after="0" w:line="240" w:lineRule="auto"/>
              <w:jc w:val="center"/>
              <w:rPr>
                <w:sz w:val="20"/>
                <w:szCs w:val="20"/>
              </w:rPr>
            </w:pPr>
            <w:r>
              <w:rPr>
                <w:sz w:val="20"/>
                <w:szCs w:val="20"/>
              </w:rPr>
              <w:t xml:space="preserve">4 </w:t>
            </w:r>
            <w:r w:rsidRPr="00623771">
              <w:rPr>
                <w:sz w:val="20"/>
                <w:szCs w:val="20"/>
              </w:rPr>
              <w:t>000 eura godišnje</w:t>
            </w:r>
          </w:p>
        </w:tc>
        <w:tc>
          <w:tcPr>
            <w:tcW w:w="2943" w:type="dxa"/>
          </w:tcPr>
          <w:p w:rsidR="000C1520" w:rsidRPr="00623771" w:rsidRDefault="000C1520" w:rsidP="00623771">
            <w:pPr>
              <w:spacing w:after="0" w:line="240" w:lineRule="auto"/>
              <w:jc w:val="center"/>
              <w:rPr>
                <w:sz w:val="20"/>
                <w:szCs w:val="20"/>
              </w:rPr>
            </w:pPr>
            <w:r>
              <w:rPr>
                <w:sz w:val="20"/>
                <w:szCs w:val="20"/>
              </w:rPr>
              <w:t xml:space="preserve">6 </w:t>
            </w:r>
            <w:r w:rsidRPr="00623771">
              <w:rPr>
                <w:sz w:val="20"/>
                <w:szCs w:val="20"/>
              </w:rPr>
              <w:t>000 eura godišnje</w:t>
            </w:r>
          </w:p>
        </w:tc>
      </w:tr>
      <w:tr w:rsidR="000C1520" w:rsidRPr="00623771" w:rsidTr="00623771">
        <w:tc>
          <w:tcPr>
            <w:tcW w:w="3369" w:type="dxa"/>
            <w:shd w:val="clear" w:color="auto" w:fill="C6D9F1"/>
          </w:tcPr>
          <w:p w:rsidR="000C1520" w:rsidRPr="00623771" w:rsidRDefault="000C1520" w:rsidP="00623771">
            <w:pPr>
              <w:spacing w:after="0" w:line="240" w:lineRule="auto"/>
              <w:jc w:val="center"/>
              <w:rPr>
                <w:b/>
                <w:color w:val="000000"/>
                <w:sz w:val="20"/>
                <w:szCs w:val="20"/>
              </w:rPr>
            </w:pPr>
            <w:r w:rsidRPr="00623771">
              <w:rPr>
                <w:b/>
                <w:color w:val="000000"/>
                <w:sz w:val="20"/>
                <w:szCs w:val="20"/>
              </w:rPr>
              <w:t>Udio ISI u BDP</w:t>
            </w:r>
            <w:r>
              <w:rPr>
                <w:b/>
                <w:color w:val="000000"/>
                <w:sz w:val="20"/>
                <w:szCs w:val="20"/>
              </w:rPr>
              <w:t>-u</w:t>
            </w:r>
          </w:p>
          <w:p w:rsidR="000C1520" w:rsidRPr="00623771" w:rsidRDefault="000C1520" w:rsidP="00623771">
            <w:pPr>
              <w:spacing w:after="0" w:line="240" w:lineRule="auto"/>
              <w:jc w:val="center"/>
              <w:rPr>
                <w:b/>
                <w:color w:val="000000"/>
                <w:sz w:val="20"/>
                <w:szCs w:val="20"/>
              </w:rPr>
            </w:pPr>
          </w:p>
        </w:tc>
        <w:tc>
          <w:tcPr>
            <w:tcW w:w="2976" w:type="dxa"/>
          </w:tcPr>
          <w:p w:rsidR="000C1520" w:rsidRPr="00623771" w:rsidRDefault="000C1520" w:rsidP="00623771">
            <w:pPr>
              <w:spacing w:after="0" w:line="240" w:lineRule="auto"/>
              <w:jc w:val="center"/>
              <w:rPr>
                <w:sz w:val="20"/>
                <w:szCs w:val="20"/>
              </w:rPr>
            </w:pPr>
            <w:r w:rsidRPr="00623771">
              <w:rPr>
                <w:sz w:val="20"/>
                <w:szCs w:val="20"/>
              </w:rPr>
              <w:t>2,4%</w:t>
            </w:r>
          </w:p>
        </w:tc>
        <w:tc>
          <w:tcPr>
            <w:tcW w:w="2943" w:type="dxa"/>
          </w:tcPr>
          <w:p w:rsidR="000C1520" w:rsidRPr="00623771" w:rsidRDefault="000C1520" w:rsidP="00623771">
            <w:pPr>
              <w:spacing w:after="0" w:line="240" w:lineRule="auto"/>
              <w:jc w:val="center"/>
              <w:rPr>
                <w:sz w:val="20"/>
                <w:szCs w:val="20"/>
              </w:rPr>
            </w:pPr>
            <w:r w:rsidRPr="00623771">
              <w:rPr>
                <w:sz w:val="20"/>
                <w:szCs w:val="20"/>
              </w:rPr>
              <w:t>6%</w:t>
            </w:r>
          </w:p>
        </w:tc>
      </w:tr>
      <w:tr w:rsidR="000C1520" w:rsidRPr="00623771" w:rsidTr="00623771">
        <w:tc>
          <w:tcPr>
            <w:tcW w:w="3369" w:type="dxa"/>
            <w:shd w:val="clear" w:color="auto" w:fill="C6D9F1"/>
          </w:tcPr>
          <w:p w:rsidR="000C1520" w:rsidRPr="00623771" w:rsidRDefault="000C1520" w:rsidP="00623771">
            <w:pPr>
              <w:spacing w:after="0" w:line="240" w:lineRule="auto"/>
              <w:jc w:val="center"/>
              <w:rPr>
                <w:b/>
                <w:color w:val="000000"/>
                <w:sz w:val="20"/>
                <w:szCs w:val="20"/>
              </w:rPr>
            </w:pPr>
            <w:r>
              <w:rPr>
                <w:b/>
                <w:color w:val="000000"/>
                <w:sz w:val="20"/>
                <w:szCs w:val="20"/>
              </w:rPr>
              <w:t xml:space="preserve">Udio </w:t>
            </w:r>
            <w:proofErr w:type="spellStart"/>
            <w:r w:rsidRPr="00590D08">
              <w:rPr>
                <w:b/>
                <w:i/>
                <w:color w:val="000000"/>
                <w:sz w:val="20"/>
                <w:szCs w:val="20"/>
              </w:rPr>
              <w:t>greenfield</w:t>
            </w:r>
            <w:proofErr w:type="spellEnd"/>
            <w:r w:rsidRPr="00623771">
              <w:rPr>
                <w:b/>
                <w:color w:val="000000"/>
                <w:sz w:val="20"/>
                <w:szCs w:val="20"/>
              </w:rPr>
              <w:t xml:space="preserve"> investicija u ukupnim investicijama</w:t>
            </w:r>
          </w:p>
        </w:tc>
        <w:tc>
          <w:tcPr>
            <w:tcW w:w="2976" w:type="dxa"/>
          </w:tcPr>
          <w:p w:rsidR="000C1520" w:rsidRPr="00623771" w:rsidRDefault="000C1520" w:rsidP="00623771">
            <w:pPr>
              <w:spacing w:after="0" w:line="240" w:lineRule="auto"/>
              <w:jc w:val="center"/>
              <w:rPr>
                <w:sz w:val="20"/>
                <w:szCs w:val="20"/>
              </w:rPr>
            </w:pPr>
            <w:r w:rsidRPr="00623771">
              <w:rPr>
                <w:sz w:val="20"/>
                <w:szCs w:val="20"/>
              </w:rPr>
              <w:t>51%</w:t>
            </w:r>
          </w:p>
        </w:tc>
        <w:tc>
          <w:tcPr>
            <w:tcW w:w="2943" w:type="dxa"/>
          </w:tcPr>
          <w:p w:rsidR="000C1520" w:rsidRPr="00623771" w:rsidRDefault="000E2850" w:rsidP="00623771">
            <w:pPr>
              <w:spacing w:after="0" w:line="240" w:lineRule="auto"/>
              <w:jc w:val="center"/>
              <w:rPr>
                <w:sz w:val="20"/>
                <w:szCs w:val="20"/>
              </w:rPr>
            </w:pPr>
            <w:r>
              <w:rPr>
                <w:sz w:val="20"/>
                <w:szCs w:val="20"/>
              </w:rPr>
              <w:t>70%</w:t>
            </w:r>
          </w:p>
        </w:tc>
      </w:tr>
      <w:tr w:rsidR="000C1520" w:rsidRPr="00623771" w:rsidTr="00623771">
        <w:tc>
          <w:tcPr>
            <w:tcW w:w="3369" w:type="dxa"/>
            <w:shd w:val="clear" w:color="auto" w:fill="C6D9F1"/>
          </w:tcPr>
          <w:p w:rsidR="000C1520" w:rsidRPr="00623771" w:rsidRDefault="000C1520" w:rsidP="00623771">
            <w:pPr>
              <w:spacing w:after="0" w:line="240" w:lineRule="auto"/>
              <w:jc w:val="center"/>
              <w:rPr>
                <w:b/>
                <w:color w:val="000000"/>
                <w:sz w:val="20"/>
                <w:szCs w:val="20"/>
              </w:rPr>
            </w:pPr>
            <w:r w:rsidRPr="00623771">
              <w:rPr>
                <w:rFonts w:eastAsia="TTE22ACBD0t00" w:cs="Calibri"/>
                <w:b/>
                <w:color w:val="000000"/>
                <w:sz w:val="20"/>
                <w:szCs w:val="24"/>
              </w:rPr>
              <w:t>Udio stranih investitora u aktivnostima I&amp;R poslovnog sektora</w:t>
            </w:r>
          </w:p>
        </w:tc>
        <w:tc>
          <w:tcPr>
            <w:tcW w:w="2976" w:type="dxa"/>
          </w:tcPr>
          <w:p w:rsidR="000C1520" w:rsidRPr="00623771" w:rsidRDefault="000C1520" w:rsidP="00623771">
            <w:pPr>
              <w:spacing w:after="0" w:line="240" w:lineRule="auto"/>
              <w:jc w:val="center"/>
              <w:rPr>
                <w:sz w:val="20"/>
                <w:szCs w:val="20"/>
              </w:rPr>
            </w:pPr>
            <w:r w:rsidRPr="00623771">
              <w:rPr>
                <w:sz w:val="20"/>
                <w:szCs w:val="20"/>
              </w:rPr>
              <w:t>14,7%</w:t>
            </w:r>
          </w:p>
        </w:tc>
        <w:tc>
          <w:tcPr>
            <w:tcW w:w="2943" w:type="dxa"/>
          </w:tcPr>
          <w:p w:rsidR="000C1520" w:rsidRPr="00623771" w:rsidRDefault="000C1520" w:rsidP="00623771">
            <w:pPr>
              <w:spacing w:after="0" w:line="240" w:lineRule="auto"/>
              <w:jc w:val="center"/>
              <w:rPr>
                <w:sz w:val="20"/>
                <w:szCs w:val="20"/>
              </w:rPr>
            </w:pPr>
            <w:r w:rsidRPr="00623771">
              <w:rPr>
                <w:sz w:val="20"/>
                <w:szCs w:val="20"/>
              </w:rPr>
              <w:t>25%</w:t>
            </w:r>
          </w:p>
        </w:tc>
      </w:tr>
    </w:tbl>
    <w:p w:rsidR="000C1520" w:rsidRDefault="000C1520" w:rsidP="008F602A">
      <w:pPr>
        <w:pStyle w:val="Heading2"/>
        <w:rPr>
          <w:b w:val="0"/>
          <w:bCs w:val="0"/>
          <w:i/>
          <w:sz w:val="22"/>
          <w:szCs w:val="22"/>
        </w:rPr>
      </w:pPr>
      <w:bookmarkStart w:id="22" w:name="_Toc348951839"/>
      <w:bookmarkStart w:id="23" w:name="_Toc351127600"/>
    </w:p>
    <w:p w:rsidR="000E2850" w:rsidRDefault="000E2850" w:rsidP="00AF566A">
      <w:pPr>
        <w:rPr>
          <w:lang w:val="lt-LT" w:eastAsia="lt-LT"/>
        </w:rPr>
      </w:pPr>
    </w:p>
    <w:p w:rsidR="00E603EE" w:rsidRDefault="00E603EE" w:rsidP="00AF566A">
      <w:pPr>
        <w:rPr>
          <w:lang w:val="lt-LT" w:eastAsia="lt-LT"/>
        </w:rPr>
      </w:pPr>
    </w:p>
    <w:p w:rsidR="000C1520" w:rsidRDefault="000C1520" w:rsidP="004D155A">
      <w:pPr>
        <w:pStyle w:val="Heading1"/>
      </w:pPr>
      <w:bookmarkStart w:id="24" w:name="_Toc373137859"/>
      <w:r>
        <w:lastRenderedPageBreak/>
        <w:t>3.</w:t>
      </w:r>
      <w:r w:rsidRPr="00636499">
        <w:t xml:space="preserve">   PRIORITETNA PODRUČJA ZA POTICANJE INVESTI</w:t>
      </w:r>
      <w:bookmarkEnd w:id="22"/>
      <w:bookmarkEnd w:id="23"/>
      <w:r>
        <w:t>CIJA</w:t>
      </w:r>
      <w:bookmarkEnd w:id="24"/>
    </w:p>
    <w:p w:rsidR="000C1520" w:rsidRDefault="000C1520" w:rsidP="008F602A">
      <w:pPr>
        <w:pStyle w:val="Heading2"/>
      </w:pPr>
    </w:p>
    <w:p w:rsidR="000C1520" w:rsidRPr="005B6F75" w:rsidRDefault="000C1520" w:rsidP="00A35622">
      <w:pPr>
        <w:jc w:val="both"/>
      </w:pPr>
      <w:r w:rsidRPr="005B6F75">
        <w:t>Ostvarivanje općeg cilja Strategije i postavljenih strateških ciljeva omogućit će provedba mjera u okviru četiri</w:t>
      </w:r>
      <w:r>
        <w:t>ju</w:t>
      </w:r>
      <w:r w:rsidRPr="005B6F75">
        <w:t xml:space="preserve"> prioritetnih područja:</w:t>
      </w:r>
    </w:p>
    <w:p w:rsidR="000C1520" w:rsidRPr="005B6F75" w:rsidRDefault="000C1520" w:rsidP="00230928">
      <w:pPr>
        <w:ind w:firstLine="708"/>
        <w:jc w:val="both"/>
      </w:pPr>
      <w:r>
        <w:t>1. Unaprjeđenja</w:t>
      </w:r>
      <w:r w:rsidRPr="005B6F75">
        <w:t xml:space="preserve"> investicijskog okruženja</w:t>
      </w:r>
      <w:r>
        <w:t>;</w:t>
      </w:r>
    </w:p>
    <w:p w:rsidR="000C1520" w:rsidRPr="005B6F75" w:rsidRDefault="000C1520" w:rsidP="00230928">
      <w:pPr>
        <w:ind w:firstLine="708"/>
        <w:jc w:val="both"/>
      </w:pPr>
      <w:r>
        <w:t>2. Promocije</w:t>
      </w:r>
      <w:r w:rsidRPr="005B6F75">
        <w:t xml:space="preserve"> Republike Hrvatske kao atraktivne investicijske destinacije</w:t>
      </w:r>
      <w:r>
        <w:t>;</w:t>
      </w:r>
    </w:p>
    <w:p w:rsidR="000C1520" w:rsidRPr="005B6F75" w:rsidRDefault="000C1520" w:rsidP="00230928">
      <w:pPr>
        <w:ind w:firstLine="708"/>
        <w:jc w:val="both"/>
      </w:pPr>
      <w:r w:rsidRPr="005B6F75">
        <w:t>3. Ciljano</w:t>
      </w:r>
      <w:r>
        <w:t>g privlačenja</w:t>
      </w:r>
      <w:r w:rsidRPr="005B6F75">
        <w:t xml:space="preserve"> investicija</w:t>
      </w:r>
      <w:r>
        <w:t>;</w:t>
      </w:r>
    </w:p>
    <w:p w:rsidR="000C1520" w:rsidRPr="005B6F75" w:rsidRDefault="000C1520" w:rsidP="00230928">
      <w:pPr>
        <w:ind w:firstLine="708"/>
        <w:jc w:val="both"/>
      </w:pPr>
      <w:r>
        <w:t>4. Pružanja</w:t>
      </w:r>
      <w:r w:rsidRPr="005B6F75">
        <w:t xml:space="preserve"> podrške realizaciji investicijskih projekata</w:t>
      </w:r>
      <w:r>
        <w:t>;</w:t>
      </w:r>
      <w:r w:rsidRPr="005B6F75">
        <w:t xml:space="preserve"> </w:t>
      </w:r>
    </w:p>
    <w:p w:rsidR="000C1520" w:rsidRPr="005B6F75" w:rsidRDefault="000C1520" w:rsidP="005B6F75">
      <w:pPr>
        <w:pStyle w:val="Heading2"/>
        <w:rPr>
          <w:b w:val="0"/>
        </w:rPr>
      </w:pPr>
    </w:p>
    <w:p w:rsidR="000C1520" w:rsidRPr="00636499" w:rsidRDefault="00D87C12" w:rsidP="003646B3">
      <w:pPr>
        <w:autoSpaceDE w:val="0"/>
        <w:autoSpaceDN w:val="0"/>
        <w:adjustRightInd w:val="0"/>
        <w:spacing w:after="0" w:line="264" w:lineRule="auto"/>
        <w:jc w:val="both"/>
        <w:rPr>
          <w:rFonts w:eastAsia="TTE22ACBD0t00" w:cs="Calibri"/>
          <w:color w:val="0070C0"/>
          <w:szCs w:val="24"/>
        </w:rPr>
      </w:pPr>
      <w:r>
        <w:rPr>
          <w:rFonts w:eastAsia="TTE22ACBD0t00" w:cs="Calibri"/>
          <w:noProof/>
          <w:color w:val="0070C0"/>
          <w:szCs w:val="24"/>
          <w:shd w:val="clear" w:color="auto" w:fill="C6D9F1"/>
        </w:rPr>
        <w:drawing>
          <wp:inline distT="0" distB="0" distL="0" distR="0">
            <wp:extent cx="5533263" cy="2864951"/>
            <wp:effectExtent l="95250" t="38100" r="86995" b="69215"/>
            <wp:docPr id="9" name="Diagram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0C1520" w:rsidRDefault="000C1520" w:rsidP="00990785">
      <w:pPr>
        <w:autoSpaceDE w:val="0"/>
        <w:autoSpaceDN w:val="0"/>
        <w:adjustRightInd w:val="0"/>
        <w:spacing w:line="360" w:lineRule="auto"/>
        <w:jc w:val="both"/>
        <w:rPr>
          <w:rFonts w:eastAsia="TTE22ACBD0t00" w:cs="Calibri"/>
          <w:szCs w:val="24"/>
        </w:rPr>
      </w:pPr>
    </w:p>
    <w:p w:rsidR="000C1520" w:rsidRPr="00636499" w:rsidRDefault="000C1520" w:rsidP="00990785">
      <w:pPr>
        <w:autoSpaceDE w:val="0"/>
        <w:autoSpaceDN w:val="0"/>
        <w:adjustRightInd w:val="0"/>
        <w:spacing w:line="360" w:lineRule="auto"/>
        <w:jc w:val="both"/>
        <w:rPr>
          <w:rFonts w:eastAsia="TTE22ACBD0t00" w:cs="Calibri"/>
          <w:szCs w:val="24"/>
        </w:rPr>
      </w:pPr>
      <w:r>
        <w:rPr>
          <w:rFonts w:eastAsia="TTE22ACBD0t00" w:cs="Calibri"/>
          <w:szCs w:val="24"/>
        </w:rPr>
        <w:t>Horizontalna mjera koja</w:t>
      </w:r>
      <w:r w:rsidRPr="00636499">
        <w:rPr>
          <w:rFonts w:eastAsia="TTE22ACBD0t00" w:cs="Calibri"/>
          <w:szCs w:val="24"/>
        </w:rPr>
        <w:t xml:space="preserve"> se provlači kroz sva prioritetna područja odnosi se na usklađivanje politike poticanja investicija i politike korištenja strukturnih instrumenata Kohezijske politike EU</w:t>
      </w:r>
      <w:r>
        <w:rPr>
          <w:rFonts w:eastAsia="TTE22ACBD0t00" w:cs="Calibri"/>
          <w:szCs w:val="24"/>
        </w:rPr>
        <w:t>-a</w:t>
      </w:r>
      <w:r w:rsidRPr="00636499">
        <w:rPr>
          <w:rFonts w:eastAsia="TTE22ACBD0t00" w:cs="Calibri"/>
          <w:szCs w:val="24"/>
        </w:rPr>
        <w:t xml:space="preserve">. </w:t>
      </w:r>
    </w:p>
    <w:p w:rsidR="000C1520" w:rsidRPr="004D155A" w:rsidRDefault="000C1520" w:rsidP="00D74ECD">
      <w:pPr>
        <w:pStyle w:val="Heading3"/>
      </w:pPr>
      <w:bookmarkStart w:id="25" w:name="_Toc351127601"/>
      <w:bookmarkStart w:id="26" w:name="_Toc373137860"/>
      <w:r w:rsidRPr="004D155A">
        <w:t>3.1 UNAPRJEĐENJE INVESTICIJSKOG OKRUŽENJA</w:t>
      </w:r>
      <w:bookmarkEnd w:id="25"/>
      <w:bookmarkEnd w:id="26"/>
      <w:r w:rsidRPr="004D155A">
        <w:t xml:space="preserve"> </w:t>
      </w:r>
    </w:p>
    <w:p w:rsidR="000C1520" w:rsidRPr="00636499" w:rsidRDefault="000C1520" w:rsidP="005866EE">
      <w:pPr>
        <w:spacing w:after="0" w:line="264" w:lineRule="auto"/>
        <w:ind w:firstLine="360"/>
        <w:jc w:val="both"/>
        <w:rPr>
          <w:rFonts w:cs="Calibri"/>
        </w:rPr>
      </w:pPr>
    </w:p>
    <w:p w:rsidR="000C1520" w:rsidRPr="00636499" w:rsidRDefault="000C1520" w:rsidP="005D5936">
      <w:pPr>
        <w:jc w:val="both"/>
        <w:rPr>
          <w:rFonts w:eastAsia="MS Mincho" w:cs="Calibri"/>
          <w:b/>
          <w:lang w:eastAsia="ja-JP"/>
        </w:rPr>
      </w:pPr>
      <w:r w:rsidRPr="00636499">
        <w:rPr>
          <w:rFonts w:eastAsia="MS Mincho" w:cs="Calibri"/>
          <w:b/>
          <w:lang w:eastAsia="ja-JP"/>
        </w:rPr>
        <w:t>SVRHA:</w:t>
      </w:r>
    </w:p>
    <w:p w:rsidR="000C1520" w:rsidRPr="00636499" w:rsidRDefault="000C1520" w:rsidP="007F64C9">
      <w:pPr>
        <w:spacing w:line="360" w:lineRule="auto"/>
        <w:jc w:val="both"/>
        <w:rPr>
          <w:rFonts w:cs="Calibri"/>
          <w:color w:val="000000"/>
        </w:rPr>
      </w:pPr>
      <w:r w:rsidRPr="00636499">
        <w:rPr>
          <w:rFonts w:eastAsia="MS Mincho" w:cs="Calibri"/>
          <w:lang w:eastAsia="ja-JP"/>
        </w:rPr>
        <w:t>Svrha ovog p</w:t>
      </w:r>
      <w:r>
        <w:rPr>
          <w:rFonts w:eastAsia="MS Mincho" w:cs="Calibri"/>
          <w:lang w:eastAsia="ja-JP"/>
        </w:rPr>
        <w:t>rioritetnog područja je stvaranje uvjeta</w:t>
      </w:r>
      <w:r w:rsidRPr="00636499">
        <w:rPr>
          <w:rFonts w:eastAsia="MS Mincho" w:cs="Calibri"/>
          <w:lang w:eastAsia="ja-JP"/>
        </w:rPr>
        <w:t xml:space="preserve"> za </w:t>
      </w:r>
      <w:r w:rsidRPr="00636499">
        <w:rPr>
          <w:rFonts w:cs="Calibri"/>
          <w:color w:val="000000"/>
        </w:rPr>
        <w:t>povećanje priljeva domaćih i stranih inves</w:t>
      </w:r>
      <w:r>
        <w:rPr>
          <w:rFonts w:cs="Calibri"/>
          <w:color w:val="000000"/>
        </w:rPr>
        <w:t xml:space="preserve">ticija putem unaprjeđenja </w:t>
      </w:r>
      <w:r w:rsidRPr="00636499">
        <w:rPr>
          <w:rFonts w:cs="Calibri"/>
          <w:color w:val="000000"/>
        </w:rPr>
        <w:t xml:space="preserve">investicijskog okruženja. </w:t>
      </w:r>
    </w:p>
    <w:p w:rsidR="000C1520" w:rsidRPr="00AA38E5" w:rsidRDefault="000C1520" w:rsidP="007F64C9">
      <w:pPr>
        <w:spacing w:line="360" w:lineRule="auto"/>
        <w:jc w:val="both"/>
        <w:rPr>
          <w:rFonts w:cs="Calibri"/>
          <w:b/>
          <w:color w:val="000000"/>
        </w:rPr>
      </w:pPr>
      <w:r w:rsidRPr="00636499">
        <w:rPr>
          <w:rFonts w:cs="Calibri"/>
          <w:color w:val="000000"/>
        </w:rPr>
        <w:t>Osim stabilnog makroekonomskog okvira i vladavine prava, koji su osnovni preduvjeti za privlačen</w:t>
      </w:r>
      <w:r>
        <w:rPr>
          <w:rFonts w:cs="Calibri"/>
          <w:color w:val="000000"/>
        </w:rPr>
        <w:t xml:space="preserve">je investicija u nekoj zemlji, </w:t>
      </w:r>
      <w:r w:rsidRPr="00636499">
        <w:rPr>
          <w:rFonts w:cs="Calibri"/>
          <w:color w:val="000000"/>
        </w:rPr>
        <w:t xml:space="preserve">ostali čimbenici koji utječu na unaprjeđenje investicijskog okruženja odnose se na teritorijalni kapital i mikroekonomski okvir </w:t>
      </w:r>
      <w:r>
        <w:rPr>
          <w:rFonts w:cs="Calibri"/>
          <w:color w:val="000000"/>
        </w:rPr>
        <w:t xml:space="preserve">koji treba osigurati </w:t>
      </w:r>
      <w:r w:rsidRPr="00636499">
        <w:rPr>
          <w:rFonts w:cs="Calibri"/>
          <w:color w:val="000000"/>
        </w:rPr>
        <w:t>konkurentno i dobr</w:t>
      </w:r>
      <w:r>
        <w:rPr>
          <w:rFonts w:cs="Calibri"/>
          <w:color w:val="000000"/>
        </w:rPr>
        <w:t xml:space="preserve">o regulirano </w:t>
      </w:r>
      <w:r>
        <w:rPr>
          <w:rFonts w:cs="Calibri"/>
          <w:color w:val="000000"/>
        </w:rPr>
        <w:lastRenderedPageBreak/>
        <w:t>tržište, djelotvornost institucija i financijskog</w:t>
      </w:r>
      <w:r w:rsidRPr="00636499">
        <w:rPr>
          <w:rFonts w:cs="Calibri"/>
          <w:color w:val="000000"/>
        </w:rPr>
        <w:t xml:space="preserve"> sustava </w:t>
      </w:r>
      <w:r>
        <w:rPr>
          <w:rFonts w:cs="Calibri"/>
          <w:color w:val="000000"/>
        </w:rPr>
        <w:t xml:space="preserve">te dobra regionalna </w:t>
      </w:r>
      <w:r w:rsidRPr="00636499">
        <w:rPr>
          <w:rFonts w:cs="Calibri"/>
          <w:color w:val="000000"/>
        </w:rPr>
        <w:t>infr</w:t>
      </w:r>
      <w:r>
        <w:rPr>
          <w:rFonts w:cs="Calibri"/>
          <w:color w:val="000000"/>
        </w:rPr>
        <w:t xml:space="preserve">astruktura, kao i fleksibilno </w:t>
      </w:r>
      <w:r w:rsidRPr="00636499">
        <w:rPr>
          <w:rFonts w:cs="Calibri"/>
          <w:color w:val="000000"/>
        </w:rPr>
        <w:t xml:space="preserve">tržište rada prilagođeno potrebama </w:t>
      </w:r>
      <w:r>
        <w:rPr>
          <w:rFonts w:cs="Calibri"/>
          <w:color w:val="000000"/>
        </w:rPr>
        <w:t>investitora</w:t>
      </w:r>
      <w:r w:rsidRPr="00636499">
        <w:rPr>
          <w:rFonts w:cs="Calibri"/>
          <w:color w:val="000000"/>
        </w:rPr>
        <w:t>.</w:t>
      </w:r>
      <w:r w:rsidRPr="00636499">
        <w:rPr>
          <w:rFonts w:cs="Calibri"/>
          <w:b/>
          <w:color w:val="000000"/>
        </w:rPr>
        <w:t xml:space="preserve">   </w:t>
      </w:r>
    </w:p>
    <w:p w:rsidR="000C1520" w:rsidRDefault="000C1520" w:rsidP="007A347C">
      <w:pPr>
        <w:spacing w:after="0" w:line="360" w:lineRule="auto"/>
        <w:ind w:right="480"/>
        <w:jc w:val="both"/>
        <w:rPr>
          <w:rFonts w:eastAsia="MS Mincho" w:cs="Calibri"/>
          <w:b/>
          <w:lang w:eastAsia="ja-JP"/>
        </w:rPr>
      </w:pPr>
      <w:r w:rsidRPr="00636499">
        <w:rPr>
          <w:rFonts w:eastAsia="MS Mincho" w:cs="Calibri"/>
          <w:b/>
          <w:lang w:eastAsia="ja-JP"/>
        </w:rPr>
        <w:t>OPRAVDANOST:</w:t>
      </w:r>
    </w:p>
    <w:p w:rsidR="000C1520" w:rsidRDefault="000C1520" w:rsidP="0075701E">
      <w:pPr>
        <w:tabs>
          <w:tab w:val="left" w:pos="9072"/>
        </w:tabs>
        <w:spacing w:after="0" w:line="360" w:lineRule="auto"/>
        <w:ind w:right="-142"/>
        <w:jc w:val="both"/>
        <w:rPr>
          <w:rFonts w:cs="Calibri"/>
        </w:rPr>
      </w:pPr>
      <w:r w:rsidRPr="00636499">
        <w:rPr>
          <w:rFonts w:cs="Calibri"/>
        </w:rPr>
        <w:t xml:space="preserve">Investicije, bilo domaće ili strane, </w:t>
      </w:r>
      <w:r>
        <w:rPr>
          <w:rFonts w:cs="Calibri"/>
        </w:rPr>
        <w:t xml:space="preserve">predstavljaju ključan </w:t>
      </w:r>
      <w:r w:rsidRPr="00636499">
        <w:rPr>
          <w:rFonts w:cs="Calibri"/>
        </w:rPr>
        <w:t>čimbenik ekonomskog</w:t>
      </w:r>
      <w:r w:rsidR="0075701E">
        <w:rPr>
          <w:rFonts w:cs="Calibri"/>
        </w:rPr>
        <w:t xml:space="preserve"> rasta. Zemlje koje </w:t>
      </w:r>
      <w:r>
        <w:rPr>
          <w:rFonts w:cs="Calibri"/>
        </w:rPr>
        <w:t>imaju visok</w:t>
      </w:r>
      <w:r w:rsidRPr="00636499">
        <w:rPr>
          <w:rFonts w:cs="Calibri"/>
        </w:rPr>
        <w:t xml:space="preserve"> postotak ulaganja u investicijska dobra, tehnologiju </w:t>
      </w:r>
      <w:r w:rsidR="0075701E">
        <w:rPr>
          <w:rFonts w:cs="Calibri"/>
        </w:rPr>
        <w:t xml:space="preserve">i oblikovanje ljudskog kapitala </w:t>
      </w:r>
      <w:r w:rsidRPr="00636499">
        <w:rPr>
          <w:rFonts w:cs="Calibri"/>
        </w:rPr>
        <w:t>mogu očekivati brži ekonomski rast od zemalja u koje se manje ulaže.</w:t>
      </w:r>
      <w:r w:rsidR="0075701E">
        <w:rPr>
          <w:rFonts w:cs="Calibri"/>
        </w:rPr>
        <w:t xml:space="preserve"> </w:t>
      </w:r>
      <w:r w:rsidRPr="00636499">
        <w:rPr>
          <w:rFonts w:cs="Calibri"/>
        </w:rPr>
        <w:t>Poticajne mjere za investicije predviđene Zakonom o poticanju investicija i unapr</w:t>
      </w:r>
      <w:r>
        <w:rPr>
          <w:rFonts w:cs="Calibri"/>
        </w:rPr>
        <w:t>j</w:t>
      </w:r>
      <w:r w:rsidRPr="00636499">
        <w:rPr>
          <w:rFonts w:cs="Calibri"/>
        </w:rPr>
        <w:t xml:space="preserve">eđenju investicijskog okruženja imaju pozitivan utjecaj na privlačenje izravnih investicija, a time i daljnji razvoj hrvatskog gospodarstva. </w:t>
      </w:r>
    </w:p>
    <w:p w:rsidR="0075701E" w:rsidRPr="007A347C" w:rsidRDefault="0075701E" w:rsidP="007A347C">
      <w:pPr>
        <w:spacing w:after="0" w:line="360" w:lineRule="auto"/>
        <w:ind w:right="480"/>
        <w:jc w:val="both"/>
        <w:rPr>
          <w:rFonts w:eastAsia="MS Mincho" w:cs="Calibri"/>
          <w:b/>
          <w:lang w:eastAsia="ja-JP"/>
        </w:rPr>
      </w:pPr>
    </w:p>
    <w:p w:rsidR="000C1520" w:rsidRPr="00636499" w:rsidRDefault="000C1520" w:rsidP="007F64C9">
      <w:pPr>
        <w:pStyle w:val="Standard"/>
        <w:spacing w:after="200" w:line="360" w:lineRule="auto"/>
        <w:jc w:val="both"/>
        <w:rPr>
          <w:rFonts w:ascii="Calibri" w:hAnsi="Calibri" w:cs="Calibri"/>
          <w:sz w:val="22"/>
          <w:szCs w:val="22"/>
        </w:rPr>
      </w:pPr>
      <w:r w:rsidRPr="00636499">
        <w:rPr>
          <w:rFonts w:ascii="Calibri" w:hAnsi="Calibri" w:cs="Calibri"/>
          <w:sz w:val="22"/>
          <w:szCs w:val="22"/>
        </w:rPr>
        <w:t>Dodatno unapr</w:t>
      </w:r>
      <w:r>
        <w:rPr>
          <w:rFonts w:ascii="Calibri" w:hAnsi="Calibri" w:cs="Calibri"/>
          <w:sz w:val="22"/>
          <w:szCs w:val="22"/>
        </w:rPr>
        <w:t>j</w:t>
      </w:r>
      <w:r w:rsidRPr="00636499">
        <w:rPr>
          <w:rFonts w:ascii="Calibri" w:hAnsi="Calibri" w:cs="Calibri"/>
          <w:sz w:val="22"/>
          <w:szCs w:val="22"/>
        </w:rPr>
        <w:t>eđenje investicijsko</w:t>
      </w:r>
      <w:r>
        <w:rPr>
          <w:rFonts w:ascii="Calibri" w:hAnsi="Calibri" w:cs="Calibri"/>
          <w:sz w:val="22"/>
          <w:szCs w:val="22"/>
        </w:rPr>
        <w:t xml:space="preserve">g okruženja RH provest će se </w:t>
      </w:r>
      <w:r w:rsidRPr="00636499">
        <w:rPr>
          <w:rFonts w:ascii="Calibri" w:hAnsi="Calibri" w:cs="Calibri"/>
          <w:sz w:val="22"/>
          <w:szCs w:val="22"/>
        </w:rPr>
        <w:t>kroz sveobuhvatni skup mjera i instrumenata poput unapr</w:t>
      </w:r>
      <w:r>
        <w:rPr>
          <w:rFonts w:ascii="Calibri" w:hAnsi="Calibri" w:cs="Calibri"/>
          <w:sz w:val="22"/>
          <w:szCs w:val="22"/>
        </w:rPr>
        <w:t>j</w:t>
      </w:r>
      <w:r w:rsidRPr="00636499">
        <w:rPr>
          <w:rFonts w:ascii="Calibri" w:hAnsi="Calibri" w:cs="Calibri"/>
          <w:sz w:val="22"/>
          <w:szCs w:val="22"/>
        </w:rPr>
        <w:t>eđenja zakonodavnog i instituc</w:t>
      </w:r>
      <w:r>
        <w:rPr>
          <w:rFonts w:ascii="Calibri" w:hAnsi="Calibri" w:cs="Calibri"/>
          <w:sz w:val="22"/>
          <w:szCs w:val="22"/>
        </w:rPr>
        <w:t>ionalnog okvira za investicije, jačanja</w:t>
      </w:r>
      <w:r w:rsidRPr="00636499">
        <w:rPr>
          <w:rFonts w:ascii="Calibri" w:hAnsi="Calibri" w:cs="Calibri"/>
          <w:sz w:val="22"/>
          <w:szCs w:val="22"/>
        </w:rPr>
        <w:t xml:space="preserve"> investicijskog potencijala sektora malog i srednjeg poduzetništva</w:t>
      </w:r>
      <w:r>
        <w:rPr>
          <w:rFonts w:ascii="Calibri" w:hAnsi="Calibri" w:cs="Calibri"/>
          <w:sz w:val="22"/>
          <w:szCs w:val="22"/>
        </w:rPr>
        <w:t xml:space="preserve"> te uključivanja u globalne lance vrijednosti</w:t>
      </w:r>
      <w:r w:rsidRPr="00636499">
        <w:rPr>
          <w:rFonts w:ascii="Calibri" w:hAnsi="Calibri" w:cs="Calibri"/>
          <w:sz w:val="22"/>
          <w:szCs w:val="22"/>
        </w:rPr>
        <w:t xml:space="preserve">, </w:t>
      </w:r>
      <w:r>
        <w:rPr>
          <w:rFonts w:ascii="Calibri" w:hAnsi="Calibri" w:cs="Calibri"/>
          <w:sz w:val="22"/>
          <w:szCs w:val="22"/>
        </w:rPr>
        <w:t>prilagodbe</w:t>
      </w:r>
      <w:r w:rsidRPr="00636499">
        <w:rPr>
          <w:rFonts w:ascii="Calibri" w:hAnsi="Calibri" w:cs="Calibri"/>
          <w:sz w:val="22"/>
          <w:szCs w:val="22"/>
        </w:rPr>
        <w:t xml:space="preserve"> sustava obrazovanja</w:t>
      </w:r>
      <w:r>
        <w:rPr>
          <w:rFonts w:ascii="Calibri" w:hAnsi="Calibri" w:cs="Calibri"/>
          <w:sz w:val="22"/>
          <w:szCs w:val="22"/>
        </w:rPr>
        <w:t xml:space="preserve"> i</w:t>
      </w:r>
      <w:r w:rsidRPr="00636499">
        <w:rPr>
          <w:rFonts w:ascii="Calibri" w:hAnsi="Calibri" w:cs="Calibri"/>
          <w:sz w:val="22"/>
          <w:szCs w:val="22"/>
        </w:rPr>
        <w:t xml:space="preserve"> tržišta rada</w:t>
      </w:r>
      <w:r>
        <w:rPr>
          <w:rFonts w:ascii="Calibri" w:hAnsi="Calibri" w:cs="Calibri"/>
          <w:sz w:val="22"/>
          <w:szCs w:val="22"/>
        </w:rPr>
        <w:t xml:space="preserve"> potrebama investitora, stvaranja</w:t>
      </w:r>
      <w:r w:rsidRPr="00636499">
        <w:rPr>
          <w:rFonts w:ascii="Calibri" w:hAnsi="Calibri" w:cs="Calibri"/>
          <w:sz w:val="22"/>
          <w:szCs w:val="22"/>
        </w:rPr>
        <w:t xml:space="preserve"> poticajnog okruženja za </w:t>
      </w:r>
      <w:r>
        <w:rPr>
          <w:rFonts w:ascii="Calibri" w:hAnsi="Calibri" w:cs="Calibri"/>
          <w:sz w:val="22"/>
          <w:szCs w:val="22"/>
        </w:rPr>
        <w:t xml:space="preserve">investicije u istraživanje, </w:t>
      </w:r>
      <w:r w:rsidRPr="00636499">
        <w:rPr>
          <w:rFonts w:ascii="Calibri" w:hAnsi="Calibri" w:cs="Calibri"/>
          <w:sz w:val="22"/>
          <w:szCs w:val="22"/>
        </w:rPr>
        <w:t>razvoj</w:t>
      </w:r>
      <w:r>
        <w:rPr>
          <w:rFonts w:ascii="Calibri" w:hAnsi="Calibri" w:cs="Calibri"/>
          <w:sz w:val="22"/>
          <w:szCs w:val="22"/>
        </w:rPr>
        <w:t>, inovacije i KET</w:t>
      </w:r>
      <w:r w:rsidRPr="00636499">
        <w:rPr>
          <w:rFonts w:ascii="Calibri" w:hAnsi="Calibri" w:cs="Calibri"/>
          <w:sz w:val="22"/>
          <w:szCs w:val="22"/>
        </w:rPr>
        <w:t xml:space="preserve"> </w:t>
      </w:r>
      <w:r>
        <w:rPr>
          <w:rFonts w:ascii="Calibri" w:hAnsi="Calibri" w:cs="Calibri"/>
          <w:sz w:val="22"/>
          <w:szCs w:val="22"/>
        </w:rPr>
        <w:t>tehnologije</w:t>
      </w:r>
      <w:r w:rsidRPr="00636499">
        <w:rPr>
          <w:rFonts w:ascii="Calibri" w:hAnsi="Calibri" w:cs="Calibri"/>
          <w:sz w:val="22"/>
          <w:szCs w:val="22"/>
        </w:rPr>
        <w:t xml:space="preserve">. </w:t>
      </w:r>
    </w:p>
    <w:p w:rsidR="000C1520" w:rsidRPr="00636499" w:rsidRDefault="000C1520" w:rsidP="005D5936">
      <w:pPr>
        <w:pStyle w:val="Standard"/>
        <w:spacing w:line="264" w:lineRule="auto"/>
        <w:jc w:val="both"/>
        <w:rPr>
          <w:rFonts w:ascii="Calibri" w:hAnsi="Calibri" w:cs="Calibri"/>
          <w:b/>
          <w:sz w:val="22"/>
          <w:szCs w:val="22"/>
        </w:rPr>
      </w:pPr>
      <w:r>
        <w:rPr>
          <w:rFonts w:ascii="Calibri" w:hAnsi="Calibri" w:cs="Calibri"/>
          <w:b/>
          <w:sz w:val="22"/>
          <w:szCs w:val="22"/>
        </w:rPr>
        <w:t>MJERE ZA OSTVARIVA</w:t>
      </w:r>
      <w:r w:rsidRPr="00636499">
        <w:rPr>
          <w:rFonts w:ascii="Calibri" w:hAnsi="Calibri" w:cs="Calibri"/>
          <w:b/>
          <w:sz w:val="22"/>
          <w:szCs w:val="22"/>
        </w:rPr>
        <w:t>NJE CILJA</w:t>
      </w:r>
    </w:p>
    <w:p w:rsidR="000C1520" w:rsidRPr="00636499" w:rsidRDefault="000C1520" w:rsidP="005D5936">
      <w:pPr>
        <w:spacing w:after="0" w:line="264" w:lineRule="auto"/>
        <w:ind w:right="480"/>
        <w:jc w:val="both"/>
        <w:rPr>
          <w:rFonts w:eastAsia="MS Mincho" w:cs="Calibri"/>
          <w:b/>
          <w:lang w:eastAsia="ja-JP"/>
        </w:rPr>
      </w:pPr>
    </w:p>
    <w:p w:rsidR="000C1520" w:rsidRPr="00636499" w:rsidRDefault="00D87C12" w:rsidP="00E52D1E">
      <w:pPr>
        <w:spacing w:after="0" w:line="264" w:lineRule="auto"/>
        <w:ind w:right="480"/>
        <w:jc w:val="both"/>
        <w:rPr>
          <w:rFonts w:eastAsia="MS Mincho" w:cs="Calibri"/>
          <w:lang w:eastAsia="ja-JP"/>
        </w:rPr>
      </w:pPr>
      <w:r>
        <w:rPr>
          <w:noProof/>
        </w:rPr>
        <w:drawing>
          <wp:anchor distT="0" distB="0" distL="967740" distR="962025" simplePos="0" relativeHeight="251656192" behindDoc="0" locked="0" layoutInCell="1" allowOverlap="1">
            <wp:simplePos x="0" y="0"/>
            <wp:positionH relativeFrom="column">
              <wp:posOffset>43180</wp:posOffset>
            </wp:positionH>
            <wp:positionV relativeFrom="paragraph">
              <wp:posOffset>350647</wp:posOffset>
            </wp:positionV>
            <wp:extent cx="5876925" cy="3257423"/>
            <wp:effectExtent l="0" t="0" r="0" b="19685"/>
            <wp:wrapSquare wrapText="bothSides"/>
            <wp:docPr id="15"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r w:rsidR="000C1520" w:rsidRPr="00636499">
        <w:rPr>
          <w:rFonts w:eastAsia="MS Mincho" w:cs="Calibri"/>
          <w:lang w:eastAsia="ja-JP"/>
        </w:rPr>
        <w:t>Prioritetno područje „Unaprjeđenje investicijskog okruženja“</w:t>
      </w:r>
      <w:r w:rsidR="000C1520" w:rsidRPr="00636499">
        <w:rPr>
          <w:rFonts w:eastAsia="MS Mincho" w:cs="Calibri"/>
          <w:b/>
          <w:lang w:eastAsia="ja-JP"/>
        </w:rPr>
        <w:t xml:space="preserve"> </w:t>
      </w:r>
      <w:r w:rsidR="000C1520">
        <w:rPr>
          <w:rFonts w:eastAsia="MS Mincho" w:cs="Calibri"/>
          <w:lang w:eastAsia="ja-JP"/>
        </w:rPr>
        <w:t>uključuje sl</w:t>
      </w:r>
      <w:r w:rsidR="000C1520" w:rsidRPr="00636499">
        <w:rPr>
          <w:rFonts w:eastAsia="MS Mincho" w:cs="Calibri"/>
          <w:lang w:eastAsia="ja-JP"/>
        </w:rPr>
        <w:t>jedeće mjere:</w:t>
      </w:r>
    </w:p>
    <w:p w:rsidR="000C1520" w:rsidRDefault="000C1520" w:rsidP="00AA38E5">
      <w:pPr>
        <w:spacing w:after="0" w:line="264" w:lineRule="auto"/>
        <w:ind w:right="480"/>
        <w:jc w:val="both"/>
        <w:rPr>
          <w:rFonts w:cs="Calibri"/>
        </w:rPr>
      </w:pPr>
      <w:bookmarkStart w:id="27" w:name="_Toc351127602"/>
    </w:p>
    <w:p w:rsidR="000C1520" w:rsidRPr="004D155A" w:rsidRDefault="00E603EE" w:rsidP="00D74ECD">
      <w:pPr>
        <w:pStyle w:val="Heading3"/>
      </w:pPr>
      <w:bookmarkStart w:id="28" w:name="_Toc373137861"/>
      <w:r>
        <w:lastRenderedPageBreak/>
        <w:t xml:space="preserve">3.1.1. </w:t>
      </w:r>
      <w:r w:rsidR="000C1520" w:rsidRPr="004D155A">
        <w:t>UNAPRJEĐENJE ZAKONODAVNOG I INSTITUCIONALNOG OKVIRA I  UKLA</w:t>
      </w:r>
      <w:r w:rsidR="000C1520">
        <w:t>NJANJE ADMINISTRATIVNIH PREPREKA</w:t>
      </w:r>
      <w:r w:rsidR="000C1520" w:rsidRPr="004D155A">
        <w:t xml:space="preserve"> ZA INVESTICIJE</w:t>
      </w:r>
      <w:bookmarkEnd w:id="27"/>
      <w:bookmarkEnd w:id="28"/>
    </w:p>
    <w:p w:rsidR="000C1520" w:rsidRPr="00636499" w:rsidRDefault="000C1520" w:rsidP="005D5936">
      <w:pPr>
        <w:spacing w:after="0" w:line="264" w:lineRule="auto"/>
        <w:ind w:left="1080" w:right="480"/>
        <w:jc w:val="both"/>
        <w:rPr>
          <w:rFonts w:cs="Calibri"/>
          <w:b/>
        </w:rPr>
      </w:pPr>
    </w:p>
    <w:p w:rsidR="000C1520" w:rsidRPr="00636499" w:rsidRDefault="000C1520" w:rsidP="00EA7A23">
      <w:pPr>
        <w:spacing w:line="360" w:lineRule="auto"/>
        <w:jc w:val="both"/>
        <w:rPr>
          <w:rFonts w:cs="Calibri"/>
        </w:rPr>
      </w:pPr>
      <w:r w:rsidRPr="00636499">
        <w:rPr>
          <w:rFonts w:cs="Calibri"/>
        </w:rPr>
        <w:t xml:space="preserve">U kontekstu poticanja investicija u Republici Hrvatskoj veoma je važna politika Vlade RH prema investicijama. </w:t>
      </w:r>
      <w:r>
        <w:rPr>
          <w:rFonts w:cs="Calibri"/>
          <w:bCs/>
        </w:rPr>
        <w:t>Usvojenim</w:t>
      </w:r>
      <w:r w:rsidRPr="00636499">
        <w:rPr>
          <w:rFonts w:cs="Calibri"/>
          <w:bCs/>
        </w:rPr>
        <w:t xml:space="preserve"> Zakonom o poticanju i unapr</w:t>
      </w:r>
      <w:r>
        <w:rPr>
          <w:rFonts w:cs="Calibri"/>
          <w:bCs/>
        </w:rPr>
        <w:t>j</w:t>
      </w:r>
      <w:r w:rsidRPr="00636499">
        <w:rPr>
          <w:rFonts w:cs="Calibri"/>
          <w:bCs/>
        </w:rPr>
        <w:t>eđenju investicijskog okruženja</w:t>
      </w:r>
      <w:r>
        <w:rPr>
          <w:rFonts w:cs="Calibri"/>
          <w:bCs/>
        </w:rPr>
        <w:t xml:space="preserve"> Republike Hrvatske</w:t>
      </w:r>
      <w:r w:rsidRPr="00636499">
        <w:rPr>
          <w:rFonts w:cs="Calibri"/>
          <w:bCs/>
        </w:rPr>
        <w:t xml:space="preserve"> </w:t>
      </w:r>
      <w:r>
        <w:rPr>
          <w:rFonts w:cs="Calibri"/>
          <w:bCs/>
        </w:rPr>
        <w:t>i Zakonom o strateškim investicijskim projektima RH osiguran je potreban pravni okvir za stvaranje pretpostavki</w:t>
      </w:r>
      <w:r w:rsidRPr="00636499">
        <w:rPr>
          <w:rFonts w:cs="Calibri"/>
          <w:bCs/>
        </w:rPr>
        <w:t xml:space="preserve"> za povećanje broja, ali i kvalitete, investicijskih projekata koji će se realizirati u RH. </w:t>
      </w:r>
    </w:p>
    <w:p w:rsidR="000C1520" w:rsidRPr="00AA38E5" w:rsidRDefault="000C1520" w:rsidP="00592D7A">
      <w:pPr>
        <w:autoSpaceDE w:val="0"/>
        <w:autoSpaceDN w:val="0"/>
        <w:adjustRightInd w:val="0"/>
        <w:spacing w:line="360" w:lineRule="auto"/>
        <w:jc w:val="both"/>
        <w:rPr>
          <w:rFonts w:cs="Calibri"/>
        </w:rPr>
      </w:pPr>
      <w:r w:rsidRPr="00636499">
        <w:rPr>
          <w:rFonts w:cs="Calibri"/>
        </w:rPr>
        <w:t>Radi što učinkovitije provedbe zakonodavnog okvira za poticanje investicija</w:t>
      </w:r>
      <w:r>
        <w:rPr>
          <w:rFonts w:cs="Calibri"/>
        </w:rPr>
        <w:t>,</w:t>
      </w:r>
      <w:r w:rsidRPr="00636499">
        <w:rPr>
          <w:rFonts w:cs="Calibri"/>
        </w:rPr>
        <w:t xml:space="preserve"> ali i mo</w:t>
      </w:r>
      <w:r>
        <w:rPr>
          <w:rFonts w:cs="Calibri"/>
        </w:rPr>
        <w:t>gućnosti za njegov budući daljnji razvoj</w:t>
      </w:r>
      <w:r w:rsidRPr="00636499">
        <w:rPr>
          <w:rFonts w:cs="Calibri"/>
        </w:rPr>
        <w:t>, u cilju unaprjeđenja poslovne klime</w:t>
      </w:r>
      <w:r w:rsidRPr="00636499">
        <w:rPr>
          <w:rFonts w:cs="Calibri"/>
          <w:color w:val="FF0000"/>
        </w:rPr>
        <w:t xml:space="preserve"> </w:t>
      </w:r>
      <w:r>
        <w:rPr>
          <w:rFonts w:cs="Calibri"/>
        </w:rPr>
        <w:t xml:space="preserve">Vlada RH osnovala je </w:t>
      </w:r>
      <w:r w:rsidRPr="00636499">
        <w:rPr>
          <w:rFonts w:cs="Calibri"/>
        </w:rPr>
        <w:t>Radn</w:t>
      </w:r>
      <w:r>
        <w:rPr>
          <w:rFonts w:cs="Calibri"/>
        </w:rPr>
        <w:t>u</w:t>
      </w:r>
      <w:r w:rsidRPr="00636499">
        <w:rPr>
          <w:rFonts w:cs="Calibri"/>
        </w:rPr>
        <w:t xml:space="preserve"> skupin</w:t>
      </w:r>
      <w:r>
        <w:rPr>
          <w:rFonts w:cs="Calibri"/>
        </w:rPr>
        <w:t>u</w:t>
      </w:r>
      <w:r w:rsidRPr="00636499">
        <w:rPr>
          <w:rFonts w:cs="Calibri"/>
        </w:rPr>
        <w:t xml:space="preserve"> za poslovnu klimu i privatne inves</w:t>
      </w:r>
      <w:r>
        <w:rPr>
          <w:rFonts w:cs="Calibri"/>
        </w:rPr>
        <w:t>ticije. Zadaci Radne skupine uključuju analiziranje i utvrđivanje ključnih odrednica i prioriteta</w:t>
      </w:r>
      <w:r w:rsidRPr="00636499">
        <w:rPr>
          <w:rFonts w:cs="Calibri"/>
        </w:rPr>
        <w:t xml:space="preserve"> unaprjeđivanja investicijske klime u</w:t>
      </w:r>
      <w:r>
        <w:rPr>
          <w:rFonts w:cs="Calibri"/>
        </w:rPr>
        <w:t xml:space="preserve"> Republici Hrvatskoj; predlaganje Vladi RH zakonskih i drugih</w:t>
      </w:r>
      <w:r w:rsidRPr="00636499">
        <w:rPr>
          <w:rFonts w:cs="Calibri"/>
        </w:rPr>
        <w:t xml:space="preserve"> rješenja kojima će se omogućiti poboljšanje investicijske klime u RH, osobito kroz uklanjanje administrativnih i regulatorni</w:t>
      </w:r>
      <w:r>
        <w:rPr>
          <w:rFonts w:cs="Calibri"/>
        </w:rPr>
        <w:t>h prepreka; kontinuirano praćenje</w:t>
      </w:r>
      <w:r w:rsidRPr="00636499">
        <w:rPr>
          <w:rFonts w:cs="Calibri"/>
        </w:rPr>
        <w:t xml:space="preserve"> rad</w:t>
      </w:r>
      <w:r>
        <w:rPr>
          <w:rFonts w:cs="Calibri"/>
        </w:rPr>
        <w:t>a</w:t>
      </w:r>
      <w:r w:rsidRPr="00636499">
        <w:rPr>
          <w:rFonts w:cs="Calibri"/>
        </w:rPr>
        <w:t xml:space="preserve"> javnih tijela koja sudjeluju u procesu privlačenja i provedbe investicija te podršci izvozu</w:t>
      </w:r>
      <w:r>
        <w:rPr>
          <w:rFonts w:cs="Calibri"/>
        </w:rPr>
        <w:t>; i sustavno praćenje pripreme</w:t>
      </w:r>
      <w:r w:rsidRPr="00636499">
        <w:rPr>
          <w:rFonts w:cs="Calibri"/>
        </w:rPr>
        <w:t xml:space="preserve"> i p</w:t>
      </w:r>
      <w:r>
        <w:rPr>
          <w:rFonts w:cs="Calibri"/>
        </w:rPr>
        <w:t>rovedbe</w:t>
      </w:r>
      <w:r w:rsidRPr="00636499">
        <w:rPr>
          <w:rFonts w:cs="Calibri"/>
        </w:rPr>
        <w:t xml:space="preserve"> investicijskih projekata, s naglaskom na otklanjanje poteškoća za provedbu većih privatnih investicija.</w:t>
      </w:r>
      <w:bookmarkStart w:id="29" w:name="_Toc351127603"/>
    </w:p>
    <w:p w:rsidR="000C1520" w:rsidRPr="004D155A" w:rsidRDefault="000C1520" w:rsidP="00D74ECD">
      <w:pPr>
        <w:pStyle w:val="Heading3"/>
      </w:pPr>
      <w:bookmarkStart w:id="30" w:name="_Toc351127604"/>
      <w:bookmarkStart w:id="31" w:name="_Toc373137862"/>
      <w:bookmarkEnd w:id="29"/>
      <w:r w:rsidRPr="004D155A">
        <w:t>3.1.2</w:t>
      </w:r>
      <w:r w:rsidR="00E603EE">
        <w:t xml:space="preserve">. </w:t>
      </w:r>
      <w:r w:rsidRPr="004D155A">
        <w:t xml:space="preserve"> JAČANJE INVESTICIJSKOG POTENCIJALA SEKTORA MALOG I SREDNJEG PODUZETNIŠTVA</w:t>
      </w:r>
      <w:bookmarkEnd w:id="30"/>
      <w:r w:rsidRPr="004D155A">
        <w:t xml:space="preserve"> I UKLJUČIVANJE U GLOBALNE LANCE VRIJEDNOSTI</w:t>
      </w:r>
      <w:bookmarkEnd w:id="31"/>
    </w:p>
    <w:p w:rsidR="000C1520" w:rsidRPr="00636499" w:rsidRDefault="000C1520" w:rsidP="00597C36">
      <w:pPr>
        <w:spacing w:after="0" w:line="264" w:lineRule="auto"/>
        <w:jc w:val="both"/>
        <w:rPr>
          <w:rFonts w:eastAsia="MS Mincho" w:cs="Calibri"/>
          <w:b/>
          <w:lang w:eastAsia="ja-JP"/>
        </w:rPr>
      </w:pPr>
    </w:p>
    <w:p w:rsidR="000C1520" w:rsidRPr="00636499" w:rsidRDefault="000C1520" w:rsidP="00A346D5">
      <w:pPr>
        <w:spacing w:beforeLines="20" w:before="48" w:line="360" w:lineRule="auto"/>
        <w:jc w:val="both"/>
        <w:rPr>
          <w:rFonts w:cs="Calibri"/>
        </w:rPr>
      </w:pPr>
      <w:r w:rsidRPr="00636499">
        <w:rPr>
          <w:rFonts w:cs="Calibri"/>
        </w:rPr>
        <w:t>Kako bi se povećale domaće investicije potrebno je ojačati investicijski potencijal sektora malog i srednjeg poduzetništva putem razvoja tržišta rizičnog kapitala</w:t>
      </w:r>
      <w:r>
        <w:rPr>
          <w:rFonts w:cs="Calibri"/>
        </w:rPr>
        <w:t xml:space="preserve"> i davanja poticajnih sredstava za proizvodne investicije i investicije koje unaprjeđuju poslovanje poduzetnika.</w:t>
      </w:r>
      <w:r w:rsidRPr="00636499">
        <w:rPr>
          <w:rFonts w:cs="Calibri"/>
        </w:rPr>
        <w:t xml:space="preserve"> </w:t>
      </w:r>
    </w:p>
    <w:p w:rsidR="000C1520" w:rsidRDefault="000C1520" w:rsidP="00A346D5">
      <w:pPr>
        <w:spacing w:beforeLines="20" w:before="48" w:line="360" w:lineRule="auto"/>
        <w:jc w:val="both"/>
        <w:rPr>
          <w:rFonts w:cs="Calibri"/>
        </w:rPr>
      </w:pPr>
      <w:r w:rsidRPr="00636499">
        <w:rPr>
          <w:rFonts w:cs="Calibri"/>
        </w:rPr>
        <w:t>Namjera je usmjeriti i potaknuti poduzetnike na korištenje kako financijskih sredstava kojima se ne zadužuju</w:t>
      </w:r>
      <w:r>
        <w:rPr>
          <w:rFonts w:cs="Calibri"/>
        </w:rPr>
        <w:t xml:space="preserve">, tako i </w:t>
      </w:r>
      <w:r w:rsidRPr="00636499">
        <w:rPr>
          <w:rFonts w:cs="Calibri"/>
        </w:rPr>
        <w:t>znanja i iskust</w:t>
      </w:r>
      <w:r>
        <w:rPr>
          <w:rFonts w:cs="Calibri"/>
        </w:rPr>
        <w:t>a</w:t>
      </w:r>
      <w:r w:rsidRPr="00636499">
        <w:rPr>
          <w:rFonts w:cs="Calibri"/>
        </w:rPr>
        <w:t>va koja im se nude kroz suradnju s poslovnim anđelima i fondovima rizičnog kapitala, u cilju stvaranja pozitivne</w:t>
      </w:r>
      <w:r>
        <w:rPr>
          <w:rFonts w:cs="Calibri"/>
        </w:rPr>
        <w:t xml:space="preserve"> investicijske klime, podjele</w:t>
      </w:r>
      <w:r w:rsidRPr="00636499">
        <w:rPr>
          <w:rFonts w:cs="Calibri"/>
        </w:rPr>
        <w:t xml:space="preserve"> rizika s privatnim sektorom koji se pokazao uspješnim u stvaranju nove vrijednosti, razvoja industrije fondova rizičnog kapitala kao pokretača novih industrija i poticanja poduzetništva</w:t>
      </w:r>
      <w:r>
        <w:rPr>
          <w:rFonts w:cs="Calibri"/>
        </w:rPr>
        <w:t>,</w:t>
      </w:r>
      <w:r w:rsidRPr="00636499">
        <w:rPr>
          <w:rFonts w:cs="Calibri"/>
        </w:rPr>
        <w:t xml:space="preserve"> te preuzimanja rizika uz stručno korporativno vodstvo i nadzor.</w:t>
      </w:r>
      <w:r>
        <w:rPr>
          <w:rFonts w:cs="Calibri"/>
        </w:rPr>
        <w:t xml:space="preserve"> </w:t>
      </w:r>
      <w:r w:rsidRPr="00636499">
        <w:rPr>
          <w:rFonts w:cs="Calibri"/>
        </w:rPr>
        <w:t>Razvoj financijskih mehanizama u budućnosti ovisit će o potrebama gospodarskih subjekata na temelju kojih će se dorađivati postojeći o</w:t>
      </w:r>
      <w:r>
        <w:rPr>
          <w:rFonts w:cs="Calibri"/>
        </w:rPr>
        <w:t xml:space="preserve">blici potpora i stvarati novi. </w:t>
      </w:r>
    </w:p>
    <w:p w:rsidR="000C1520" w:rsidRDefault="000C1520" w:rsidP="000738B7">
      <w:pPr>
        <w:spacing w:after="0" w:line="360" w:lineRule="auto"/>
        <w:jc w:val="both"/>
        <w:rPr>
          <w:rFonts w:eastAsia="MS Mincho" w:cs="Calibri"/>
          <w:lang w:eastAsia="ja-JP"/>
        </w:rPr>
      </w:pPr>
      <w:r w:rsidRPr="00636499">
        <w:rPr>
          <w:rFonts w:eastAsia="MS Mincho" w:cs="Calibri"/>
          <w:lang w:eastAsia="ja-JP"/>
        </w:rPr>
        <w:t>Također, potrebno je utvrditi lanac vrijednosti i lanac dobavljača u okviru prioritetnih sektora u Republici Hrvatsko</w:t>
      </w:r>
      <w:r>
        <w:rPr>
          <w:rFonts w:eastAsia="MS Mincho" w:cs="Calibri"/>
          <w:lang w:eastAsia="ja-JP"/>
        </w:rPr>
        <w:t xml:space="preserve">j kako bi se </w:t>
      </w:r>
      <w:r w:rsidRPr="00636499">
        <w:rPr>
          <w:rFonts w:eastAsia="MS Mincho" w:cs="Calibri"/>
          <w:lang w:eastAsia="ja-JP"/>
        </w:rPr>
        <w:t xml:space="preserve">potencijalnim investitorima </w:t>
      </w:r>
      <w:r>
        <w:rPr>
          <w:rFonts w:eastAsia="MS Mincho" w:cs="Calibri"/>
          <w:lang w:eastAsia="ja-JP"/>
        </w:rPr>
        <w:t xml:space="preserve">omogućio </w:t>
      </w:r>
      <w:r w:rsidRPr="00636499">
        <w:rPr>
          <w:rFonts w:eastAsia="MS Mincho" w:cs="Calibri"/>
          <w:lang w:eastAsia="ja-JP"/>
        </w:rPr>
        <w:t xml:space="preserve">uvid u određeni sektor i </w:t>
      </w:r>
      <w:r>
        <w:rPr>
          <w:rFonts w:eastAsia="MS Mincho" w:cs="Calibri"/>
          <w:lang w:eastAsia="ja-JP"/>
        </w:rPr>
        <w:t xml:space="preserve">u </w:t>
      </w:r>
      <w:r w:rsidRPr="00636499">
        <w:rPr>
          <w:rFonts w:eastAsia="MS Mincho" w:cs="Calibri"/>
          <w:lang w:eastAsia="ja-JP"/>
        </w:rPr>
        <w:lastRenderedPageBreak/>
        <w:t>mogućn</w:t>
      </w:r>
      <w:r>
        <w:rPr>
          <w:rFonts w:eastAsia="MS Mincho" w:cs="Calibri"/>
          <w:lang w:eastAsia="ja-JP"/>
        </w:rPr>
        <w:t>osti suradnje unutar tog sektora, te kako bi se malim i srednjim poduzetnicima pružila prilika za uključivanje u globalne lance vrijednosti i lance dobavljača velikih multinacionalnih kompanija.</w:t>
      </w:r>
    </w:p>
    <w:p w:rsidR="000C1520" w:rsidRPr="004D155A" w:rsidRDefault="000C1520" w:rsidP="00D74ECD">
      <w:pPr>
        <w:pStyle w:val="Heading3"/>
      </w:pPr>
      <w:bookmarkStart w:id="32" w:name="_Toc351127605"/>
      <w:bookmarkStart w:id="33" w:name="_Toc373137863"/>
      <w:r w:rsidRPr="004D155A">
        <w:t xml:space="preserve">3.1.3. PRILAGODBA OBRAZOVNOG SUSTAVA I TRŽIŠTA RADA POTREBAMA </w:t>
      </w:r>
      <w:bookmarkEnd w:id="32"/>
      <w:r w:rsidRPr="004D155A">
        <w:t>INVESTITORA</w:t>
      </w:r>
      <w:bookmarkEnd w:id="33"/>
    </w:p>
    <w:p w:rsidR="000C1520" w:rsidRPr="00636499" w:rsidRDefault="000C1520" w:rsidP="005D5936">
      <w:pPr>
        <w:spacing w:after="0" w:line="264" w:lineRule="auto"/>
        <w:ind w:left="1080" w:right="480"/>
        <w:rPr>
          <w:rFonts w:cs="Calibri"/>
        </w:rPr>
      </w:pPr>
    </w:p>
    <w:p w:rsidR="000C1520" w:rsidRPr="00636499" w:rsidRDefault="000C1520" w:rsidP="007F64C9">
      <w:pPr>
        <w:pStyle w:val="Default"/>
        <w:spacing w:line="360" w:lineRule="auto"/>
        <w:jc w:val="both"/>
        <w:rPr>
          <w:rFonts w:ascii="Calibri" w:hAnsi="Calibri" w:cs="Calibri"/>
          <w:sz w:val="22"/>
          <w:szCs w:val="22"/>
          <w:lang w:val="hr-HR"/>
        </w:rPr>
      </w:pPr>
      <w:r>
        <w:rPr>
          <w:rFonts w:ascii="Calibri" w:hAnsi="Calibri" w:cs="Calibri"/>
          <w:sz w:val="22"/>
          <w:szCs w:val="22"/>
          <w:lang w:val="hr-HR"/>
        </w:rPr>
        <w:t>Ovom mjerom osigurat će se</w:t>
      </w:r>
      <w:r w:rsidRPr="00636499">
        <w:rPr>
          <w:rFonts w:ascii="Calibri" w:hAnsi="Calibri" w:cs="Calibri"/>
          <w:sz w:val="22"/>
          <w:szCs w:val="22"/>
          <w:lang w:val="hr-HR"/>
        </w:rPr>
        <w:t xml:space="preserve"> </w:t>
      </w:r>
      <w:r>
        <w:rPr>
          <w:rFonts w:ascii="Calibri" w:hAnsi="Calibri" w:cs="Calibri"/>
          <w:bCs/>
          <w:sz w:val="22"/>
          <w:szCs w:val="22"/>
          <w:lang w:val="hr-HR"/>
        </w:rPr>
        <w:t>bolja</w:t>
      </w:r>
      <w:r w:rsidRPr="00636499">
        <w:rPr>
          <w:rFonts w:ascii="Calibri" w:hAnsi="Calibri" w:cs="Calibri"/>
          <w:bCs/>
          <w:sz w:val="22"/>
          <w:szCs w:val="22"/>
          <w:lang w:val="hr-HR"/>
        </w:rPr>
        <w:t xml:space="preserve"> povezanost između o</w:t>
      </w:r>
      <w:r>
        <w:rPr>
          <w:rFonts w:ascii="Calibri" w:hAnsi="Calibri" w:cs="Calibri"/>
          <w:bCs/>
          <w:sz w:val="22"/>
          <w:szCs w:val="22"/>
          <w:lang w:val="hr-HR"/>
        </w:rPr>
        <w:t>brazovnog sustava i poslovnog sektora</w:t>
      </w:r>
      <w:r w:rsidRPr="00636499">
        <w:rPr>
          <w:rFonts w:ascii="Calibri" w:hAnsi="Calibri" w:cs="Calibri"/>
          <w:bCs/>
          <w:sz w:val="22"/>
          <w:szCs w:val="22"/>
          <w:lang w:val="hr-HR"/>
        </w:rPr>
        <w:t>,</w:t>
      </w:r>
      <w:r w:rsidRPr="00636499">
        <w:rPr>
          <w:rFonts w:ascii="Calibri" w:hAnsi="Calibri" w:cs="Calibri"/>
          <w:b/>
          <w:bCs/>
          <w:sz w:val="22"/>
          <w:szCs w:val="22"/>
          <w:lang w:val="hr-HR"/>
        </w:rPr>
        <w:t xml:space="preserve"> </w:t>
      </w:r>
      <w:r w:rsidRPr="00636499">
        <w:rPr>
          <w:rFonts w:ascii="Calibri" w:hAnsi="Calibri" w:cs="Calibri"/>
          <w:bCs/>
          <w:sz w:val="22"/>
          <w:szCs w:val="22"/>
          <w:lang w:val="hr-HR"/>
        </w:rPr>
        <w:t>kako bi obrazovni sustav RH i trži</w:t>
      </w:r>
      <w:r>
        <w:rPr>
          <w:rFonts w:ascii="Calibri" w:hAnsi="Calibri" w:cs="Calibri"/>
          <w:bCs/>
          <w:sz w:val="22"/>
          <w:szCs w:val="22"/>
          <w:lang w:val="hr-HR"/>
        </w:rPr>
        <w:t>šte rada pravovremeno i djelotvorno mogli odgovoriti na potrebe i domaćih i stranih investitora koji planiraju uložiti u novo ili proširiti postojeće poslovanje u RH</w:t>
      </w:r>
      <w:r w:rsidRPr="00636499">
        <w:rPr>
          <w:rFonts w:ascii="Calibri" w:hAnsi="Calibri" w:cs="Calibri"/>
          <w:bCs/>
          <w:sz w:val="22"/>
          <w:szCs w:val="22"/>
          <w:lang w:val="hr-HR"/>
        </w:rPr>
        <w:t>.</w:t>
      </w:r>
    </w:p>
    <w:p w:rsidR="000C1520" w:rsidRPr="00636499" w:rsidRDefault="000C1520" w:rsidP="007F64C9">
      <w:pPr>
        <w:autoSpaceDE w:val="0"/>
        <w:autoSpaceDN w:val="0"/>
        <w:adjustRightInd w:val="0"/>
        <w:spacing w:after="0" w:line="360" w:lineRule="auto"/>
        <w:jc w:val="both"/>
        <w:rPr>
          <w:rFonts w:cs="Calibri"/>
          <w:color w:val="000000"/>
        </w:rPr>
      </w:pPr>
      <w:r w:rsidRPr="00636499">
        <w:rPr>
          <w:rFonts w:cs="Calibri"/>
          <w:color w:val="000000"/>
        </w:rPr>
        <w:t>Da bi se to ost</w:t>
      </w:r>
      <w:r>
        <w:rPr>
          <w:rFonts w:cs="Calibri"/>
          <w:color w:val="000000"/>
        </w:rPr>
        <w:t>varilo, važno je definirati potrebe potencijalnih investitora</w:t>
      </w:r>
      <w:r w:rsidRPr="00636499">
        <w:rPr>
          <w:rFonts w:cs="Calibri"/>
          <w:color w:val="000000"/>
        </w:rPr>
        <w:t xml:space="preserve"> u određenim područjima </w:t>
      </w:r>
      <w:r>
        <w:rPr>
          <w:rFonts w:cs="Calibri"/>
          <w:color w:val="000000"/>
        </w:rPr>
        <w:t xml:space="preserve">i sektorima </w:t>
      </w:r>
      <w:r w:rsidRPr="00636499">
        <w:rPr>
          <w:rFonts w:cs="Calibri"/>
          <w:color w:val="000000"/>
        </w:rPr>
        <w:t>unutar RH, utvrditi posto</w:t>
      </w:r>
      <w:r>
        <w:rPr>
          <w:rFonts w:cs="Calibri"/>
          <w:color w:val="000000"/>
        </w:rPr>
        <w:t>jeće kapacitete ljudskih potencijala</w:t>
      </w:r>
      <w:r w:rsidRPr="00636499">
        <w:rPr>
          <w:rFonts w:cs="Calibri"/>
          <w:color w:val="000000"/>
        </w:rPr>
        <w:t>, izraditi srednjoročne i dugoročne projekcije razvoja sektora i njihovih potreba za radnom snagom kako bi se moglo učinkovito odgovoriti na potrebe go</w:t>
      </w:r>
      <w:r>
        <w:rPr>
          <w:rFonts w:cs="Calibri"/>
          <w:color w:val="000000"/>
        </w:rPr>
        <w:t>spodarstva, danas i u budućnosti.  Pri</w:t>
      </w:r>
      <w:r w:rsidRPr="00636499">
        <w:rPr>
          <w:rFonts w:cs="Calibri"/>
          <w:color w:val="000000"/>
        </w:rPr>
        <w:t xml:space="preserve">tom će naglasak biti </w:t>
      </w:r>
      <w:r>
        <w:rPr>
          <w:rFonts w:cs="Calibri"/>
          <w:color w:val="000000"/>
        </w:rPr>
        <w:t>stavljen na razvijanje</w:t>
      </w:r>
      <w:r w:rsidRPr="00636499">
        <w:rPr>
          <w:rFonts w:cs="Calibri"/>
          <w:color w:val="000000"/>
        </w:rPr>
        <w:t xml:space="preserve"> novih vještina kroz obrazovni sust</w:t>
      </w:r>
      <w:r>
        <w:rPr>
          <w:rFonts w:cs="Calibri"/>
          <w:color w:val="000000"/>
        </w:rPr>
        <w:t xml:space="preserve">av i </w:t>
      </w:r>
      <w:proofErr w:type="spellStart"/>
      <w:r>
        <w:rPr>
          <w:rFonts w:cs="Calibri"/>
          <w:color w:val="000000"/>
        </w:rPr>
        <w:t>cjelo</w:t>
      </w:r>
      <w:r w:rsidRPr="00636499">
        <w:rPr>
          <w:rFonts w:cs="Calibri"/>
          <w:color w:val="000000"/>
        </w:rPr>
        <w:t>životno</w:t>
      </w:r>
      <w:proofErr w:type="spellEnd"/>
      <w:r w:rsidRPr="00636499">
        <w:rPr>
          <w:rFonts w:cs="Calibri"/>
          <w:color w:val="000000"/>
        </w:rPr>
        <w:t xml:space="preserve"> stručno osposobljavanje, mogućnost prekvalifikacije radne snage</w:t>
      </w:r>
      <w:r>
        <w:rPr>
          <w:rFonts w:cs="Calibri"/>
          <w:color w:val="000000"/>
        </w:rPr>
        <w:t>,</w:t>
      </w:r>
      <w:r w:rsidRPr="00636499">
        <w:rPr>
          <w:rFonts w:cs="Calibri"/>
          <w:color w:val="000000"/>
        </w:rPr>
        <w:t xml:space="preserve"> ali i uvođenje mjer</w:t>
      </w:r>
      <w:r>
        <w:rPr>
          <w:rFonts w:cs="Calibri"/>
          <w:color w:val="000000"/>
        </w:rPr>
        <w:t>a za ciljano privlačenje visoko</w:t>
      </w:r>
      <w:r w:rsidRPr="00636499">
        <w:rPr>
          <w:rFonts w:cs="Calibri"/>
          <w:color w:val="000000"/>
        </w:rPr>
        <w:t xml:space="preserve">kvalificirane radne snage iz drugih zemalja. </w:t>
      </w:r>
    </w:p>
    <w:p w:rsidR="000C1520" w:rsidRPr="004D155A" w:rsidRDefault="000C1520" w:rsidP="00D74ECD">
      <w:pPr>
        <w:pStyle w:val="Heading3"/>
      </w:pPr>
      <w:bookmarkStart w:id="34" w:name="_Toc351127607"/>
      <w:bookmarkStart w:id="35" w:name="_Toc373137864"/>
      <w:r w:rsidRPr="004D155A">
        <w:t>3.1.4</w:t>
      </w:r>
      <w:r w:rsidR="00E603EE">
        <w:t>.</w:t>
      </w:r>
      <w:r w:rsidRPr="004D155A">
        <w:t xml:space="preserve"> STVARANJE POTICAJNOG OKRUŽENJA ZA INVESTICIJE U ISTRAŽIVANJE, RAZVOJ, INOVACIJE I KET TEHNOLOGIJ</w:t>
      </w:r>
      <w:bookmarkEnd w:id="34"/>
      <w:r w:rsidRPr="004D155A">
        <w:t>E</w:t>
      </w:r>
      <w:bookmarkEnd w:id="35"/>
    </w:p>
    <w:p w:rsidR="000C1520" w:rsidRPr="00636499" w:rsidRDefault="000C1520" w:rsidP="00597C36">
      <w:pPr>
        <w:spacing w:after="0"/>
        <w:jc w:val="both"/>
        <w:rPr>
          <w:lang w:eastAsia="lt-LT"/>
        </w:rPr>
      </w:pPr>
    </w:p>
    <w:p w:rsidR="000C1520" w:rsidRPr="00636499" w:rsidRDefault="000C1520" w:rsidP="007F64C9">
      <w:pPr>
        <w:spacing w:line="360" w:lineRule="auto"/>
        <w:jc w:val="both"/>
        <w:rPr>
          <w:rFonts w:cs="Calibri"/>
        </w:rPr>
      </w:pPr>
      <w:r w:rsidRPr="00636499">
        <w:rPr>
          <w:rFonts w:cs="Calibri"/>
        </w:rPr>
        <w:t>Izazovi globalnog tržišnog natjecanja zahtijevaju postizanje izvrsnosti u poslovnim procesima. Inovacije su ključni po</w:t>
      </w:r>
      <w:r>
        <w:rPr>
          <w:rFonts w:cs="Calibri"/>
        </w:rPr>
        <w:t>kretač produktivnosti te</w:t>
      </w:r>
      <w:r w:rsidRPr="00636499">
        <w:rPr>
          <w:rFonts w:cs="Calibri"/>
        </w:rPr>
        <w:t xml:space="preserve"> povećane energetske i m</w:t>
      </w:r>
      <w:r>
        <w:rPr>
          <w:rFonts w:cs="Calibri"/>
        </w:rPr>
        <w:t>aterijalne učinkovitosti, koje dovode do unapr</w:t>
      </w:r>
      <w:r w:rsidRPr="00636499">
        <w:rPr>
          <w:rFonts w:cs="Calibri"/>
        </w:rPr>
        <w:t>jeđen</w:t>
      </w:r>
      <w:r>
        <w:rPr>
          <w:rFonts w:cs="Calibri"/>
        </w:rPr>
        <w:t>ja</w:t>
      </w:r>
      <w:r w:rsidRPr="00636499">
        <w:rPr>
          <w:rFonts w:cs="Calibri"/>
        </w:rPr>
        <w:t xml:space="preserve"> proizvoda i usluga </w:t>
      </w:r>
      <w:r>
        <w:rPr>
          <w:rFonts w:cs="Calibri"/>
        </w:rPr>
        <w:t xml:space="preserve">kao </w:t>
      </w:r>
      <w:r w:rsidRPr="00636499">
        <w:rPr>
          <w:rFonts w:cs="Calibri"/>
        </w:rPr>
        <w:t>i stvaranj</w:t>
      </w:r>
      <w:r>
        <w:rPr>
          <w:rFonts w:cs="Calibri"/>
        </w:rPr>
        <w:t>a</w:t>
      </w:r>
      <w:r w:rsidRPr="00636499">
        <w:rPr>
          <w:rFonts w:cs="Calibri"/>
        </w:rPr>
        <w:t xml:space="preserve"> novih tržišta. Hrvatska nije dovoljno učinkovita u pretvaranju izvrsnosti svojih ideja u tržišno učinkovite proizvode i usluge.</w:t>
      </w:r>
    </w:p>
    <w:p w:rsidR="000C1520" w:rsidRPr="00636499" w:rsidRDefault="000C1520" w:rsidP="007F64C9">
      <w:pPr>
        <w:spacing w:line="360" w:lineRule="auto"/>
        <w:jc w:val="both"/>
        <w:rPr>
          <w:rFonts w:cs="Calibri"/>
        </w:rPr>
      </w:pPr>
      <w:r>
        <w:rPr>
          <w:rFonts w:cs="Calibri"/>
        </w:rPr>
        <w:t>Bez primjena naprednih (KET) tehnologija h</w:t>
      </w:r>
      <w:r w:rsidRPr="00636499">
        <w:rPr>
          <w:rFonts w:cs="Calibri"/>
        </w:rPr>
        <w:t>rvatska industrija neće biti u mogućnosti uspješno konkurirati n</w:t>
      </w:r>
      <w:r>
        <w:rPr>
          <w:rFonts w:cs="Calibri"/>
        </w:rPr>
        <w:t>a globalnom tržištu ni u visoko-tehnološkim</w:t>
      </w:r>
      <w:r w:rsidRPr="00636499">
        <w:rPr>
          <w:rFonts w:cs="Calibri"/>
        </w:rPr>
        <w:t xml:space="preserve"> ni u tradicionalnim industrijama.</w:t>
      </w:r>
    </w:p>
    <w:p w:rsidR="000C1520" w:rsidRPr="00636499" w:rsidRDefault="000C1520" w:rsidP="007F64C9">
      <w:pPr>
        <w:spacing w:line="360" w:lineRule="auto"/>
        <w:jc w:val="both"/>
        <w:rPr>
          <w:rFonts w:cs="Calibri"/>
        </w:rPr>
      </w:pPr>
      <w:r>
        <w:rPr>
          <w:rFonts w:cs="Calibri"/>
        </w:rPr>
        <w:t>Primjena ključnih tehnologija</w:t>
      </w:r>
      <w:r w:rsidRPr="00636499">
        <w:rPr>
          <w:rFonts w:cs="Calibri"/>
        </w:rPr>
        <w:t xml:space="preserve"> k</w:t>
      </w:r>
      <w:r>
        <w:rPr>
          <w:rFonts w:cs="Calibri"/>
        </w:rPr>
        <w:t xml:space="preserve">ao što su biotehnologija, </w:t>
      </w:r>
      <w:proofErr w:type="spellStart"/>
      <w:r>
        <w:rPr>
          <w:rFonts w:cs="Calibri"/>
        </w:rPr>
        <w:t>nano</w:t>
      </w:r>
      <w:r w:rsidRPr="00636499">
        <w:rPr>
          <w:rFonts w:cs="Calibri"/>
        </w:rPr>
        <w:t>tehnologija</w:t>
      </w:r>
      <w:proofErr w:type="spellEnd"/>
      <w:r w:rsidRPr="00636499">
        <w:rPr>
          <w:rFonts w:cs="Calibri"/>
        </w:rPr>
        <w:t xml:space="preserve">, napredni materijali, </w:t>
      </w:r>
      <w:proofErr w:type="spellStart"/>
      <w:r w:rsidRPr="00636499">
        <w:rPr>
          <w:rFonts w:cs="Calibri"/>
        </w:rPr>
        <w:t>fotonika</w:t>
      </w:r>
      <w:proofErr w:type="spellEnd"/>
      <w:r w:rsidRPr="00636499">
        <w:rPr>
          <w:rFonts w:cs="Calibri"/>
        </w:rPr>
        <w:t xml:space="preserve">, mikro i </w:t>
      </w:r>
      <w:proofErr w:type="spellStart"/>
      <w:r w:rsidRPr="00636499">
        <w:rPr>
          <w:rFonts w:cs="Calibri"/>
        </w:rPr>
        <w:t>na</w:t>
      </w:r>
      <w:r>
        <w:rPr>
          <w:rFonts w:cs="Calibri"/>
        </w:rPr>
        <w:t>no</w:t>
      </w:r>
      <w:proofErr w:type="spellEnd"/>
      <w:r>
        <w:rPr>
          <w:rFonts w:cs="Calibri"/>
        </w:rPr>
        <w:t xml:space="preserve"> </w:t>
      </w:r>
      <w:r w:rsidRPr="00636499">
        <w:rPr>
          <w:rFonts w:cs="Calibri"/>
        </w:rPr>
        <w:t>elektronika, može osigurati osnovu za široku primjenu novih procesa, proizvoda i usluga, uključujući razvoj niša unutar postojećih sektora ili potpuno novih sektora</w:t>
      </w:r>
      <w:r>
        <w:rPr>
          <w:rFonts w:cs="Calibri"/>
        </w:rPr>
        <w:t xml:space="preserve"> (industrija u nastajanju)</w:t>
      </w:r>
      <w:r w:rsidRPr="00636499">
        <w:rPr>
          <w:rFonts w:cs="Calibri"/>
        </w:rPr>
        <w:t xml:space="preserve"> u narednom desetljeću u Republici Hrvatskoj.</w:t>
      </w:r>
    </w:p>
    <w:p w:rsidR="000C1520" w:rsidRPr="005D6D80" w:rsidRDefault="000C1520" w:rsidP="005D6D80">
      <w:pPr>
        <w:spacing w:line="360" w:lineRule="auto"/>
        <w:jc w:val="both"/>
        <w:rPr>
          <w:rFonts w:cs="Calibri"/>
        </w:rPr>
      </w:pPr>
      <w:r w:rsidRPr="00636499">
        <w:rPr>
          <w:rFonts w:cs="Calibri"/>
        </w:rPr>
        <w:t>Cilj ove mje</w:t>
      </w:r>
      <w:r>
        <w:rPr>
          <w:rFonts w:cs="Calibri"/>
        </w:rPr>
        <w:t>re bit će privlačenje investicija</w:t>
      </w:r>
      <w:r w:rsidRPr="00636499">
        <w:rPr>
          <w:rFonts w:cs="Calibri"/>
        </w:rPr>
        <w:t xml:space="preserve"> koje će omogućiti primjenu ključnih tehnologija u postojećim ili novim sektorima važnim za razvoj hrvatskog gospodarstva.</w:t>
      </w:r>
      <w:r>
        <w:rPr>
          <w:rFonts w:cs="Calibri"/>
        </w:rPr>
        <w:t xml:space="preserve"> Također, namjera</w:t>
      </w:r>
      <w:r w:rsidRPr="00636499">
        <w:rPr>
          <w:rFonts w:cs="Calibri"/>
        </w:rPr>
        <w:t xml:space="preserve"> je uspostaviti uspješnu i djelotvornu podršku tehnološkom razvoju i komercijalizaciji rezultata istraživanja izgradnjom tehnoloških platformi </w:t>
      </w:r>
      <w:r>
        <w:rPr>
          <w:rFonts w:cs="Calibri"/>
        </w:rPr>
        <w:t>z</w:t>
      </w:r>
      <w:r w:rsidRPr="00636499">
        <w:rPr>
          <w:rFonts w:cs="Calibri"/>
        </w:rPr>
        <w:t xml:space="preserve">a prioritetne sektore u RH i stvaranjem financijskih, materijalnih i drugih uvjeta postojećim i novoosnovanim trgovačkim društvima kako bi se povećala </w:t>
      </w:r>
      <w:r w:rsidRPr="00636499">
        <w:rPr>
          <w:rFonts w:cs="Calibri"/>
        </w:rPr>
        <w:lastRenderedPageBreak/>
        <w:t>njihova konkurentnost kroz primjenu nove tehnologije, uvo</w:t>
      </w:r>
      <w:r>
        <w:rPr>
          <w:rFonts w:cs="Calibri"/>
        </w:rPr>
        <w:t>đenje novih proizvoda i usluga te</w:t>
      </w:r>
      <w:r w:rsidRPr="00636499">
        <w:rPr>
          <w:rFonts w:cs="Calibri"/>
        </w:rPr>
        <w:t xml:space="preserve"> inovativnih poslovnih procesa.</w:t>
      </w:r>
      <w:r>
        <w:rPr>
          <w:rFonts w:cs="Calibri"/>
        </w:rPr>
        <w:t xml:space="preserve"> </w:t>
      </w:r>
    </w:p>
    <w:p w:rsidR="000C1520" w:rsidRPr="004D155A" w:rsidRDefault="000C1520" w:rsidP="00D74ECD">
      <w:pPr>
        <w:pStyle w:val="Heading3"/>
      </w:pPr>
      <w:bookmarkStart w:id="36" w:name="_Toc351127609"/>
      <w:bookmarkStart w:id="37" w:name="_Toc373137865"/>
      <w:r w:rsidRPr="004D155A">
        <w:t>3.1.5</w:t>
      </w:r>
      <w:r w:rsidR="00E603EE">
        <w:t xml:space="preserve">. </w:t>
      </w:r>
      <w:r w:rsidRPr="004D155A">
        <w:t xml:space="preserve"> JAČANJE INVESTICIJSKOG POTENCIJALA SEKTORA TURIZMA</w:t>
      </w:r>
      <w:bookmarkEnd w:id="36"/>
      <w:bookmarkEnd w:id="37"/>
    </w:p>
    <w:p w:rsidR="000C1520" w:rsidRPr="00636499" w:rsidRDefault="000C1520" w:rsidP="007F486F">
      <w:pPr>
        <w:spacing w:after="0"/>
        <w:rPr>
          <w:lang w:eastAsia="lt-LT"/>
        </w:rPr>
      </w:pPr>
    </w:p>
    <w:p w:rsidR="000C1520" w:rsidRPr="00636499" w:rsidRDefault="000C1520" w:rsidP="007F64C9">
      <w:pPr>
        <w:spacing w:line="360" w:lineRule="auto"/>
        <w:jc w:val="both"/>
        <w:rPr>
          <w:rFonts w:cs="Calibri"/>
        </w:rPr>
      </w:pPr>
      <w:r w:rsidRPr="00636499">
        <w:rPr>
          <w:rFonts w:cs="Calibri"/>
        </w:rPr>
        <w:t>Zbo</w:t>
      </w:r>
      <w:r>
        <w:rPr>
          <w:rFonts w:cs="Calibri"/>
        </w:rPr>
        <w:t>g brojnih ograničenja i prepreka</w:t>
      </w:r>
      <w:r w:rsidRPr="00636499">
        <w:rPr>
          <w:rFonts w:cs="Calibri"/>
        </w:rPr>
        <w:t>, razina investicijske aktivnosti u hrvatskom turizmu u proteklom razdoblju nije bi</w:t>
      </w:r>
      <w:r>
        <w:rPr>
          <w:rFonts w:cs="Calibri"/>
        </w:rPr>
        <w:t>la zadovoljavajuća. B</w:t>
      </w:r>
      <w:r w:rsidRPr="00636499">
        <w:rPr>
          <w:rFonts w:cs="Calibri"/>
        </w:rPr>
        <w:t>ilo</w:t>
      </w:r>
      <w:r>
        <w:rPr>
          <w:rFonts w:cs="Calibri"/>
        </w:rPr>
        <w:t xml:space="preserve"> je premalo</w:t>
      </w:r>
      <w:r w:rsidRPr="00636499">
        <w:rPr>
          <w:rFonts w:cs="Calibri"/>
        </w:rPr>
        <w:t xml:space="preserve"> </w:t>
      </w:r>
      <w:proofErr w:type="spellStart"/>
      <w:r w:rsidRPr="00E3655E">
        <w:rPr>
          <w:rFonts w:cs="Calibri"/>
          <w:i/>
        </w:rPr>
        <w:t>greenfield</w:t>
      </w:r>
      <w:proofErr w:type="spellEnd"/>
      <w:r w:rsidRPr="00636499">
        <w:rPr>
          <w:rFonts w:cs="Calibri"/>
        </w:rPr>
        <w:t xml:space="preserve"> investicija novih ulagača, a skromne su bile i investicije većih hrvatskih hotelsko-turističkih kompanija koje su uglavnom ulagale u obnovu postojećih objekata. Istodobno, iako se radi o pojavi koja se u pravilu događala izvan turističkih zona, nedovoljno kontrolirana izgradnja apartmana i kuća za odmor stvorila je percepciju o prekomjernoj </w:t>
      </w:r>
      <w:proofErr w:type="spellStart"/>
      <w:r w:rsidRPr="00636499">
        <w:rPr>
          <w:rFonts w:cs="Calibri"/>
        </w:rPr>
        <w:t>betonizaciji</w:t>
      </w:r>
      <w:proofErr w:type="spellEnd"/>
      <w:r w:rsidRPr="00636499">
        <w:rPr>
          <w:rFonts w:cs="Calibri"/>
        </w:rPr>
        <w:t xml:space="preserve"> obale. Posebno v</w:t>
      </w:r>
      <w:r>
        <w:rPr>
          <w:rFonts w:cs="Calibri"/>
        </w:rPr>
        <w:t>alja naglasiti da je gotovo u ci</w:t>
      </w:r>
      <w:r w:rsidRPr="00636499">
        <w:rPr>
          <w:rFonts w:cs="Calibri"/>
        </w:rPr>
        <w:t>jelosti izostalo ulaganje u razvoj turističke infrastrukture i novostvorenih turističkih atrakcija.</w:t>
      </w:r>
    </w:p>
    <w:p w:rsidR="000C1520" w:rsidRDefault="000C1520" w:rsidP="00CF363A">
      <w:pPr>
        <w:spacing w:line="360" w:lineRule="auto"/>
        <w:jc w:val="both"/>
        <w:rPr>
          <w:rFonts w:cs="Calibri"/>
        </w:rPr>
      </w:pPr>
      <w:r>
        <w:rPr>
          <w:rFonts w:cs="Calibri"/>
        </w:rPr>
        <w:t>S o</w:t>
      </w:r>
      <w:r w:rsidRPr="00636499">
        <w:rPr>
          <w:rFonts w:cs="Calibri"/>
        </w:rPr>
        <w:t>bzirom na postojeće stanje planira se pokretanje konkretnih razvojno-investicijskih projekata međunarodne prepoznatljivosti koji će svojim kvalitativnim značajkama biti u stanju autonomno privlačiti nove segmente turističke potražnje, podizati kvalitetu i/ili raznovrsnost destinacijske ponude, produljivati sezonu te dodatno pridonijeti unapr</w:t>
      </w:r>
      <w:r>
        <w:rPr>
          <w:rFonts w:cs="Calibri"/>
        </w:rPr>
        <w:t>j</w:t>
      </w:r>
      <w:r w:rsidRPr="00636499">
        <w:rPr>
          <w:rFonts w:cs="Calibri"/>
        </w:rPr>
        <w:t>eđenju međunarodnog imidža hrvatskog turizma. Uspostavljanje poticajnog poduzetničkog i investicijskog okruženja u današnjim uvjetima pretpostavlja snažan angažman nositelja javne vlasti, kako u pripremi institucionalnih i drugih uvjeta za po</w:t>
      </w:r>
      <w:r>
        <w:rPr>
          <w:rFonts w:cs="Calibri"/>
        </w:rPr>
        <w:t>boljšanje</w:t>
      </w:r>
      <w:r w:rsidRPr="00636499">
        <w:rPr>
          <w:rFonts w:cs="Calibri"/>
        </w:rPr>
        <w:t xml:space="preserve"> konkurentske sposobnosti hrvatskog turizma, tako i u iniciranju velikih razvojno-investicijskih projekata.</w:t>
      </w:r>
      <w:r>
        <w:rPr>
          <w:rFonts w:cs="Calibri"/>
        </w:rPr>
        <w:t xml:space="preserve"> </w:t>
      </w:r>
      <w:r w:rsidRPr="00636499">
        <w:rPr>
          <w:rFonts w:cs="Calibri"/>
        </w:rPr>
        <w:t>Također</w:t>
      </w:r>
      <w:r>
        <w:rPr>
          <w:rFonts w:cs="Calibri"/>
        </w:rPr>
        <w:t>,</w:t>
      </w:r>
      <w:r w:rsidRPr="00636499">
        <w:rPr>
          <w:rFonts w:cs="Calibri"/>
        </w:rPr>
        <w:t xml:space="preserve"> planira se pokretanje  brojnih mjera koje imaju za cilj stvoriti uvjete koji će osigurati dugoročno tržišno održivo poslovanje i investiranje.  Posebna pozornost  posvetit će se aktivnostima vezan</w:t>
      </w:r>
      <w:r>
        <w:rPr>
          <w:rFonts w:cs="Calibri"/>
        </w:rPr>
        <w:t>ima</w:t>
      </w:r>
      <w:r w:rsidRPr="00636499">
        <w:rPr>
          <w:rFonts w:cs="Calibri"/>
        </w:rPr>
        <w:t xml:space="preserve"> uz marketing i razvoj proizvoda</w:t>
      </w:r>
      <w:r>
        <w:rPr>
          <w:rFonts w:cs="Calibri"/>
        </w:rPr>
        <w:t>,</w:t>
      </w:r>
      <w:r w:rsidRPr="00636499">
        <w:rPr>
          <w:rFonts w:cs="Calibri"/>
        </w:rPr>
        <w:t xml:space="preserve"> </w:t>
      </w:r>
      <w:r>
        <w:rPr>
          <w:rFonts w:cs="Calibri"/>
        </w:rPr>
        <w:t>razvoju ljudskih potencijala,</w:t>
      </w:r>
      <w:r w:rsidRPr="00636499">
        <w:rPr>
          <w:rFonts w:cs="Calibri"/>
        </w:rPr>
        <w:t xml:space="preserve"> upravljanj</w:t>
      </w:r>
      <w:r>
        <w:rPr>
          <w:rFonts w:cs="Calibri"/>
        </w:rPr>
        <w:t>u turističkim destinacijama</w:t>
      </w:r>
      <w:r w:rsidRPr="00636499">
        <w:rPr>
          <w:rFonts w:cs="Calibri"/>
        </w:rPr>
        <w:t xml:space="preserve">, </w:t>
      </w:r>
      <w:r>
        <w:rPr>
          <w:rFonts w:cs="Calibri"/>
        </w:rPr>
        <w:t xml:space="preserve">te </w:t>
      </w:r>
      <w:r w:rsidRPr="00636499">
        <w:rPr>
          <w:rFonts w:cs="Calibri"/>
        </w:rPr>
        <w:t>stvaranj</w:t>
      </w:r>
      <w:r>
        <w:rPr>
          <w:rFonts w:cs="Calibri"/>
        </w:rPr>
        <w:t>u</w:t>
      </w:r>
      <w:r w:rsidRPr="00636499">
        <w:rPr>
          <w:rFonts w:cs="Calibri"/>
        </w:rPr>
        <w:t xml:space="preserve"> poticajnog poduzetničkog i investicijskog okruženja. </w:t>
      </w:r>
    </w:p>
    <w:p w:rsidR="000C1520" w:rsidRDefault="000C1520" w:rsidP="00D74ECD">
      <w:pPr>
        <w:pStyle w:val="Heading3"/>
      </w:pPr>
      <w:bookmarkStart w:id="38" w:name="_Toc373137866"/>
      <w:r>
        <w:t>3.1.6</w:t>
      </w:r>
      <w:r w:rsidR="00E603EE">
        <w:t xml:space="preserve">. </w:t>
      </w:r>
      <w:r>
        <w:t xml:space="preserve"> RAZVOJ</w:t>
      </w:r>
      <w:r w:rsidR="00177115">
        <w:t xml:space="preserve"> I </w:t>
      </w:r>
      <w:r>
        <w:t>UNAPR</w:t>
      </w:r>
      <w:r w:rsidRPr="00CF363A">
        <w:t>JEĐENJE REGIONALN</w:t>
      </w:r>
      <w:r>
        <w:t>E</w:t>
      </w:r>
      <w:r w:rsidRPr="00CF363A">
        <w:t xml:space="preserve"> INFRASTRUKTUR</w:t>
      </w:r>
      <w:r>
        <w:t>E</w:t>
      </w:r>
      <w:bookmarkEnd w:id="38"/>
    </w:p>
    <w:p w:rsidR="000C1520" w:rsidRDefault="000C1520" w:rsidP="00CF363A">
      <w:pPr>
        <w:spacing w:line="360" w:lineRule="auto"/>
        <w:jc w:val="both"/>
        <w:rPr>
          <w:rFonts w:cs="Calibri"/>
        </w:rPr>
      </w:pPr>
      <w:r w:rsidRPr="00755028">
        <w:rPr>
          <w:rFonts w:cs="Calibri"/>
        </w:rPr>
        <w:t>U cilju</w:t>
      </w:r>
      <w:r>
        <w:rPr>
          <w:rFonts w:cs="Calibri"/>
        </w:rPr>
        <w:t xml:space="preserve"> povećanja atraktivnosti RH za privlačenje investicija potrebno je dodatno unaprijediti regionalnu infrastrukturu (prometnu, telekomunikacijsku, poslovnu, znanstveno-istraživačku i inovacijsku) i staviti je u funkciju investitora. </w:t>
      </w:r>
    </w:p>
    <w:p w:rsidR="000C1520" w:rsidRDefault="000C1520" w:rsidP="00597C36">
      <w:pPr>
        <w:spacing w:line="360" w:lineRule="auto"/>
        <w:jc w:val="both"/>
        <w:rPr>
          <w:rFonts w:cs="Calibri"/>
        </w:rPr>
      </w:pPr>
      <w:r>
        <w:rPr>
          <w:rFonts w:cs="Calibri"/>
        </w:rPr>
        <w:t xml:space="preserve">Kako bi potencijalni investitor mogao dobiti uvid u razvijenost i dostupnost infrastrukture na određenom području RH, izradit će se baza razvojnog potencijala i </w:t>
      </w:r>
      <w:proofErr w:type="spellStart"/>
      <w:r>
        <w:rPr>
          <w:rFonts w:cs="Calibri"/>
        </w:rPr>
        <w:t>mapirati</w:t>
      </w:r>
      <w:proofErr w:type="spellEnd"/>
      <w:r>
        <w:rPr>
          <w:rFonts w:cs="Calibri"/>
        </w:rPr>
        <w:t xml:space="preserve"> poslovna, znanstveno-istraživačka i inovacijska infrastruktura. </w:t>
      </w:r>
    </w:p>
    <w:p w:rsidR="000C1520" w:rsidRPr="00636499" w:rsidRDefault="000C1520" w:rsidP="005D5936">
      <w:pPr>
        <w:spacing w:after="0" w:line="240" w:lineRule="auto"/>
        <w:jc w:val="both"/>
        <w:rPr>
          <w:rFonts w:cs="Calibri"/>
        </w:rPr>
      </w:pPr>
    </w:p>
    <w:p w:rsidR="000C1520" w:rsidRPr="00AF566A" w:rsidRDefault="000C1520" w:rsidP="00D74ECD">
      <w:pPr>
        <w:pStyle w:val="Heading3"/>
      </w:pPr>
      <w:bookmarkStart w:id="39" w:name="_Toc351127610"/>
      <w:bookmarkStart w:id="40" w:name="_Toc373137867"/>
      <w:r w:rsidRPr="00AF566A">
        <w:lastRenderedPageBreak/>
        <w:t>3.2</w:t>
      </w:r>
      <w:r w:rsidR="00E603EE">
        <w:t xml:space="preserve">. </w:t>
      </w:r>
      <w:r w:rsidRPr="00AF566A">
        <w:t xml:space="preserve"> PROMICANJE REPUBLIKE HRVATSKE KAO POŽELJNE INVESTICIJSKE DESTINACIJE</w:t>
      </w:r>
      <w:bookmarkEnd w:id="39"/>
      <w:bookmarkEnd w:id="40"/>
      <w:r w:rsidRPr="00AF566A">
        <w:t xml:space="preserve"> </w:t>
      </w:r>
    </w:p>
    <w:p w:rsidR="000C1520" w:rsidRPr="00636499" w:rsidRDefault="000C1520" w:rsidP="004A74EB">
      <w:pPr>
        <w:spacing w:after="0" w:line="264" w:lineRule="auto"/>
        <w:ind w:firstLine="360"/>
        <w:jc w:val="both"/>
        <w:rPr>
          <w:rFonts w:cs="Calibri"/>
        </w:rPr>
      </w:pPr>
    </w:p>
    <w:p w:rsidR="000C1520" w:rsidRPr="00636499" w:rsidRDefault="000C1520" w:rsidP="004A74EB">
      <w:pPr>
        <w:spacing w:after="0" w:line="264" w:lineRule="auto"/>
        <w:jc w:val="both"/>
        <w:rPr>
          <w:rFonts w:cs="Calibri"/>
          <w:b/>
        </w:rPr>
      </w:pPr>
      <w:r w:rsidRPr="00636499">
        <w:rPr>
          <w:rFonts w:cs="Calibri"/>
          <w:b/>
        </w:rPr>
        <w:t>SVRHA</w:t>
      </w:r>
    </w:p>
    <w:p w:rsidR="000C1520" w:rsidRDefault="000C1520" w:rsidP="00573665">
      <w:pPr>
        <w:spacing w:after="0" w:line="360" w:lineRule="auto"/>
        <w:jc w:val="both"/>
        <w:rPr>
          <w:rFonts w:cs="Calibri"/>
        </w:rPr>
      </w:pPr>
    </w:p>
    <w:p w:rsidR="000C1520" w:rsidRPr="00636499" w:rsidRDefault="000C1520" w:rsidP="00573665">
      <w:pPr>
        <w:spacing w:after="0" w:line="360" w:lineRule="auto"/>
        <w:jc w:val="both"/>
        <w:rPr>
          <w:rFonts w:cs="Calibri"/>
        </w:rPr>
      </w:pPr>
      <w:r w:rsidRPr="00636499">
        <w:rPr>
          <w:rFonts w:cs="Calibri"/>
        </w:rPr>
        <w:t xml:space="preserve">Promicanje </w:t>
      </w:r>
      <w:r>
        <w:rPr>
          <w:rFonts w:cs="Calibri"/>
        </w:rPr>
        <w:t>RH</w:t>
      </w:r>
      <w:r w:rsidRPr="00636499">
        <w:rPr>
          <w:rFonts w:cs="Calibri"/>
        </w:rPr>
        <w:t xml:space="preserve"> kao poželjne investicijske destinacije uključuje stvaranje pozitivnog imidža </w:t>
      </w:r>
      <w:r>
        <w:rPr>
          <w:rFonts w:cs="Calibri"/>
        </w:rPr>
        <w:t xml:space="preserve">RH </w:t>
      </w:r>
      <w:r w:rsidRPr="00636499">
        <w:rPr>
          <w:rFonts w:cs="Calibri"/>
        </w:rPr>
        <w:t>na domaćem i stran</w:t>
      </w:r>
      <w:r>
        <w:rPr>
          <w:rFonts w:cs="Calibri"/>
        </w:rPr>
        <w:t>o</w:t>
      </w:r>
      <w:r w:rsidRPr="00636499">
        <w:rPr>
          <w:rFonts w:cs="Calibri"/>
        </w:rPr>
        <w:t>m tržišt</w:t>
      </w:r>
      <w:r>
        <w:rPr>
          <w:rFonts w:cs="Calibri"/>
        </w:rPr>
        <w:t xml:space="preserve">u, </w:t>
      </w:r>
      <w:r w:rsidRPr="00636499">
        <w:rPr>
          <w:rFonts w:cs="Calibri"/>
        </w:rPr>
        <w:t>ciljano poticanje investicija u prioritetne sektore RH kroz izradu i provedbu Komunikacijske strategije</w:t>
      </w:r>
      <w:r w:rsidRPr="00636499">
        <w:rPr>
          <w:rFonts w:eastAsia="MS Mincho" w:cs="Calibri"/>
          <w:lang w:eastAsia="ja-JP"/>
        </w:rPr>
        <w:t xml:space="preserve"> za poticanje investicija i pripada</w:t>
      </w:r>
      <w:r>
        <w:rPr>
          <w:rFonts w:eastAsia="MS Mincho" w:cs="Calibri"/>
          <w:lang w:eastAsia="ja-JP"/>
        </w:rPr>
        <w:t>jućeg Akcijskog plana, definiranje hrvatskog „paketa prednosti“, izradu</w:t>
      </w:r>
      <w:r w:rsidRPr="00636499">
        <w:rPr>
          <w:rFonts w:eastAsia="MS Mincho" w:cs="Calibri"/>
          <w:lang w:eastAsia="ja-JP"/>
        </w:rPr>
        <w:t xml:space="preserve"> investicijs</w:t>
      </w:r>
      <w:r>
        <w:rPr>
          <w:rFonts w:eastAsia="MS Mincho" w:cs="Calibri"/>
          <w:lang w:eastAsia="ja-JP"/>
        </w:rPr>
        <w:t xml:space="preserve">kog profila zemlje po sektorima, </w:t>
      </w:r>
      <w:r w:rsidRPr="00636499">
        <w:rPr>
          <w:rFonts w:eastAsia="MS Mincho" w:cs="Calibri"/>
          <w:lang w:eastAsia="ja-JP"/>
        </w:rPr>
        <w:t xml:space="preserve">sektorsko </w:t>
      </w:r>
      <w:proofErr w:type="spellStart"/>
      <w:r w:rsidRPr="00636499">
        <w:rPr>
          <w:rFonts w:eastAsia="MS Mincho" w:cs="Calibri"/>
          <w:lang w:eastAsia="ja-JP"/>
        </w:rPr>
        <w:t>brendiranj</w:t>
      </w:r>
      <w:r>
        <w:rPr>
          <w:rFonts w:eastAsia="MS Mincho" w:cs="Calibri"/>
          <w:lang w:eastAsia="ja-JP"/>
        </w:rPr>
        <w:t>e</w:t>
      </w:r>
      <w:proofErr w:type="spellEnd"/>
      <w:r w:rsidRPr="00636499">
        <w:rPr>
          <w:rFonts w:eastAsia="MS Mincho" w:cs="Calibri"/>
          <w:lang w:eastAsia="ja-JP"/>
        </w:rPr>
        <w:t xml:space="preserve"> i </w:t>
      </w:r>
      <w:proofErr w:type="spellStart"/>
      <w:r w:rsidRPr="00636499">
        <w:rPr>
          <w:rFonts w:eastAsia="MS Mincho" w:cs="Calibri"/>
          <w:lang w:eastAsia="ja-JP"/>
        </w:rPr>
        <w:t>brendiranj</w:t>
      </w:r>
      <w:r>
        <w:rPr>
          <w:rFonts w:eastAsia="MS Mincho" w:cs="Calibri"/>
          <w:lang w:eastAsia="ja-JP"/>
        </w:rPr>
        <w:t>e</w:t>
      </w:r>
      <w:proofErr w:type="spellEnd"/>
      <w:r w:rsidRPr="00636499">
        <w:rPr>
          <w:rFonts w:eastAsia="MS Mincho" w:cs="Calibri"/>
          <w:lang w:eastAsia="ja-JP"/>
        </w:rPr>
        <w:t xml:space="preserve"> regija.</w:t>
      </w:r>
    </w:p>
    <w:p w:rsidR="000C1520" w:rsidRPr="00636499" w:rsidRDefault="000C1520" w:rsidP="00573665">
      <w:pPr>
        <w:spacing w:after="0" w:line="264" w:lineRule="auto"/>
        <w:jc w:val="both"/>
        <w:rPr>
          <w:rFonts w:cs="Calibri"/>
          <w:b/>
        </w:rPr>
      </w:pPr>
    </w:p>
    <w:p w:rsidR="000C1520" w:rsidRPr="00636499" w:rsidRDefault="000C1520" w:rsidP="00DB0F5F">
      <w:pPr>
        <w:spacing w:after="0" w:line="360" w:lineRule="auto"/>
        <w:jc w:val="both"/>
        <w:rPr>
          <w:rFonts w:cs="Calibri"/>
          <w:b/>
        </w:rPr>
      </w:pPr>
      <w:r w:rsidRPr="00636499">
        <w:rPr>
          <w:rFonts w:cs="Calibri"/>
          <w:b/>
        </w:rPr>
        <w:t>OPRAVDANOST</w:t>
      </w:r>
    </w:p>
    <w:p w:rsidR="000C1520" w:rsidRDefault="000C1520" w:rsidP="00661F10">
      <w:pPr>
        <w:spacing w:after="0" w:line="360" w:lineRule="auto"/>
        <w:jc w:val="both"/>
        <w:rPr>
          <w:rFonts w:cs="Calibri"/>
        </w:rPr>
      </w:pPr>
    </w:p>
    <w:p w:rsidR="000C1520" w:rsidRPr="00636499" w:rsidRDefault="000C1520" w:rsidP="009A4981">
      <w:pPr>
        <w:spacing w:after="0" w:line="360" w:lineRule="auto"/>
        <w:jc w:val="both"/>
        <w:rPr>
          <w:rFonts w:cs="Calibri"/>
        </w:rPr>
      </w:pPr>
      <w:r w:rsidRPr="00636499">
        <w:rPr>
          <w:rFonts w:cs="Calibri"/>
        </w:rPr>
        <w:t xml:space="preserve">Na nacionalnoj razini nema dosljednog i jedinstvenog </w:t>
      </w:r>
      <w:proofErr w:type="spellStart"/>
      <w:r>
        <w:rPr>
          <w:rFonts w:cs="Calibri"/>
        </w:rPr>
        <w:t>bre</w:t>
      </w:r>
      <w:r w:rsidRPr="00636499">
        <w:rPr>
          <w:rFonts w:cs="Calibri"/>
        </w:rPr>
        <w:t>ndiranja</w:t>
      </w:r>
      <w:proofErr w:type="spellEnd"/>
      <w:r w:rsidRPr="00636499">
        <w:rPr>
          <w:rFonts w:cs="Calibri"/>
        </w:rPr>
        <w:t xml:space="preserve"> i promocije </w:t>
      </w:r>
      <w:r>
        <w:rPr>
          <w:rFonts w:cs="Calibri"/>
        </w:rPr>
        <w:t>RH te</w:t>
      </w:r>
      <w:r w:rsidRPr="00636499">
        <w:rPr>
          <w:rFonts w:cs="Calibri"/>
        </w:rPr>
        <w:t xml:space="preserve"> nje</w:t>
      </w:r>
      <w:r>
        <w:rPr>
          <w:rFonts w:cs="Calibri"/>
        </w:rPr>
        <w:t>zi</w:t>
      </w:r>
      <w:r w:rsidRPr="00636499">
        <w:rPr>
          <w:rFonts w:cs="Calibri"/>
        </w:rPr>
        <w:t xml:space="preserve">nih regija </w:t>
      </w:r>
      <w:r>
        <w:rPr>
          <w:rFonts w:cs="Calibri"/>
        </w:rPr>
        <w:t>i velikih gradova kao atraktivnih investicijskih destinacija</w:t>
      </w:r>
      <w:r w:rsidRPr="00636499">
        <w:rPr>
          <w:rFonts w:cs="Calibri"/>
        </w:rPr>
        <w:t xml:space="preserve">. Potrebno je usmjeriti napore na promociju </w:t>
      </w:r>
      <w:r>
        <w:rPr>
          <w:rFonts w:cs="Calibri"/>
        </w:rPr>
        <w:t>RH</w:t>
      </w:r>
      <w:r w:rsidRPr="00636499">
        <w:rPr>
          <w:rFonts w:cs="Calibri"/>
        </w:rPr>
        <w:t xml:space="preserve"> kao poželjne investicijske destinacije</w:t>
      </w:r>
      <w:r>
        <w:rPr>
          <w:rFonts w:cs="Calibri"/>
        </w:rPr>
        <w:t xml:space="preserve"> i na jačanje uloge gospodarske diplomacije u privlačenju investicija</w:t>
      </w:r>
      <w:r w:rsidR="009A4981">
        <w:rPr>
          <w:rFonts w:cs="Calibri"/>
        </w:rPr>
        <w:t>.</w:t>
      </w:r>
      <w:r w:rsidR="006E60AD">
        <w:rPr>
          <w:rFonts w:cs="Calibri"/>
        </w:rPr>
        <w:t xml:space="preserve"> </w:t>
      </w:r>
      <w:r w:rsidRPr="008F277A">
        <w:rPr>
          <w:rFonts w:cs="Calibri"/>
        </w:rPr>
        <w:t>Promicanje ula</w:t>
      </w:r>
      <w:r>
        <w:rPr>
          <w:rFonts w:cs="Calibri"/>
        </w:rPr>
        <w:t>ganja može značajno utjecati</w:t>
      </w:r>
      <w:r w:rsidRPr="008F277A">
        <w:rPr>
          <w:rFonts w:cs="Calibri"/>
        </w:rPr>
        <w:t xml:space="preserve"> na razinu izravnih stranih ulaganja. Studija Svjetske banke pokazuje da povećanje proračun</w:t>
      </w:r>
      <w:r>
        <w:rPr>
          <w:rFonts w:cs="Calibri"/>
        </w:rPr>
        <w:t>a za poticanje ulaganja od 10 %</w:t>
      </w:r>
      <w:r w:rsidRPr="008F277A">
        <w:rPr>
          <w:rFonts w:cs="Calibri"/>
        </w:rPr>
        <w:t xml:space="preserve"> dovodi do 2,5 % povećanja izravnih stranih ulaganja.</w:t>
      </w:r>
      <w:r>
        <w:rPr>
          <w:rFonts w:cs="Calibri"/>
        </w:rPr>
        <w:t xml:space="preserve"> </w:t>
      </w:r>
      <w:r w:rsidRPr="00636499">
        <w:rPr>
          <w:rFonts w:cs="Calibri"/>
        </w:rPr>
        <w:t xml:space="preserve">Promocija </w:t>
      </w:r>
      <w:r>
        <w:rPr>
          <w:rFonts w:cs="Calibri"/>
        </w:rPr>
        <w:t xml:space="preserve">RH </w:t>
      </w:r>
      <w:r w:rsidRPr="00636499">
        <w:rPr>
          <w:rFonts w:cs="Calibri"/>
        </w:rPr>
        <w:t>kao atraktivne investici</w:t>
      </w:r>
      <w:r>
        <w:rPr>
          <w:rFonts w:cs="Calibri"/>
        </w:rPr>
        <w:t xml:space="preserve">jske destinacije provest će se kroz sveobuhvatni skup </w:t>
      </w:r>
      <w:r w:rsidRPr="00636499">
        <w:rPr>
          <w:rFonts w:cs="Calibri"/>
        </w:rPr>
        <w:t>mjera i i</w:t>
      </w:r>
      <w:r>
        <w:rPr>
          <w:rFonts w:cs="Calibri"/>
        </w:rPr>
        <w:t xml:space="preserve">nstrumenata poput </w:t>
      </w:r>
      <w:r w:rsidRPr="005E5D07">
        <w:rPr>
          <w:rFonts w:cs="Calibri"/>
        </w:rPr>
        <w:t>marketinškog miksa</w:t>
      </w:r>
      <w:r>
        <w:rPr>
          <w:rFonts w:cs="Calibri"/>
        </w:rPr>
        <w:t xml:space="preserve"> koji će se razraditi</w:t>
      </w:r>
      <w:r w:rsidRPr="00636499">
        <w:rPr>
          <w:rFonts w:cs="Calibri"/>
        </w:rPr>
        <w:t xml:space="preserve"> u Komunikacijskoj strategiji i pripad</w:t>
      </w:r>
      <w:r>
        <w:rPr>
          <w:rFonts w:cs="Calibri"/>
        </w:rPr>
        <w:t>ajućem Akcijskom planu, hrvatskom</w:t>
      </w:r>
      <w:r w:rsidRPr="00636499">
        <w:rPr>
          <w:rFonts w:cs="Calibri"/>
        </w:rPr>
        <w:t xml:space="preserve"> </w:t>
      </w:r>
      <w:r>
        <w:rPr>
          <w:rFonts w:eastAsia="MS Mincho" w:cs="Calibri"/>
          <w:lang w:eastAsia="ja-JP"/>
        </w:rPr>
        <w:t>„</w:t>
      </w:r>
      <w:r w:rsidRPr="00636499">
        <w:rPr>
          <w:rFonts w:eastAsia="MS Mincho" w:cs="Calibri"/>
          <w:lang w:eastAsia="ja-JP"/>
        </w:rPr>
        <w:t>paket</w:t>
      </w:r>
      <w:r>
        <w:rPr>
          <w:rFonts w:eastAsia="MS Mincho" w:cs="Calibri"/>
          <w:lang w:eastAsia="ja-JP"/>
        </w:rPr>
        <w:t>u prednosti“</w:t>
      </w:r>
      <w:r w:rsidRPr="00636499">
        <w:rPr>
          <w:rFonts w:eastAsia="MS Mincho" w:cs="Calibri"/>
          <w:lang w:eastAsia="ja-JP"/>
        </w:rPr>
        <w:t xml:space="preserve"> i izrađen</w:t>
      </w:r>
      <w:r>
        <w:rPr>
          <w:rFonts w:eastAsia="MS Mincho" w:cs="Calibri"/>
          <w:lang w:eastAsia="ja-JP"/>
        </w:rPr>
        <w:t>om</w:t>
      </w:r>
      <w:r w:rsidRPr="00636499">
        <w:rPr>
          <w:rFonts w:eastAsia="MS Mincho" w:cs="Calibri"/>
          <w:lang w:eastAsia="ja-JP"/>
        </w:rPr>
        <w:t xml:space="preserve"> investicijsk</w:t>
      </w:r>
      <w:r>
        <w:rPr>
          <w:rFonts w:eastAsia="MS Mincho" w:cs="Calibri"/>
          <w:lang w:eastAsia="ja-JP"/>
        </w:rPr>
        <w:t>om</w:t>
      </w:r>
      <w:r w:rsidRPr="00636499">
        <w:rPr>
          <w:rFonts w:eastAsia="MS Mincho" w:cs="Calibri"/>
          <w:lang w:eastAsia="ja-JP"/>
        </w:rPr>
        <w:t xml:space="preserve"> profil</w:t>
      </w:r>
      <w:r>
        <w:rPr>
          <w:rFonts w:eastAsia="MS Mincho" w:cs="Calibri"/>
          <w:lang w:eastAsia="ja-JP"/>
        </w:rPr>
        <w:t>u</w:t>
      </w:r>
      <w:r w:rsidRPr="00636499">
        <w:rPr>
          <w:rFonts w:eastAsia="MS Mincho" w:cs="Calibri"/>
          <w:lang w:eastAsia="ja-JP"/>
        </w:rPr>
        <w:t xml:space="preserve"> ze</w:t>
      </w:r>
      <w:r>
        <w:rPr>
          <w:rFonts w:eastAsia="MS Mincho" w:cs="Calibri"/>
          <w:lang w:eastAsia="ja-JP"/>
        </w:rPr>
        <w:t xml:space="preserve">mlje po sektorima te </w:t>
      </w:r>
      <w:proofErr w:type="spellStart"/>
      <w:r>
        <w:rPr>
          <w:rFonts w:eastAsia="MS Mincho" w:cs="Calibri"/>
          <w:lang w:eastAsia="ja-JP"/>
        </w:rPr>
        <w:t>brendiranju</w:t>
      </w:r>
      <w:proofErr w:type="spellEnd"/>
      <w:r>
        <w:rPr>
          <w:rFonts w:eastAsia="MS Mincho" w:cs="Calibri"/>
          <w:lang w:eastAsia="ja-JP"/>
        </w:rPr>
        <w:t xml:space="preserve"> regija i definiranju</w:t>
      </w:r>
      <w:r w:rsidRPr="00636499">
        <w:rPr>
          <w:rFonts w:eastAsia="MS Mincho" w:cs="Calibri"/>
          <w:lang w:eastAsia="ja-JP"/>
        </w:rPr>
        <w:t xml:space="preserve"> i razvoj</w:t>
      </w:r>
      <w:r>
        <w:rPr>
          <w:rFonts w:eastAsia="MS Mincho" w:cs="Calibri"/>
          <w:lang w:eastAsia="ja-JP"/>
        </w:rPr>
        <w:t>u</w:t>
      </w:r>
      <w:r w:rsidRPr="00636499">
        <w:rPr>
          <w:rFonts w:eastAsia="MS Mincho" w:cs="Calibri"/>
          <w:lang w:eastAsia="ja-JP"/>
        </w:rPr>
        <w:t xml:space="preserve"> </w:t>
      </w:r>
      <w:proofErr w:type="spellStart"/>
      <w:r w:rsidRPr="00636499">
        <w:rPr>
          <w:rFonts w:eastAsia="MS Mincho" w:cs="Calibri"/>
          <w:lang w:eastAsia="ja-JP"/>
        </w:rPr>
        <w:t>brendova</w:t>
      </w:r>
      <w:proofErr w:type="spellEnd"/>
      <w:r w:rsidRPr="00636499">
        <w:rPr>
          <w:rFonts w:eastAsia="MS Mincho" w:cs="Calibri"/>
          <w:lang w:eastAsia="ja-JP"/>
        </w:rPr>
        <w:t xml:space="preserve"> u okviru prioritetnih sektora  </w:t>
      </w:r>
      <w:r>
        <w:rPr>
          <w:rFonts w:eastAsia="MS Mincho" w:cs="Calibri"/>
          <w:lang w:eastAsia="ja-JP"/>
        </w:rPr>
        <w:t>RH</w:t>
      </w:r>
      <w:r w:rsidRPr="00636499">
        <w:rPr>
          <w:rFonts w:eastAsia="MS Mincho" w:cs="Calibri"/>
          <w:lang w:eastAsia="ja-JP"/>
        </w:rPr>
        <w:t xml:space="preserve">. </w:t>
      </w:r>
    </w:p>
    <w:p w:rsidR="000C1520" w:rsidRDefault="000C1520" w:rsidP="004A74EB">
      <w:pPr>
        <w:spacing w:after="0" w:line="264" w:lineRule="auto"/>
        <w:jc w:val="both"/>
        <w:rPr>
          <w:rFonts w:cs="Calibri"/>
          <w:b/>
        </w:rPr>
      </w:pPr>
    </w:p>
    <w:p w:rsidR="000C1520" w:rsidRDefault="000C1520" w:rsidP="004A74EB">
      <w:pPr>
        <w:spacing w:after="0" w:line="264" w:lineRule="auto"/>
        <w:jc w:val="both"/>
        <w:rPr>
          <w:rFonts w:cs="Calibri"/>
          <w:b/>
        </w:rPr>
      </w:pPr>
      <w:r>
        <w:rPr>
          <w:rFonts w:cs="Calibri"/>
          <w:b/>
        </w:rPr>
        <w:t>MJERE ZA OSTVARIVA</w:t>
      </w:r>
      <w:r w:rsidRPr="00636499">
        <w:rPr>
          <w:rFonts w:cs="Calibri"/>
          <w:b/>
        </w:rPr>
        <w:t>NJE CILJA</w:t>
      </w:r>
    </w:p>
    <w:p w:rsidR="009A4981" w:rsidRPr="00636499" w:rsidRDefault="009A4981" w:rsidP="004A74EB">
      <w:pPr>
        <w:spacing w:after="0" w:line="264" w:lineRule="auto"/>
        <w:jc w:val="both"/>
        <w:rPr>
          <w:rFonts w:cs="Calibri"/>
          <w:b/>
        </w:rPr>
      </w:pPr>
    </w:p>
    <w:p w:rsidR="000C1520" w:rsidRPr="008F277A" w:rsidRDefault="00D87C12" w:rsidP="008F277A">
      <w:pPr>
        <w:spacing w:after="0" w:line="360" w:lineRule="auto"/>
        <w:ind w:right="480"/>
        <w:jc w:val="both"/>
        <w:rPr>
          <w:rFonts w:eastAsia="MS Mincho" w:cs="Calibri"/>
          <w:lang w:eastAsia="ja-JP"/>
        </w:rPr>
      </w:pPr>
      <w:r>
        <w:rPr>
          <w:noProof/>
        </w:rPr>
        <w:drawing>
          <wp:anchor distT="0" distB="0" distL="906780" distR="902970" simplePos="0" relativeHeight="251657216" behindDoc="0" locked="0" layoutInCell="1" allowOverlap="1" wp14:anchorId="1C1B82AE" wp14:editId="66710B66">
            <wp:simplePos x="0" y="0"/>
            <wp:positionH relativeFrom="column">
              <wp:align>left</wp:align>
            </wp:positionH>
            <wp:positionV relativeFrom="paragraph">
              <wp:posOffset>815467</wp:posOffset>
            </wp:positionV>
            <wp:extent cx="5543550" cy="2190115"/>
            <wp:effectExtent l="0" t="0" r="0" b="19685"/>
            <wp:wrapSquare wrapText="bothSides"/>
            <wp:docPr id="14" name="Picture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r w:rsidR="000C1520" w:rsidRPr="00636499">
        <w:rPr>
          <w:rFonts w:eastAsia="MS Mincho" w:cs="Calibri"/>
          <w:lang w:eastAsia="ja-JP"/>
        </w:rPr>
        <w:t xml:space="preserve">Prioritetno područje „Promicanje </w:t>
      </w:r>
      <w:r w:rsidR="000C1520">
        <w:rPr>
          <w:rFonts w:eastAsia="MS Mincho" w:cs="Calibri"/>
          <w:lang w:eastAsia="ja-JP"/>
        </w:rPr>
        <w:t>RH</w:t>
      </w:r>
      <w:r w:rsidR="000C1520" w:rsidRPr="00636499">
        <w:rPr>
          <w:rFonts w:eastAsia="MS Mincho" w:cs="Calibri"/>
          <w:lang w:eastAsia="ja-JP"/>
        </w:rPr>
        <w:t xml:space="preserve"> kao poželjne investicijske destinacije“ uključuje slje</w:t>
      </w:r>
      <w:r w:rsidR="000C1520">
        <w:rPr>
          <w:rFonts w:eastAsia="MS Mincho" w:cs="Calibri"/>
          <w:lang w:eastAsia="ja-JP"/>
        </w:rPr>
        <w:t xml:space="preserve">deće </w:t>
      </w:r>
      <w:r w:rsidR="000C1520" w:rsidRPr="00636499">
        <w:rPr>
          <w:rFonts w:eastAsia="MS Mincho" w:cs="Calibri"/>
          <w:lang w:eastAsia="ja-JP"/>
        </w:rPr>
        <w:t xml:space="preserve">mjere: </w:t>
      </w:r>
    </w:p>
    <w:p w:rsidR="000C1520" w:rsidRPr="00AF566A" w:rsidRDefault="000C1520" w:rsidP="00D74ECD">
      <w:pPr>
        <w:pStyle w:val="Heading3"/>
      </w:pPr>
      <w:bookmarkStart w:id="41" w:name="_Toc351127611"/>
      <w:bookmarkStart w:id="42" w:name="_Toc373137868"/>
      <w:r w:rsidRPr="00AF566A">
        <w:lastRenderedPageBreak/>
        <w:t>3.2</w:t>
      </w:r>
      <w:r>
        <w:t>.</w:t>
      </w:r>
      <w:r w:rsidR="006E60AD">
        <w:t>1</w:t>
      </w:r>
      <w:r w:rsidR="00E603EE">
        <w:t xml:space="preserve">. </w:t>
      </w:r>
      <w:r w:rsidR="006E60AD">
        <w:t xml:space="preserve"> IZRADA I PROVEDBA KOMUNIKACIJ</w:t>
      </w:r>
      <w:r>
        <w:t>SKE</w:t>
      </w:r>
      <w:r w:rsidRPr="00AF566A">
        <w:t xml:space="preserve"> STRATEGIJE ZA POTICANJE INVEST</w:t>
      </w:r>
      <w:bookmarkEnd w:id="41"/>
      <w:r w:rsidRPr="00AF566A">
        <w:t>ICIJA</w:t>
      </w:r>
      <w:bookmarkEnd w:id="42"/>
    </w:p>
    <w:p w:rsidR="000C1520" w:rsidRPr="00636499" w:rsidRDefault="000C1520" w:rsidP="004A74EB">
      <w:pPr>
        <w:autoSpaceDE w:val="0"/>
        <w:autoSpaceDN w:val="0"/>
        <w:adjustRightInd w:val="0"/>
        <w:spacing w:after="0" w:line="264" w:lineRule="auto"/>
        <w:jc w:val="both"/>
        <w:rPr>
          <w:rFonts w:eastAsia="TTE22ACBD0t00" w:cs="Calibri"/>
        </w:rPr>
      </w:pPr>
    </w:p>
    <w:p w:rsidR="000C1520" w:rsidRDefault="000C1520" w:rsidP="007F64C9">
      <w:pPr>
        <w:autoSpaceDE w:val="0"/>
        <w:autoSpaceDN w:val="0"/>
        <w:adjustRightInd w:val="0"/>
        <w:spacing w:after="0" w:line="360" w:lineRule="auto"/>
        <w:jc w:val="both"/>
        <w:rPr>
          <w:rFonts w:eastAsia="TTE22ACBD0t00" w:cs="Calibri"/>
        </w:rPr>
      </w:pPr>
      <w:r w:rsidRPr="00636499">
        <w:rPr>
          <w:rFonts w:eastAsia="TTE22ACBD0t00" w:cs="Calibri"/>
        </w:rPr>
        <w:t xml:space="preserve">U procesu promocije </w:t>
      </w:r>
      <w:r>
        <w:rPr>
          <w:rFonts w:eastAsia="TTE22ACBD0t00" w:cs="Calibri"/>
        </w:rPr>
        <w:t>RH</w:t>
      </w:r>
      <w:r w:rsidRPr="00636499">
        <w:rPr>
          <w:rFonts w:eastAsia="TTE22ACBD0t00" w:cs="Calibri"/>
        </w:rPr>
        <w:t xml:space="preserve"> kao poželjne investicijske destinacije nužno je osigurati pot</w:t>
      </w:r>
      <w:r>
        <w:rPr>
          <w:rFonts w:eastAsia="TTE22ACBD0t00" w:cs="Calibri"/>
        </w:rPr>
        <w:t>punu informiranost svih dionika</w:t>
      </w:r>
      <w:r w:rsidRPr="00636499">
        <w:rPr>
          <w:rFonts w:eastAsia="TTE22ACBD0t00" w:cs="Calibri"/>
        </w:rPr>
        <w:t xml:space="preserve"> jer je to preduvjet </w:t>
      </w:r>
      <w:r>
        <w:rPr>
          <w:rFonts w:eastAsia="TTE22ACBD0t00" w:cs="Calibri"/>
        </w:rPr>
        <w:t>optimalne učinkovitosti i djelotvornost</w:t>
      </w:r>
      <w:r w:rsidRPr="00636499">
        <w:rPr>
          <w:rFonts w:eastAsia="TTE22ACBD0t00" w:cs="Calibri"/>
        </w:rPr>
        <w:t xml:space="preserve">i. S tim ciljem zajedno sa Strategijom poticanja investicija </w:t>
      </w:r>
      <w:r>
        <w:rPr>
          <w:rFonts w:eastAsia="TTE22ACBD0t00" w:cs="Calibri"/>
        </w:rPr>
        <w:t>RH</w:t>
      </w:r>
      <w:r w:rsidRPr="00636499">
        <w:rPr>
          <w:rFonts w:eastAsia="TTE22ACBD0t00" w:cs="Calibri"/>
        </w:rPr>
        <w:t>, izradit će se Komunikacijska strategija za poticanje investicija (dalje</w:t>
      </w:r>
      <w:r>
        <w:rPr>
          <w:rFonts w:eastAsia="TTE22ACBD0t00" w:cs="Calibri"/>
        </w:rPr>
        <w:t xml:space="preserve"> u tekstu</w:t>
      </w:r>
      <w:r w:rsidRPr="00636499">
        <w:rPr>
          <w:rFonts w:eastAsia="TTE22ACBD0t00" w:cs="Calibri"/>
        </w:rPr>
        <w:t>: Komunikacijska strategija) i pripadajući Komunikacijski akcijski plan</w:t>
      </w:r>
      <w:r>
        <w:rPr>
          <w:rFonts w:eastAsia="TTE22ACBD0t00" w:cs="Calibri"/>
        </w:rPr>
        <w:t xml:space="preserve"> (dalje u tekstu: Akcijski plan)</w:t>
      </w:r>
      <w:r w:rsidRPr="00636499">
        <w:rPr>
          <w:rFonts w:eastAsia="TTE22ACBD0t00" w:cs="Calibri"/>
        </w:rPr>
        <w:t>.</w:t>
      </w:r>
    </w:p>
    <w:p w:rsidR="000C1520" w:rsidRPr="00636499" w:rsidRDefault="000C1520" w:rsidP="007F64C9">
      <w:pPr>
        <w:autoSpaceDE w:val="0"/>
        <w:autoSpaceDN w:val="0"/>
        <w:adjustRightInd w:val="0"/>
        <w:spacing w:after="0" w:line="360" w:lineRule="auto"/>
        <w:jc w:val="both"/>
        <w:rPr>
          <w:rFonts w:eastAsia="TTE22ACBD0t00" w:cs="Calibri"/>
        </w:rPr>
      </w:pPr>
      <w:r w:rsidRPr="00636499">
        <w:rPr>
          <w:rFonts w:eastAsia="TTE22ACBD0t00" w:cs="Calibri"/>
        </w:rPr>
        <w:t>Komunikacijska st</w:t>
      </w:r>
      <w:r>
        <w:rPr>
          <w:rFonts w:eastAsia="TTE22ACBD0t00" w:cs="Calibri"/>
        </w:rPr>
        <w:t>rategija će uz pomoć detaljnog A</w:t>
      </w:r>
      <w:r w:rsidRPr="00636499">
        <w:rPr>
          <w:rFonts w:eastAsia="TTE22ACBD0t00" w:cs="Calibri"/>
        </w:rPr>
        <w:t>kcijskog plan</w:t>
      </w:r>
      <w:r>
        <w:rPr>
          <w:rFonts w:eastAsia="TTE22ACBD0t00" w:cs="Calibri"/>
        </w:rPr>
        <w:t>a usmjeravati</w:t>
      </w:r>
      <w:r w:rsidRPr="00636499">
        <w:rPr>
          <w:rFonts w:eastAsia="TTE22ACBD0t00" w:cs="Calibri"/>
        </w:rPr>
        <w:t xml:space="preserve"> proces komunikacije za vrijeme provedbe Strategije poticanja investicija. S obzirom na to da se Strategija poticanja investicija izrađuje za sedmo</w:t>
      </w:r>
      <w:r>
        <w:rPr>
          <w:rFonts w:eastAsia="TTE22ACBD0t00" w:cs="Calibri"/>
        </w:rPr>
        <w:t>godišnje razdoblje, planira se</w:t>
      </w:r>
      <w:r w:rsidRPr="00636499">
        <w:rPr>
          <w:rFonts w:eastAsia="TTE22ACBD0t00" w:cs="Calibri"/>
        </w:rPr>
        <w:t xml:space="preserve"> da će se i Komunikacijska strategija izraditi za isto razdoblje, dok će se Akcijski plan donositi na godišnjoj osnovi.</w:t>
      </w:r>
    </w:p>
    <w:p w:rsidR="000C1520" w:rsidRDefault="000C1520" w:rsidP="007F64C9">
      <w:pPr>
        <w:autoSpaceDE w:val="0"/>
        <w:autoSpaceDN w:val="0"/>
        <w:adjustRightInd w:val="0"/>
        <w:spacing w:after="0" w:line="360" w:lineRule="auto"/>
        <w:jc w:val="both"/>
        <w:rPr>
          <w:rFonts w:eastAsia="TTE22ACBD0t00" w:cs="Calibri"/>
        </w:rPr>
      </w:pPr>
    </w:p>
    <w:p w:rsidR="000C1520" w:rsidRPr="00636499" w:rsidRDefault="000C1520" w:rsidP="007F64C9">
      <w:pPr>
        <w:autoSpaceDE w:val="0"/>
        <w:autoSpaceDN w:val="0"/>
        <w:adjustRightInd w:val="0"/>
        <w:spacing w:after="0" w:line="360" w:lineRule="auto"/>
        <w:jc w:val="both"/>
        <w:rPr>
          <w:rFonts w:eastAsia="TTE22ACBD0t00" w:cs="Calibri"/>
          <w:b/>
        </w:rPr>
      </w:pPr>
      <w:r w:rsidRPr="00636499">
        <w:rPr>
          <w:rFonts w:eastAsia="TTE22ACBD0t00" w:cs="Calibri"/>
          <w:b/>
        </w:rPr>
        <w:t xml:space="preserve">Pet je ciljeva u okviru Komunikacijske strategije: </w:t>
      </w:r>
    </w:p>
    <w:p w:rsidR="000C1520" w:rsidRPr="00636499" w:rsidRDefault="000C1520" w:rsidP="0023474F">
      <w:pPr>
        <w:pStyle w:val="ListParagraph"/>
        <w:numPr>
          <w:ilvl w:val="0"/>
          <w:numId w:val="14"/>
        </w:numPr>
        <w:spacing w:after="0" w:line="360" w:lineRule="auto"/>
        <w:jc w:val="both"/>
        <w:rPr>
          <w:rFonts w:eastAsia="TTE22ACBD0t00" w:cs="Calibri"/>
        </w:rPr>
      </w:pPr>
      <w:r w:rsidRPr="00636499">
        <w:rPr>
          <w:rFonts w:eastAsia="TTE22ACBD0t00" w:cs="Calibri"/>
        </w:rPr>
        <w:t xml:space="preserve">Informirati javnost o važnosti poticanja investicija i promocije RH kao poželjne investicijske destinacije; </w:t>
      </w:r>
    </w:p>
    <w:p w:rsidR="000C1520" w:rsidRPr="00636499" w:rsidRDefault="000C1520" w:rsidP="0023474F">
      <w:pPr>
        <w:pStyle w:val="ListParagraph"/>
        <w:numPr>
          <w:ilvl w:val="0"/>
          <w:numId w:val="14"/>
        </w:numPr>
        <w:autoSpaceDE w:val="0"/>
        <w:autoSpaceDN w:val="0"/>
        <w:adjustRightInd w:val="0"/>
        <w:spacing w:after="0" w:line="360" w:lineRule="auto"/>
        <w:jc w:val="both"/>
        <w:rPr>
          <w:rFonts w:eastAsia="TTE22ACBD0t00" w:cs="Calibri"/>
        </w:rPr>
      </w:pPr>
      <w:r w:rsidRPr="00636499">
        <w:rPr>
          <w:rFonts w:eastAsia="TTE22ACBD0t00" w:cs="Calibri"/>
        </w:rPr>
        <w:t xml:space="preserve">Promovirati </w:t>
      </w:r>
      <w:r>
        <w:rPr>
          <w:rFonts w:eastAsia="TTE22ACBD0t00" w:cs="Calibri"/>
        </w:rPr>
        <w:t>RH</w:t>
      </w:r>
      <w:r w:rsidRPr="00636499">
        <w:rPr>
          <w:rFonts w:eastAsia="TTE22ACBD0t00" w:cs="Calibri"/>
        </w:rPr>
        <w:t xml:space="preserve"> kao poželjnu investicijsku destinaciju;</w:t>
      </w:r>
    </w:p>
    <w:p w:rsidR="000C1520" w:rsidRPr="00636499" w:rsidRDefault="000C1520" w:rsidP="0023474F">
      <w:pPr>
        <w:pStyle w:val="ListParagraph"/>
        <w:numPr>
          <w:ilvl w:val="0"/>
          <w:numId w:val="14"/>
        </w:numPr>
        <w:autoSpaceDE w:val="0"/>
        <w:autoSpaceDN w:val="0"/>
        <w:adjustRightInd w:val="0"/>
        <w:spacing w:after="0" w:line="360" w:lineRule="auto"/>
        <w:jc w:val="both"/>
        <w:rPr>
          <w:rFonts w:eastAsia="TTE22ACBD0t00" w:cs="Calibri"/>
        </w:rPr>
      </w:pPr>
      <w:r w:rsidRPr="00636499">
        <w:rPr>
          <w:rFonts w:eastAsia="TTE22ACBD0t00" w:cs="Calibri"/>
        </w:rPr>
        <w:t xml:space="preserve">Informirati potencijalne investitore o mogućnostima investiranja u </w:t>
      </w:r>
      <w:r>
        <w:rPr>
          <w:rFonts w:eastAsia="TTE22ACBD0t00" w:cs="Calibri"/>
        </w:rPr>
        <w:t>RH</w:t>
      </w:r>
      <w:r w:rsidRPr="00636499">
        <w:rPr>
          <w:rFonts w:eastAsia="TTE22ACBD0t00" w:cs="Calibri"/>
        </w:rPr>
        <w:t xml:space="preserve"> i o potencijalima hrvatskog gospodarstva;</w:t>
      </w:r>
    </w:p>
    <w:p w:rsidR="000C1520" w:rsidRPr="00636499" w:rsidRDefault="000C1520" w:rsidP="0023474F">
      <w:pPr>
        <w:pStyle w:val="ListParagraph"/>
        <w:numPr>
          <w:ilvl w:val="0"/>
          <w:numId w:val="14"/>
        </w:numPr>
        <w:autoSpaceDE w:val="0"/>
        <w:autoSpaceDN w:val="0"/>
        <w:adjustRightInd w:val="0"/>
        <w:spacing w:after="0" w:line="360" w:lineRule="auto"/>
        <w:jc w:val="both"/>
        <w:rPr>
          <w:rFonts w:cs="Calibri"/>
        </w:rPr>
      </w:pPr>
      <w:r w:rsidRPr="00636499">
        <w:rPr>
          <w:rFonts w:eastAsia="TTE22ACBD0t00" w:cs="Calibri"/>
        </w:rPr>
        <w:t xml:space="preserve">Osigurati stalnu transparentnost provedbe aktivnosti za poticanje investicija </w:t>
      </w:r>
      <w:r>
        <w:rPr>
          <w:rFonts w:eastAsia="TTE22ACBD0t00" w:cs="Calibri"/>
        </w:rPr>
        <w:t>u RH;</w:t>
      </w:r>
    </w:p>
    <w:p w:rsidR="000C1520" w:rsidRDefault="000C1520" w:rsidP="0023474F">
      <w:pPr>
        <w:pStyle w:val="ListParagraph"/>
        <w:numPr>
          <w:ilvl w:val="0"/>
          <w:numId w:val="14"/>
        </w:numPr>
        <w:autoSpaceDE w:val="0"/>
        <w:autoSpaceDN w:val="0"/>
        <w:adjustRightInd w:val="0"/>
        <w:spacing w:after="0" w:line="360" w:lineRule="auto"/>
        <w:jc w:val="both"/>
        <w:rPr>
          <w:rFonts w:cs="Calibri"/>
        </w:rPr>
      </w:pPr>
      <w:r w:rsidRPr="00636499">
        <w:rPr>
          <w:rFonts w:eastAsia="TTE22ACBD0t00" w:cs="Calibri"/>
        </w:rPr>
        <w:t>Usklađivati sve komunikacijske aktivnosti koje provode partnerske institucije obuhvaćene Strategijom i</w:t>
      </w:r>
      <w:r w:rsidRPr="00636499">
        <w:rPr>
          <w:rFonts w:cs="Calibri"/>
        </w:rPr>
        <w:t xml:space="preserve"> umrežiti osobe koje rade na informiranju i promidžbi RH</w:t>
      </w:r>
      <w:r>
        <w:rPr>
          <w:rFonts w:cs="Calibri"/>
        </w:rPr>
        <w:t>;</w:t>
      </w:r>
    </w:p>
    <w:p w:rsidR="000C1520" w:rsidRPr="00AF566A" w:rsidRDefault="000C1520" w:rsidP="00D74ECD">
      <w:pPr>
        <w:pStyle w:val="Heading3"/>
      </w:pPr>
      <w:bookmarkStart w:id="43" w:name="_Toc351127612"/>
      <w:bookmarkStart w:id="44" w:name="_Toc373137869"/>
      <w:r>
        <w:t>3.2.2</w:t>
      </w:r>
      <w:r w:rsidR="00E603EE">
        <w:t xml:space="preserve">. </w:t>
      </w:r>
      <w:r>
        <w:t>IZRADA HRVATSKOG „PAKETA PREDNOSTI“</w:t>
      </w:r>
      <w:r w:rsidRPr="00AF566A">
        <w:t xml:space="preserve"> I INVESTICIJSKOG PROFILA ZEMLJE PO SEKTORIMA</w:t>
      </w:r>
      <w:bookmarkEnd w:id="43"/>
      <w:bookmarkEnd w:id="44"/>
    </w:p>
    <w:p w:rsidR="000C1520" w:rsidRPr="00636499" w:rsidRDefault="000C1520" w:rsidP="002A38FA">
      <w:pPr>
        <w:pStyle w:val="ListParagraph"/>
        <w:spacing w:after="0" w:line="264" w:lineRule="auto"/>
        <w:ind w:left="284"/>
        <w:jc w:val="both"/>
        <w:rPr>
          <w:rFonts w:cs="Calibri"/>
          <w:b/>
        </w:rPr>
      </w:pPr>
    </w:p>
    <w:p w:rsidR="000C1520" w:rsidRPr="00636499" w:rsidRDefault="000C1520" w:rsidP="007F64C9">
      <w:pPr>
        <w:spacing w:after="0" w:line="360" w:lineRule="auto"/>
        <w:jc w:val="both"/>
        <w:rPr>
          <w:rFonts w:cs="Calibri"/>
        </w:rPr>
      </w:pPr>
      <w:r w:rsidRPr="00636499">
        <w:rPr>
          <w:rFonts w:cs="Calibri"/>
        </w:rPr>
        <w:t>Republika Hrvatska pouzdan je gospodarski partner sa značajnim investicijskim potencijalom, a</w:t>
      </w:r>
      <w:r>
        <w:rPr>
          <w:rFonts w:cs="Calibri"/>
        </w:rPr>
        <w:t xml:space="preserve"> uz povoljan geografski položaj</w:t>
      </w:r>
      <w:r w:rsidRPr="00636499">
        <w:rPr>
          <w:rFonts w:cs="Calibri"/>
        </w:rPr>
        <w:t xml:space="preserve"> investitorima nudi kvalitetnu i motiviranu radnu snagu, </w:t>
      </w:r>
      <w:r>
        <w:rPr>
          <w:rFonts w:cs="Calibri"/>
        </w:rPr>
        <w:t xml:space="preserve">kao i </w:t>
      </w:r>
      <w:r w:rsidRPr="00636499">
        <w:rPr>
          <w:rFonts w:cs="Calibri"/>
        </w:rPr>
        <w:t xml:space="preserve">razvijenu javnu, poslovnu i znanstveno-istraživačku infrastrukturu.  </w:t>
      </w:r>
    </w:p>
    <w:p w:rsidR="000C1520" w:rsidRPr="00636499" w:rsidRDefault="000C1520" w:rsidP="007F64C9">
      <w:pPr>
        <w:spacing w:after="0" w:line="360" w:lineRule="auto"/>
        <w:jc w:val="both"/>
        <w:rPr>
          <w:rFonts w:cs="Calibri"/>
        </w:rPr>
      </w:pPr>
    </w:p>
    <w:p w:rsidR="000C1520" w:rsidRPr="00962292" w:rsidRDefault="000C1520" w:rsidP="00D46419">
      <w:pPr>
        <w:spacing w:after="0" w:line="360" w:lineRule="auto"/>
        <w:jc w:val="both"/>
        <w:rPr>
          <w:rFonts w:cs="Calibri"/>
        </w:rPr>
      </w:pPr>
      <w:r w:rsidRPr="00F87016">
        <w:rPr>
          <w:rFonts w:cs="Calibri"/>
        </w:rPr>
        <w:t>R</w:t>
      </w:r>
      <w:r>
        <w:rPr>
          <w:rFonts w:cs="Calibri"/>
        </w:rPr>
        <w:t>epublika Hrvatska utvrdila</w:t>
      </w:r>
      <w:r w:rsidRPr="00F87016">
        <w:rPr>
          <w:rFonts w:cs="Calibri"/>
        </w:rPr>
        <w:t xml:space="preserve"> je, uz turistički sektor, promet i log</w:t>
      </w:r>
      <w:r>
        <w:rPr>
          <w:rFonts w:cs="Calibri"/>
        </w:rPr>
        <w:t>istiku te</w:t>
      </w:r>
      <w:r w:rsidRPr="00F87016">
        <w:rPr>
          <w:rFonts w:cs="Calibri"/>
        </w:rPr>
        <w:t xml:space="preserve"> sektor energetske učinkovitosti i obnovljivih izvora energije, dvanaest prioritetnih sektora prerađivačke industrije</w:t>
      </w:r>
      <w:r w:rsidRPr="00F87016">
        <w:rPr>
          <w:rStyle w:val="FootnoteReference"/>
          <w:rFonts w:cs="Calibri"/>
        </w:rPr>
        <w:footnoteReference w:id="47"/>
      </w:r>
      <w:r>
        <w:rPr>
          <w:rFonts w:cs="Calibri"/>
        </w:rPr>
        <w:t xml:space="preserve"> za razvoj </w:t>
      </w:r>
      <w:r w:rsidRPr="00F87016">
        <w:rPr>
          <w:rFonts w:cs="Calibri"/>
        </w:rPr>
        <w:t>do 2020. godine.</w:t>
      </w:r>
      <w:r w:rsidRPr="00636499">
        <w:rPr>
          <w:rFonts w:cs="Calibri"/>
        </w:rPr>
        <w:t xml:space="preserve"> Za prioritetne sektore u </w:t>
      </w:r>
      <w:r>
        <w:rPr>
          <w:rFonts w:cs="Calibri"/>
        </w:rPr>
        <w:t>RH potrebno je</w:t>
      </w:r>
      <w:r w:rsidRPr="00636499">
        <w:rPr>
          <w:rFonts w:cs="Calibri"/>
        </w:rPr>
        <w:t xml:space="preserve"> izraditi investicijski profil kako bi se omogućilo ciljano privlačenje investicija u određeni sektor zbog popunjavanja praznina u sektorskom </w:t>
      </w:r>
      <w:r w:rsidRPr="00636499">
        <w:rPr>
          <w:rFonts w:cs="Calibri"/>
        </w:rPr>
        <w:lastRenderedPageBreak/>
        <w:t xml:space="preserve">lancu vrijednosti ili lancu dobavljača, poticanja istraživanja, tehnološkog razvoja i primjene inovacija te jačanja konkurentnosti sektora i povećanja izvoza.  Kako bi se povećala konkurentnost utvrđenih prioritetnih sektora u </w:t>
      </w:r>
      <w:r>
        <w:rPr>
          <w:rFonts w:cs="Calibri"/>
        </w:rPr>
        <w:t>RH,</w:t>
      </w:r>
      <w:r w:rsidRPr="00636499">
        <w:rPr>
          <w:rFonts w:cs="Calibri"/>
        </w:rPr>
        <w:t xml:space="preserve"> prepoznat je značaj horizontalnih sektora kao što su </w:t>
      </w:r>
      <w:r>
        <w:rPr>
          <w:rFonts w:cs="Calibri"/>
        </w:rPr>
        <w:t>bio</w:t>
      </w:r>
      <w:r w:rsidRPr="00DA3C56">
        <w:rPr>
          <w:rFonts w:cs="Calibri"/>
        </w:rPr>
        <w:t xml:space="preserve">tehnologija, </w:t>
      </w:r>
      <w:proofErr w:type="spellStart"/>
      <w:r w:rsidRPr="00DA3C56">
        <w:rPr>
          <w:rFonts w:cs="Calibri"/>
        </w:rPr>
        <w:t>nanotehnologija</w:t>
      </w:r>
      <w:proofErr w:type="spellEnd"/>
      <w:r w:rsidRPr="00DA3C56">
        <w:rPr>
          <w:rFonts w:cs="Calibri"/>
        </w:rPr>
        <w:t xml:space="preserve">, mikro i </w:t>
      </w:r>
      <w:proofErr w:type="spellStart"/>
      <w:r w:rsidRPr="00DA3C56">
        <w:rPr>
          <w:rFonts w:cs="Calibri"/>
        </w:rPr>
        <w:t>nano</w:t>
      </w:r>
      <w:proofErr w:type="spellEnd"/>
      <w:r w:rsidRPr="00DA3C56">
        <w:rPr>
          <w:rFonts w:cs="Calibri"/>
        </w:rPr>
        <w:t xml:space="preserve"> elektronika i </w:t>
      </w:r>
      <w:proofErr w:type="spellStart"/>
      <w:r w:rsidRPr="00DA3C56">
        <w:rPr>
          <w:rFonts w:cs="Calibri"/>
        </w:rPr>
        <w:t>fotonika</w:t>
      </w:r>
      <w:proofErr w:type="spellEnd"/>
      <w:r w:rsidRPr="00DA3C56">
        <w:rPr>
          <w:rFonts w:cs="Calibri"/>
        </w:rPr>
        <w:t xml:space="preserve">, </w:t>
      </w:r>
      <w:r>
        <w:rPr>
          <w:rFonts w:cs="Calibri"/>
        </w:rPr>
        <w:t xml:space="preserve">te </w:t>
      </w:r>
      <w:r w:rsidRPr="00DA3C56">
        <w:rPr>
          <w:rFonts w:cs="Calibri"/>
        </w:rPr>
        <w:t xml:space="preserve">napredni materijali i tehnologije. </w:t>
      </w:r>
      <w:r w:rsidRPr="00636499">
        <w:rPr>
          <w:rFonts w:cs="Calibri"/>
        </w:rPr>
        <w:t>Oni bi u budućnosti trebali jačati konkurentnost tradicionalne industrije putem primjene inovacija i nove tehnologije.</w:t>
      </w:r>
    </w:p>
    <w:p w:rsidR="000C1520" w:rsidRPr="00636499" w:rsidRDefault="000C1520" w:rsidP="007F64C9">
      <w:pPr>
        <w:spacing w:line="360" w:lineRule="auto"/>
        <w:jc w:val="both"/>
        <w:rPr>
          <w:rFonts w:cs="Calibri"/>
        </w:rPr>
      </w:pPr>
      <w:r w:rsidRPr="00636499">
        <w:rPr>
          <w:rFonts w:cs="Calibri"/>
        </w:rPr>
        <w:t xml:space="preserve">Također, u cilju stvaranja imidža </w:t>
      </w:r>
      <w:r>
        <w:rPr>
          <w:rFonts w:cs="Calibri"/>
        </w:rPr>
        <w:t>RH</w:t>
      </w:r>
      <w:r w:rsidRPr="00636499">
        <w:rPr>
          <w:rFonts w:cs="Calibri"/>
        </w:rPr>
        <w:t xml:space="preserve"> kao atraktivne</w:t>
      </w:r>
      <w:r>
        <w:rPr>
          <w:rFonts w:cs="Calibri"/>
        </w:rPr>
        <w:t xml:space="preserve"> zemlje za investicije u turizmu, u smislu jednog</w:t>
      </w:r>
      <w:r w:rsidRPr="00636499">
        <w:rPr>
          <w:rFonts w:cs="Calibri"/>
        </w:rPr>
        <w:t xml:space="preserve"> od prioritetnih sek</w:t>
      </w:r>
      <w:r>
        <w:rPr>
          <w:rFonts w:cs="Calibri"/>
        </w:rPr>
        <w:t>tora za razvoj RH predviđa se</w:t>
      </w:r>
      <w:r w:rsidRPr="00636499">
        <w:rPr>
          <w:rFonts w:cs="Calibri"/>
        </w:rPr>
        <w:t xml:space="preserve"> </w:t>
      </w:r>
      <w:r>
        <w:rPr>
          <w:rFonts w:cs="Calibri"/>
        </w:rPr>
        <w:t xml:space="preserve">sljedeće: </w:t>
      </w:r>
      <w:r w:rsidRPr="00636499">
        <w:rPr>
          <w:rFonts w:cs="Calibri"/>
        </w:rPr>
        <w:t>osiguranje provedbe svih natječaja sukladno standardnim međunarodnim procedurama i jasnom projektnom zadatku (</w:t>
      </w:r>
      <w:proofErr w:type="spellStart"/>
      <w:r>
        <w:rPr>
          <w:rFonts w:cs="Calibri"/>
        </w:rPr>
        <w:t>eng</w:t>
      </w:r>
      <w:proofErr w:type="spellEnd"/>
      <w:r>
        <w:rPr>
          <w:rFonts w:cs="Calibri"/>
        </w:rPr>
        <w:t>.</w:t>
      </w:r>
      <w:r>
        <w:rPr>
          <w:rFonts w:cs="Calibri"/>
          <w:i/>
          <w:iCs/>
        </w:rPr>
        <w:t xml:space="preserve"> </w:t>
      </w:r>
      <w:proofErr w:type="spellStart"/>
      <w:r w:rsidRPr="00AA2753">
        <w:rPr>
          <w:rFonts w:cs="Calibri"/>
          <w:iCs/>
        </w:rPr>
        <w:t>terms</w:t>
      </w:r>
      <w:proofErr w:type="spellEnd"/>
      <w:r w:rsidRPr="00AA2753">
        <w:rPr>
          <w:rFonts w:cs="Calibri"/>
          <w:iCs/>
        </w:rPr>
        <w:t xml:space="preserve"> </w:t>
      </w:r>
      <w:proofErr w:type="spellStart"/>
      <w:r w:rsidRPr="00AA2753">
        <w:rPr>
          <w:rFonts w:cs="Calibri"/>
          <w:iCs/>
        </w:rPr>
        <w:t>of</w:t>
      </w:r>
      <w:proofErr w:type="spellEnd"/>
      <w:r w:rsidRPr="00AA2753">
        <w:rPr>
          <w:rFonts w:cs="Calibri"/>
          <w:iCs/>
        </w:rPr>
        <w:t xml:space="preserve"> reference</w:t>
      </w:r>
      <w:r w:rsidRPr="00AA2753">
        <w:rPr>
          <w:rFonts w:cs="Calibri"/>
        </w:rPr>
        <w:t>)</w:t>
      </w:r>
      <w:r w:rsidRPr="00636499">
        <w:rPr>
          <w:rFonts w:cs="Calibri"/>
        </w:rPr>
        <w:t xml:space="preserve"> na temelju kojeg će potencijalni investitor dobiti jasan uvid u lokaciju i opremljenost razvojne zone, veličinu i strukturu ulaganja, prihvatljiv poslovno-upravljački model, način uključivanja/sudjelovanja u inv</w:t>
      </w:r>
      <w:r>
        <w:rPr>
          <w:rFonts w:cs="Calibri"/>
        </w:rPr>
        <w:t>esticijskom natjecanju i slično;</w:t>
      </w:r>
      <w:r w:rsidRPr="00636499">
        <w:rPr>
          <w:rFonts w:cs="Calibri"/>
        </w:rPr>
        <w:t xml:space="preserve"> potom organizac</w:t>
      </w:r>
      <w:r>
        <w:rPr>
          <w:rFonts w:cs="Calibri"/>
        </w:rPr>
        <w:t>ija investicijskih konferencija;</w:t>
      </w:r>
      <w:r w:rsidRPr="00636499">
        <w:rPr>
          <w:rFonts w:cs="Calibri"/>
        </w:rPr>
        <w:t xml:space="preserve"> uspostavljanje središnjeg mjesta informiranja potencijalnih </w:t>
      </w:r>
      <w:r>
        <w:rPr>
          <w:rFonts w:cs="Calibri"/>
        </w:rPr>
        <w:t>investitora na području turizma;</w:t>
      </w:r>
      <w:r w:rsidRPr="00636499">
        <w:rPr>
          <w:rFonts w:cs="Calibri"/>
        </w:rPr>
        <w:t xml:space="preserve"> detaljna katalogizacija</w:t>
      </w:r>
      <w:r>
        <w:rPr>
          <w:rFonts w:cs="Calibri"/>
        </w:rPr>
        <w:t xml:space="preserve"> državne imovine i izrada popisa</w:t>
      </w:r>
      <w:r w:rsidRPr="00636499">
        <w:rPr>
          <w:rFonts w:cs="Calibri"/>
        </w:rPr>
        <w:t xml:space="preserve"> tržišno spremnih turističkih investicijskih projekata</w:t>
      </w:r>
      <w:r>
        <w:rPr>
          <w:rFonts w:cs="Calibri"/>
        </w:rPr>
        <w:t>,</w:t>
      </w:r>
      <w:r w:rsidRPr="00636499">
        <w:rPr>
          <w:rFonts w:cs="Calibri"/>
        </w:rPr>
        <w:t xml:space="preserve"> te sustavan obilazak globalno prepoznatih investitora i/ili kreatora imidža (</w:t>
      </w:r>
      <w:proofErr w:type="spellStart"/>
      <w:r>
        <w:rPr>
          <w:rFonts w:cs="Calibri"/>
        </w:rPr>
        <w:t>eng</w:t>
      </w:r>
      <w:proofErr w:type="spellEnd"/>
      <w:r>
        <w:rPr>
          <w:rFonts w:cs="Calibri"/>
        </w:rPr>
        <w:t xml:space="preserve">. </w:t>
      </w:r>
      <w:proofErr w:type="spellStart"/>
      <w:r w:rsidRPr="00AA2753">
        <w:rPr>
          <w:rFonts w:cs="Calibri"/>
          <w:iCs/>
        </w:rPr>
        <w:t>road</w:t>
      </w:r>
      <w:proofErr w:type="spellEnd"/>
      <w:r w:rsidRPr="00AA2753">
        <w:rPr>
          <w:rFonts w:cs="Calibri"/>
          <w:iCs/>
        </w:rPr>
        <w:t xml:space="preserve"> </w:t>
      </w:r>
      <w:proofErr w:type="spellStart"/>
      <w:r w:rsidRPr="00AA2753">
        <w:rPr>
          <w:rFonts w:cs="Calibri"/>
          <w:iCs/>
        </w:rPr>
        <w:t>show</w:t>
      </w:r>
      <w:proofErr w:type="spellEnd"/>
      <w:r w:rsidRPr="00636499">
        <w:rPr>
          <w:rFonts w:cs="Calibri"/>
        </w:rPr>
        <w:t>).</w:t>
      </w:r>
    </w:p>
    <w:p w:rsidR="000C1520" w:rsidRPr="00AF566A" w:rsidRDefault="000C1520" w:rsidP="00D74ECD">
      <w:pPr>
        <w:pStyle w:val="Heading3"/>
      </w:pPr>
      <w:bookmarkStart w:id="45" w:name="_Toc351127613"/>
      <w:bookmarkStart w:id="46" w:name="_Toc373137870"/>
      <w:r w:rsidRPr="00AF566A">
        <w:t>3.2.3</w:t>
      </w:r>
      <w:r w:rsidR="00E603EE">
        <w:t xml:space="preserve">. </w:t>
      </w:r>
      <w:r w:rsidRPr="00AF566A">
        <w:t xml:space="preserve"> SEKTORSKO BRENDIRANJE I BRENDIRANJE REGIJA</w:t>
      </w:r>
      <w:bookmarkEnd w:id="45"/>
      <w:r w:rsidRPr="00AF566A">
        <w:t xml:space="preserve"> I VELIKIH GRADOVA</w:t>
      </w:r>
      <w:bookmarkEnd w:id="46"/>
    </w:p>
    <w:p w:rsidR="000C1520" w:rsidRPr="00636499" w:rsidRDefault="000C1520" w:rsidP="002A38FA">
      <w:pPr>
        <w:pStyle w:val="ListParagraph"/>
        <w:spacing w:after="0" w:line="264" w:lineRule="auto"/>
        <w:ind w:left="426"/>
        <w:jc w:val="both"/>
        <w:rPr>
          <w:rFonts w:cs="Calibri"/>
          <w:b/>
        </w:rPr>
      </w:pPr>
    </w:p>
    <w:p w:rsidR="000C1520" w:rsidRPr="00636499" w:rsidRDefault="000C1520" w:rsidP="007F64C9">
      <w:pPr>
        <w:spacing w:after="0" w:line="360" w:lineRule="auto"/>
        <w:jc w:val="both"/>
        <w:rPr>
          <w:rFonts w:cs="Calibri"/>
        </w:rPr>
      </w:pPr>
      <w:r w:rsidRPr="00636499">
        <w:rPr>
          <w:rFonts w:cs="Calibri"/>
        </w:rPr>
        <w:t>Svijet</w:t>
      </w:r>
      <w:r>
        <w:rPr>
          <w:rFonts w:cs="Calibri"/>
        </w:rPr>
        <w:t xml:space="preserve"> se danas sve više zasniva</w:t>
      </w:r>
      <w:r w:rsidRPr="00636499">
        <w:rPr>
          <w:rFonts w:cs="Calibri"/>
        </w:rPr>
        <w:t xml:space="preserve"> na </w:t>
      </w:r>
      <w:r w:rsidRPr="00636499">
        <w:rPr>
          <w:rFonts w:cs="Calibri"/>
          <w:bCs/>
        </w:rPr>
        <w:t>specijalizaciji</w:t>
      </w:r>
      <w:r>
        <w:rPr>
          <w:rFonts w:cs="Calibri"/>
        </w:rPr>
        <w:t>. Stvara se jedno</w:t>
      </w:r>
      <w:r w:rsidRPr="00636499">
        <w:rPr>
          <w:rFonts w:cs="Calibri"/>
        </w:rPr>
        <w:t xml:space="preserve"> </w:t>
      </w:r>
      <w:r w:rsidRPr="00636499">
        <w:rPr>
          <w:rFonts w:cs="Calibri"/>
          <w:bCs/>
        </w:rPr>
        <w:t xml:space="preserve">globalno tržište. </w:t>
      </w:r>
      <w:r w:rsidRPr="00636499">
        <w:rPr>
          <w:rFonts w:cs="Calibri"/>
        </w:rPr>
        <w:t xml:space="preserve">Zasnovanost na razvoju i različitosti zemalja i regija postaje </w:t>
      </w:r>
      <w:r w:rsidRPr="00636499">
        <w:rPr>
          <w:rFonts w:cs="Calibri"/>
          <w:bCs/>
        </w:rPr>
        <w:t>nova vrsta konkurentnosti globalne ekonomije</w:t>
      </w:r>
      <w:r w:rsidRPr="00636499">
        <w:rPr>
          <w:rFonts w:cs="Calibri"/>
        </w:rPr>
        <w:t>. Osnovne determinante konkurentnosti su kvaliteta i mobilnost radne snage, razvijena osnovna i poslovna infrastruktura, povoljna poduzetnička klima, pozitivno i poticajno okruženje za investicije i inovacije, umreženost javnog, poslovnog i znanstveno-i</w:t>
      </w:r>
      <w:r>
        <w:rPr>
          <w:rFonts w:cs="Calibri"/>
        </w:rPr>
        <w:t>straživačkog sektora, učinkovitost</w:t>
      </w:r>
      <w:r w:rsidRPr="00636499">
        <w:rPr>
          <w:rFonts w:cs="Calibri"/>
        </w:rPr>
        <w:t xml:space="preserve"> javnih institucija, problematika o</w:t>
      </w:r>
      <w:r>
        <w:rPr>
          <w:rFonts w:cs="Calibri"/>
        </w:rPr>
        <w:t xml:space="preserve">koliša i sektorsko </w:t>
      </w:r>
      <w:proofErr w:type="spellStart"/>
      <w:r>
        <w:rPr>
          <w:rFonts w:cs="Calibri"/>
        </w:rPr>
        <w:t>brendiranje</w:t>
      </w:r>
      <w:proofErr w:type="spellEnd"/>
      <w:r>
        <w:rPr>
          <w:rFonts w:cs="Calibri"/>
        </w:rPr>
        <w:t xml:space="preserve"> te </w:t>
      </w:r>
      <w:proofErr w:type="spellStart"/>
      <w:r>
        <w:rPr>
          <w:rFonts w:cs="Calibri"/>
        </w:rPr>
        <w:t>brendiranje</w:t>
      </w:r>
      <w:proofErr w:type="spellEnd"/>
      <w:r>
        <w:rPr>
          <w:rFonts w:cs="Calibri"/>
        </w:rPr>
        <w:t xml:space="preserve"> lokacija.</w:t>
      </w:r>
      <w:r w:rsidRPr="00636499">
        <w:rPr>
          <w:rFonts w:cs="Calibri"/>
        </w:rPr>
        <w:t xml:space="preserve"> Sektorsko </w:t>
      </w:r>
      <w:proofErr w:type="spellStart"/>
      <w:r w:rsidRPr="00636499">
        <w:rPr>
          <w:rFonts w:cs="Calibri"/>
        </w:rPr>
        <w:t>brend</w:t>
      </w:r>
      <w:r>
        <w:rPr>
          <w:rFonts w:cs="Calibri"/>
        </w:rPr>
        <w:t>iranje</w:t>
      </w:r>
      <w:proofErr w:type="spellEnd"/>
      <w:r>
        <w:rPr>
          <w:rFonts w:cs="Calibri"/>
        </w:rPr>
        <w:t xml:space="preserve"> i </w:t>
      </w:r>
      <w:proofErr w:type="spellStart"/>
      <w:r>
        <w:rPr>
          <w:rFonts w:cs="Calibri"/>
        </w:rPr>
        <w:t>brendiranje</w:t>
      </w:r>
      <w:proofErr w:type="spellEnd"/>
      <w:r>
        <w:rPr>
          <w:rFonts w:cs="Calibri"/>
        </w:rPr>
        <w:t xml:space="preserve"> lokacija</w:t>
      </w:r>
      <w:r w:rsidRPr="00636499">
        <w:rPr>
          <w:rFonts w:cs="Calibri"/>
        </w:rPr>
        <w:t xml:space="preserve"> novi </w:t>
      </w:r>
      <w:r>
        <w:rPr>
          <w:rFonts w:cs="Calibri"/>
        </w:rPr>
        <w:t xml:space="preserve">je </w:t>
      </w:r>
      <w:r w:rsidRPr="00636499">
        <w:rPr>
          <w:rFonts w:cs="Calibri"/>
        </w:rPr>
        <w:t>način promidž</w:t>
      </w:r>
      <w:r>
        <w:rPr>
          <w:rFonts w:cs="Calibri"/>
        </w:rPr>
        <w:t>be nacionalnog gospodarstva pri čemu</w:t>
      </w:r>
      <w:r w:rsidRPr="00636499">
        <w:rPr>
          <w:rFonts w:cs="Calibri"/>
        </w:rPr>
        <w:t xml:space="preserve"> se ciljanom komunikacijom određenog sektora ili investicijske lokacije povećava njihova atraktivnost za privlačenje novih investicija i ljudskih potencij</w:t>
      </w:r>
      <w:r>
        <w:rPr>
          <w:rFonts w:cs="Calibri"/>
        </w:rPr>
        <w:t xml:space="preserve">ala s naglaskom na </w:t>
      </w:r>
      <w:proofErr w:type="spellStart"/>
      <w:r w:rsidRPr="00AA2753">
        <w:rPr>
          <w:rFonts w:cs="Calibri"/>
          <w:i/>
        </w:rPr>
        <w:t>world</w:t>
      </w:r>
      <w:proofErr w:type="spellEnd"/>
      <w:r w:rsidRPr="00AA2753">
        <w:rPr>
          <w:rFonts w:cs="Calibri"/>
          <w:i/>
        </w:rPr>
        <w:t xml:space="preserve"> </w:t>
      </w:r>
      <w:proofErr w:type="spellStart"/>
      <w:r w:rsidRPr="00AA2753">
        <w:rPr>
          <w:rFonts w:cs="Calibri"/>
          <w:i/>
        </w:rPr>
        <w:t>class</w:t>
      </w:r>
      <w:proofErr w:type="spellEnd"/>
      <w:r w:rsidRPr="00636499">
        <w:rPr>
          <w:rFonts w:cs="Calibri"/>
        </w:rPr>
        <w:t xml:space="preserve"> istraživače i inovatore. </w:t>
      </w:r>
    </w:p>
    <w:p w:rsidR="000C1520" w:rsidRDefault="000C1520" w:rsidP="00D46419">
      <w:pPr>
        <w:spacing w:after="0" w:line="360" w:lineRule="auto"/>
        <w:jc w:val="both"/>
        <w:rPr>
          <w:rFonts w:cs="Calibri"/>
        </w:rPr>
      </w:pPr>
      <w:r w:rsidRPr="00636499">
        <w:rPr>
          <w:rFonts w:eastAsia="Microsoft JhengHei" w:cs="Calibri"/>
        </w:rPr>
        <w:t>S obzirom na nastojanje da svoje gospodarstvo i tržište integrira u globalni kontekst,</w:t>
      </w:r>
      <w:r>
        <w:rPr>
          <w:rFonts w:eastAsia="Microsoft JhengHei" w:cs="Calibri"/>
        </w:rPr>
        <w:t xml:space="preserve"> RH</w:t>
      </w:r>
      <w:r w:rsidRPr="00636499">
        <w:rPr>
          <w:rFonts w:eastAsia="Microsoft JhengHei" w:cs="Calibri"/>
        </w:rPr>
        <w:t xml:space="preserve"> mora osigurati uvjete da se svi dijelovi zemlje mogu natjecati u tom okruž</w:t>
      </w:r>
      <w:r>
        <w:rPr>
          <w:rFonts w:eastAsia="Microsoft JhengHei" w:cs="Calibri"/>
        </w:rPr>
        <w:t>enju.</w:t>
      </w:r>
      <w:r w:rsidRPr="00636499">
        <w:rPr>
          <w:rFonts w:eastAsia="Microsoft JhengHei" w:cs="Calibri"/>
        </w:rPr>
        <w:t xml:space="preserve"> Na</w:t>
      </w:r>
      <w:r>
        <w:rPr>
          <w:rFonts w:eastAsia="Microsoft JhengHei" w:cs="Calibri"/>
        </w:rPr>
        <w:t>dalje, unatoč široko uvriježenom</w:t>
      </w:r>
      <w:r w:rsidRPr="00636499">
        <w:rPr>
          <w:rFonts w:eastAsia="Microsoft JhengHei" w:cs="Calibri"/>
        </w:rPr>
        <w:t xml:space="preserve"> mišljenju da je različitost hrvatskih regija s prirodnoga, geografskog, društvenog, gospodarskog i političkog aspekta veliko bogatstvo za državu, te prednosti još uvijek nisu uspješno iskorištene niti se njima upravlja na odgovarajući način. </w:t>
      </w:r>
      <w:r>
        <w:rPr>
          <w:rFonts w:cs="Calibri"/>
        </w:rPr>
        <w:t xml:space="preserve">RH </w:t>
      </w:r>
      <w:r w:rsidRPr="00636499">
        <w:rPr>
          <w:rFonts w:cs="Calibri"/>
        </w:rPr>
        <w:t xml:space="preserve"> ima specifični teritorijalni kapital kojim se razlikuje od drugih zemalja Europske unije i koji je osnova za njezin razvoj i privlačenje investicija. Politika sektorske specijalizacije, </w:t>
      </w:r>
      <w:proofErr w:type="spellStart"/>
      <w:r w:rsidRPr="00636499">
        <w:rPr>
          <w:rFonts w:cs="Calibri"/>
        </w:rPr>
        <w:t>brendiranja</w:t>
      </w:r>
      <w:proofErr w:type="spellEnd"/>
      <w:r w:rsidRPr="00636499">
        <w:rPr>
          <w:rFonts w:cs="Calibri"/>
        </w:rPr>
        <w:t xml:space="preserve"> sekto</w:t>
      </w:r>
      <w:r>
        <w:rPr>
          <w:rFonts w:cs="Calibri"/>
        </w:rPr>
        <w:t>ra i regija</w:t>
      </w:r>
      <w:r w:rsidRPr="00636499">
        <w:rPr>
          <w:rFonts w:cs="Calibri"/>
        </w:rPr>
        <w:t xml:space="preserve"> pomoći će Republici Hrvatskoj da </w:t>
      </w:r>
      <w:r w:rsidRPr="00636499">
        <w:rPr>
          <w:rFonts w:cs="Calibri"/>
        </w:rPr>
        <w:lastRenderedPageBreak/>
        <w:t xml:space="preserve">iskoristi svoj teritorijalni kapital i </w:t>
      </w:r>
      <w:r>
        <w:rPr>
          <w:rFonts w:cs="Calibri"/>
        </w:rPr>
        <w:t xml:space="preserve">da </w:t>
      </w:r>
      <w:r w:rsidRPr="00636499">
        <w:rPr>
          <w:rFonts w:cs="Calibri"/>
        </w:rPr>
        <w:t>na taj način poveća svoju konkurentnost u odnosu na druge zemlje EU</w:t>
      </w:r>
      <w:r>
        <w:rPr>
          <w:rFonts w:cs="Calibri"/>
        </w:rPr>
        <w:t>-a</w:t>
      </w:r>
      <w:r w:rsidRPr="00636499">
        <w:rPr>
          <w:rFonts w:cs="Calibri"/>
        </w:rPr>
        <w:t xml:space="preserve"> te </w:t>
      </w:r>
      <w:r>
        <w:rPr>
          <w:rFonts w:cs="Calibri"/>
        </w:rPr>
        <w:t xml:space="preserve">da </w:t>
      </w:r>
      <w:r w:rsidRPr="00636499">
        <w:rPr>
          <w:rFonts w:cs="Calibri"/>
        </w:rPr>
        <w:t xml:space="preserve">poveća atraktivnost za privlačenje investicija. </w:t>
      </w:r>
    </w:p>
    <w:p w:rsidR="000C1520" w:rsidRDefault="000C1520" w:rsidP="00D74ECD">
      <w:pPr>
        <w:pStyle w:val="Heading3"/>
      </w:pPr>
      <w:bookmarkStart w:id="47" w:name="_Toc373137871"/>
      <w:r w:rsidRPr="00962292">
        <w:t>3.2.4</w:t>
      </w:r>
      <w:r w:rsidR="00E603EE">
        <w:t xml:space="preserve">. </w:t>
      </w:r>
      <w:r>
        <w:t xml:space="preserve"> JAČANJE ULOGE GOSPODARSKE DIPLOMACIJE U PRIVLAČENJU INVESTICIJA</w:t>
      </w:r>
      <w:bookmarkEnd w:id="47"/>
    </w:p>
    <w:p w:rsidR="000C1520" w:rsidRDefault="000C1520" w:rsidP="00962292">
      <w:pPr>
        <w:spacing w:after="0" w:line="360" w:lineRule="auto"/>
        <w:jc w:val="both"/>
        <w:rPr>
          <w:rFonts w:eastAsia="MS Mincho" w:cs="Calibri"/>
          <w:lang w:eastAsia="ja-JP"/>
        </w:rPr>
      </w:pPr>
    </w:p>
    <w:p w:rsidR="000C1520" w:rsidRPr="00636499" w:rsidRDefault="000C1520" w:rsidP="00962292">
      <w:pPr>
        <w:spacing w:after="0" w:line="360" w:lineRule="auto"/>
        <w:jc w:val="both"/>
        <w:rPr>
          <w:rFonts w:eastAsia="MS Mincho" w:cs="Calibri"/>
          <w:lang w:eastAsia="ja-JP"/>
        </w:rPr>
      </w:pPr>
      <w:r w:rsidRPr="00636499">
        <w:rPr>
          <w:rFonts w:eastAsia="MS Mincho" w:cs="Calibri"/>
          <w:lang w:eastAsia="ja-JP"/>
        </w:rPr>
        <w:t xml:space="preserve">Svrha aktivnosti je proširiti platformu za privlačenje </w:t>
      </w:r>
      <w:proofErr w:type="spellStart"/>
      <w:r w:rsidRPr="00AA2753">
        <w:rPr>
          <w:rFonts w:eastAsia="MS Mincho" w:cs="Calibri"/>
          <w:i/>
          <w:lang w:eastAsia="ja-JP"/>
        </w:rPr>
        <w:t>greenfield</w:t>
      </w:r>
      <w:proofErr w:type="spellEnd"/>
      <w:r w:rsidRPr="00636499">
        <w:rPr>
          <w:rFonts w:eastAsia="MS Mincho" w:cs="Calibri"/>
          <w:lang w:eastAsia="ja-JP"/>
        </w:rPr>
        <w:t xml:space="preserve"> investic</w:t>
      </w:r>
      <w:r>
        <w:rPr>
          <w:rFonts w:eastAsia="MS Mincho" w:cs="Calibri"/>
          <w:lang w:eastAsia="ja-JP"/>
        </w:rPr>
        <w:t xml:space="preserve">ija, a značajan doprinos očekuje se od </w:t>
      </w:r>
      <w:r w:rsidRPr="00636499">
        <w:rPr>
          <w:rFonts w:eastAsia="MS Mincho" w:cs="Calibri"/>
          <w:lang w:eastAsia="ja-JP"/>
        </w:rPr>
        <w:t>mre</w:t>
      </w:r>
      <w:r>
        <w:rPr>
          <w:rFonts w:eastAsia="MS Mincho" w:cs="Calibri"/>
          <w:lang w:eastAsia="ja-JP"/>
        </w:rPr>
        <w:t>že</w:t>
      </w:r>
      <w:r w:rsidRPr="00636499">
        <w:rPr>
          <w:rFonts w:eastAsia="MS Mincho" w:cs="Calibri"/>
          <w:lang w:eastAsia="ja-JP"/>
        </w:rPr>
        <w:t xml:space="preserve"> diplomatsko-konzularn</w:t>
      </w:r>
      <w:r>
        <w:rPr>
          <w:rFonts w:eastAsia="MS Mincho" w:cs="Calibri"/>
          <w:lang w:eastAsia="ja-JP"/>
        </w:rPr>
        <w:t>ih</w:t>
      </w:r>
      <w:r w:rsidRPr="00636499">
        <w:rPr>
          <w:rFonts w:eastAsia="MS Mincho" w:cs="Calibri"/>
          <w:lang w:eastAsia="ja-JP"/>
        </w:rPr>
        <w:t xml:space="preserve"> predstavni</w:t>
      </w:r>
      <w:r>
        <w:rPr>
          <w:rFonts w:eastAsia="MS Mincho" w:cs="Calibri"/>
          <w:lang w:eastAsia="ja-JP"/>
        </w:rPr>
        <w:t xml:space="preserve">štava u svijetu kroz jačanje </w:t>
      </w:r>
      <w:proofErr w:type="spellStart"/>
      <w:r>
        <w:rPr>
          <w:rFonts w:eastAsia="MS Mincho" w:cs="Calibri"/>
          <w:lang w:eastAsia="ja-JP"/>
        </w:rPr>
        <w:t>pro</w:t>
      </w:r>
      <w:r w:rsidRPr="00636499">
        <w:rPr>
          <w:rFonts w:eastAsia="MS Mincho" w:cs="Calibri"/>
          <w:lang w:eastAsia="ja-JP"/>
        </w:rPr>
        <w:t>aktivnog</w:t>
      </w:r>
      <w:proofErr w:type="spellEnd"/>
      <w:r w:rsidRPr="00636499">
        <w:rPr>
          <w:rFonts w:eastAsia="MS Mincho" w:cs="Calibri"/>
          <w:lang w:eastAsia="ja-JP"/>
        </w:rPr>
        <w:t xml:space="preserve"> pristupa stranim tvrtkama. Aktivnosti ciljanog privlačenja </w:t>
      </w:r>
      <w:proofErr w:type="spellStart"/>
      <w:r w:rsidRPr="00AA2753">
        <w:rPr>
          <w:rFonts w:eastAsia="MS Mincho" w:cs="Calibri"/>
          <w:i/>
          <w:lang w:eastAsia="ja-JP"/>
        </w:rPr>
        <w:t>greenfield</w:t>
      </w:r>
      <w:proofErr w:type="spellEnd"/>
      <w:r w:rsidRPr="00636499">
        <w:rPr>
          <w:rFonts w:eastAsia="MS Mincho" w:cs="Calibri"/>
          <w:lang w:eastAsia="ja-JP"/>
        </w:rPr>
        <w:t xml:space="preserve"> investicija u okviru gospodarske diplomacije uključuju</w:t>
      </w:r>
      <w:r>
        <w:rPr>
          <w:rFonts w:eastAsia="MS Mincho" w:cs="Calibri"/>
          <w:lang w:eastAsia="ja-JP"/>
        </w:rPr>
        <w:t xml:space="preserve"> sljedeće</w:t>
      </w:r>
      <w:r w:rsidRPr="00636499">
        <w:rPr>
          <w:rFonts w:eastAsia="MS Mincho" w:cs="Calibri"/>
          <w:lang w:eastAsia="ja-JP"/>
        </w:rPr>
        <w:t>: promociju konkretnih investicijskih projekata, uspostavu mre</w:t>
      </w:r>
      <w:r w:rsidRPr="00636499">
        <w:rPr>
          <w:rFonts w:eastAsia="MS Mincho" w:cs="Calibri"/>
          <w:i/>
          <w:lang w:eastAsia="ja-JP"/>
        </w:rPr>
        <w:t>ž</w:t>
      </w:r>
      <w:r w:rsidRPr="00636499">
        <w:rPr>
          <w:rFonts w:eastAsia="MS Mincho" w:cs="Calibri"/>
          <w:lang w:eastAsia="ja-JP"/>
        </w:rPr>
        <w:t>e partnera na stranim tr</w:t>
      </w:r>
      <w:r w:rsidRPr="00636499">
        <w:rPr>
          <w:rFonts w:eastAsia="MS Mincho" w:cs="Calibri"/>
          <w:i/>
          <w:lang w:eastAsia="ja-JP"/>
        </w:rPr>
        <w:t>ž</w:t>
      </w:r>
      <w:r w:rsidRPr="00636499">
        <w:rPr>
          <w:rFonts w:eastAsia="MS Mincho" w:cs="Calibri"/>
          <w:lang w:eastAsia="ja-JP"/>
        </w:rPr>
        <w:t xml:space="preserve">ištima, potporu </w:t>
      </w:r>
      <w:proofErr w:type="spellStart"/>
      <w:r>
        <w:rPr>
          <w:rFonts w:eastAsia="MS Mincho" w:cs="Calibri"/>
          <w:i/>
          <w:lang w:eastAsia="ja-JP"/>
        </w:rPr>
        <w:t>o</w:t>
      </w:r>
      <w:r w:rsidRPr="00AA2753">
        <w:rPr>
          <w:rFonts w:eastAsia="MS Mincho" w:cs="Calibri"/>
          <w:i/>
          <w:lang w:eastAsia="ja-JP"/>
        </w:rPr>
        <w:t>utreach</w:t>
      </w:r>
      <w:proofErr w:type="spellEnd"/>
      <w:r w:rsidRPr="00636499">
        <w:rPr>
          <w:rFonts w:eastAsia="MS Mincho" w:cs="Calibri"/>
          <w:lang w:eastAsia="ja-JP"/>
        </w:rPr>
        <w:t xml:space="preserve"> kampanjama, jačanje prepoznatljivosti </w:t>
      </w:r>
      <w:r>
        <w:rPr>
          <w:rFonts w:eastAsia="MS Mincho" w:cs="Calibri"/>
          <w:lang w:eastAsia="ja-JP"/>
        </w:rPr>
        <w:t>RH</w:t>
      </w:r>
      <w:r w:rsidRPr="00636499">
        <w:rPr>
          <w:rFonts w:eastAsia="MS Mincho" w:cs="Calibri"/>
          <w:lang w:eastAsia="ja-JP"/>
        </w:rPr>
        <w:t xml:space="preserve"> kao investicijske de</w:t>
      </w:r>
      <w:r>
        <w:rPr>
          <w:rFonts w:eastAsia="MS Mincho" w:cs="Calibri"/>
          <w:lang w:eastAsia="ja-JP"/>
        </w:rPr>
        <w:t>stinacije i definiranje potencijalnih investitora (</w:t>
      </w:r>
      <w:proofErr w:type="spellStart"/>
      <w:r w:rsidRPr="00636499">
        <w:rPr>
          <w:rFonts w:eastAsia="MS Mincho" w:cs="Calibri"/>
          <w:i/>
          <w:lang w:eastAsia="ja-JP"/>
        </w:rPr>
        <w:t>generating</w:t>
      </w:r>
      <w:proofErr w:type="spellEnd"/>
      <w:r w:rsidRPr="00636499">
        <w:rPr>
          <w:rFonts w:eastAsia="MS Mincho" w:cs="Calibri"/>
          <w:i/>
          <w:lang w:eastAsia="ja-JP"/>
        </w:rPr>
        <w:t xml:space="preserve"> </w:t>
      </w:r>
      <w:proofErr w:type="spellStart"/>
      <w:r w:rsidRPr="00636499">
        <w:rPr>
          <w:rFonts w:eastAsia="MS Mincho" w:cs="Calibri"/>
          <w:i/>
          <w:lang w:eastAsia="ja-JP"/>
        </w:rPr>
        <w:t>leads</w:t>
      </w:r>
      <w:proofErr w:type="spellEnd"/>
      <w:r w:rsidRPr="00636499">
        <w:rPr>
          <w:rFonts w:eastAsia="MS Mincho" w:cs="Calibri"/>
          <w:lang w:eastAsia="ja-JP"/>
        </w:rPr>
        <w:t xml:space="preserve">). Za provođenje navedenih aktivnosti operativno bi bili zaduženi gospodarski savjetnici u koordinaciji i suradnji s nacionalnim agencijama nadležnim za promicanje i poticanje investicija. Također, u provođenje aktivnosti potrebno je uključiti i predstavništva Hrvatske gospodarske komore u svijetu. </w:t>
      </w:r>
    </w:p>
    <w:p w:rsidR="000C1520" w:rsidRPr="00636499" w:rsidRDefault="000C1520" w:rsidP="00962292">
      <w:pPr>
        <w:spacing w:after="0" w:line="360" w:lineRule="auto"/>
        <w:jc w:val="both"/>
        <w:rPr>
          <w:rFonts w:eastAsia="MS Mincho" w:cs="Calibri"/>
          <w:lang w:eastAsia="ja-JP"/>
        </w:rPr>
      </w:pPr>
    </w:p>
    <w:p w:rsidR="000C1520" w:rsidRPr="00636499" w:rsidRDefault="000C1520" w:rsidP="00962292">
      <w:pPr>
        <w:spacing w:after="0" w:line="360" w:lineRule="auto"/>
        <w:jc w:val="both"/>
        <w:rPr>
          <w:rFonts w:eastAsia="MS Mincho" w:cs="Calibri"/>
          <w:lang w:eastAsia="ja-JP"/>
        </w:rPr>
      </w:pPr>
      <w:r w:rsidRPr="00636499">
        <w:rPr>
          <w:rFonts w:eastAsia="MS Mincho" w:cs="Calibri"/>
          <w:lang w:eastAsia="ja-JP"/>
        </w:rPr>
        <w:t>Investicijski potencijal svakako predstavlja i hrvatska dijaspora te će se kroz aktivnost jačanja uloge gospodarske diplomacije u privlače</w:t>
      </w:r>
      <w:r>
        <w:rPr>
          <w:rFonts w:eastAsia="MS Mincho" w:cs="Calibri"/>
          <w:lang w:eastAsia="ja-JP"/>
        </w:rPr>
        <w:t xml:space="preserve">nju investicija </w:t>
      </w:r>
      <w:r w:rsidRPr="00636499">
        <w:rPr>
          <w:rFonts w:eastAsia="MS Mincho" w:cs="Calibri"/>
          <w:lang w:eastAsia="ja-JP"/>
        </w:rPr>
        <w:t xml:space="preserve">naglasak staviti i na formiranje gospodarskih </w:t>
      </w:r>
      <w:r>
        <w:rPr>
          <w:rFonts w:eastAsia="MS Mincho" w:cs="Calibri"/>
          <w:lang w:eastAsia="ja-JP"/>
        </w:rPr>
        <w:t>klubova hrvatske dijaspore. Takvi gospodarski klubovi okupi</w:t>
      </w:r>
      <w:r w:rsidRPr="00636499">
        <w:rPr>
          <w:rFonts w:eastAsia="MS Mincho" w:cs="Calibri"/>
          <w:lang w:eastAsia="ja-JP"/>
        </w:rPr>
        <w:t>t će predstavnike poslovne zajednice</w:t>
      </w:r>
      <w:r>
        <w:rPr>
          <w:rFonts w:eastAsia="MS Mincho" w:cs="Calibri"/>
          <w:lang w:eastAsia="ja-JP"/>
        </w:rPr>
        <w:t>,</w:t>
      </w:r>
      <w:r w:rsidRPr="00636499">
        <w:rPr>
          <w:rFonts w:eastAsia="MS Mincho" w:cs="Calibri"/>
          <w:lang w:eastAsia="ja-JP"/>
        </w:rPr>
        <w:t xml:space="preserve"> odnosno uspješne predst</w:t>
      </w:r>
      <w:r>
        <w:rPr>
          <w:rFonts w:eastAsia="MS Mincho" w:cs="Calibri"/>
          <w:lang w:eastAsia="ja-JP"/>
        </w:rPr>
        <w:t xml:space="preserve">avnike hrvatskog iseljeništva. </w:t>
      </w:r>
      <w:r w:rsidRPr="00636499">
        <w:rPr>
          <w:rFonts w:cs="Calibri"/>
        </w:rPr>
        <w:t xml:space="preserve">Državni ured za Hrvate izvan </w:t>
      </w:r>
      <w:r>
        <w:rPr>
          <w:rFonts w:cs="Calibri"/>
        </w:rPr>
        <w:t>RH</w:t>
      </w:r>
      <w:r w:rsidRPr="00636499">
        <w:rPr>
          <w:rFonts w:eastAsia="MS Mincho" w:cs="Calibri"/>
          <w:lang w:eastAsia="ja-JP"/>
        </w:rPr>
        <w:t xml:space="preserve"> bit će zadužen za koordinaciju aktivnosti gospodarskih klubova. </w:t>
      </w:r>
    </w:p>
    <w:p w:rsidR="000C1520" w:rsidRPr="00636499" w:rsidRDefault="000C1520" w:rsidP="00962292">
      <w:pPr>
        <w:spacing w:after="0" w:line="360" w:lineRule="auto"/>
        <w:jc w:val="both"/>
        <w:rPr>
          <w:rFonts w:eastAsia="MS Mincho" w:cs="Calibri"/>
          <w:lang w:eastAsia="ja-JP"/>
        </w:rPr>
      </w:pPr>
    </w:p>
    <w:p w:rsidR="000C1520" w:rsidRPr="00636499" w:rsidRDefault="000C1520" w:rsidP="00962292">
      <w:pPr>
        <w:spacing w:after="0" w:line="360" w:lineRule="auto"/>
        <w:jc w:val="both"/>
        <w:rPr>
          <w:rFonts w:eastAsia="MS Mincho" w:cs="Calibri"/>
          <w:lang w:eastAsia="ja-JP"/>
        </w:rPr>
      </w:pPr>
      <w:r w:rsidRPr="00636499">
        <w:rPr>
          <w:rFonts w:eastAsia="MS Mincho" w:cs="Calibri"/>
          <w:lang w:eastAsia="ja-JP"/>
        </w:rPr>
        <w:t xml:space="preserve">Za potrebe uspješne provedbe aktivnosti organizirat </w:t>
      </w:r>
      <w:r>
        <w:rPr>
          <w:rFonts w:eastAsia="MS Mincho" w:cs="Calibri"/>
          <w:lang w:eastAsia="ja-JP"/>
        </w:rPr>
        <w:t>će se edukacije djelatnika koji</w:t>
      </w:r>
      <w:r w:rsidRPr="00636499">
        <w:rPr>
          <w:rFonts w:eastAsia="MS Mincho" w:cs="Calibri"/>
          <w:lang w:eastAsia="ja-JP"/>
        </w:rPr>
        <w:t xml:space="preserve"> će biti uključeni u poslove promicanja inves</w:t>
      </w:r>
      <w:r>
        <w:rPr>
          <w:rFonts w:eastAsia="MS Mincho" w:cs="Calibri"/>
          <w:lang w:eastAsia="ja-JP"/>
        </w:rPr>
        <w:t>ticija na najvećim emitivnim ISI tržištima. Izobrazba</w:t>
      </w:r>
      <w:r w:rsidRPr="00636499">
        <w:rPr>
          <w:rFonts w:eastAsia="MS Mincho" w:cs="Calibri"/>
          <w:lang w:eastAsia="ja-JP"/>
        </w:rPr>
        <w:t xml:space="preserve"> će se provoditi kontinuirano od strane nacionalnih institucija nadležnih za poslove promicanja investicija.</w:t>
      </w:r>
    </w:p>
    <w:p w:rsidR="000C1520" w:rsidRPr="00AF566A" w:rsidRDefault="000C1520" w:rsidP="00D74ECD">
      <w:pPr>
        <w:pStyle w:val="Heading3"/>
      </w:pPr>
      <w:bookmarkStart w:id="48" w:name="_Toc351127614"/>
      <w:bookmarkStart w:id="49" w:name="_Toc373137872"/>
      <w:r w:rsidRPr="00AF566A">
        <w:t>3.3</w:t>
      </w:r>
      <w:r w:rsidR="00E603EE">
        <w:t xml:space="preserve">. </w:t>
      </w:r>
      <w:r w:rsidRPr="00AF566A">
        <w:t xml:space="preserve"> CILJANO PRIVLAČENJE INVESTICIJA</w:t>
      </w:r>
      <w:bookmarkEnd w:id="48"/>
      <w:bookmarkEnd w:id="49"/>
      <w:r w:rsidRPr="00AF566A">
        <w:t xml:space="preserve"> </w:t>
      </w:r>
    </w:p>
    <w:p w:rsidR="000C1520" w:rsidRDefault="000C1520" w:rsidP="00C13AF1">
      <w:pPr>
        <w:spacing w:after="0" w:line="288" w:lineRule="auto"/>
        <w:ind w:right="480"/>
        <w:jc w:val="both"/>
        <w:rPr>
          <w:rFonts w:eastAsia="MS Mincho" w:cs="Calibri"/>
          <w:b/>
          <w:lang w:eastAsia="ja-JP"/>
        </w:rPr>
      </w:pPr>
    </w:p>
    <w:p w:rsidR="000C1520" w:rsidRPr="00636499" w:rsidRDefault="000C1520" w:rsidP="00C13AF1">
      <w:pPr>
        <w:spacing w:after="0" w:line="288" w:lineRule="auto"/>
        <w:ind w:right="480"/>
        <w:jc w:val="both"/>
        <w:rPr>
          <w:rFonts w:eastAsia="MS Mincho" w:cs="Calibri"/>
          <w:b/>
          <w:lang w:eastAsia="ja-JP"/>
        </w:rPr>
      </w:pPr>
      <w:r w:rsidRPr="00636499">
        <w:rPr>
          <w:rFonts w:eastAsia="MS Mincho" w:cs="Calibri"/>
          <w:b/>
          <w:lang w:eastAsia="ja-JP"/>
        </w:rPr>
        <w:t xml:space="preserve"> SVRHA</w:t>
      </w:r>
    </w:p>
    <w:p w:rsidR="000C1520" w:rsidRDefault="000C1520" w:rsidP="00062D1D">
      <w:pPr>
        <w:spacing w:after="0" w:line="360" w:lineRule="auto"/>
        <w:jc w:val="both"/>
        <w:rPr>
          <w:rFonts w:eastAsia="MS Mincho" w:cs="Calibri"/>
          <w:lang w:eastAsia="ja-JP"/>
        </w:rPr>
      </w:pPr>
    </w:p>
    <w:p w:rsidR="000C1520" w:rsidRDefault="000C1520" w:rsidP="00062D1D">
      <w:pPr>
        <w:spacing w:after="0" w:line="360" w:lineRule="auto"/>
        <w:jc w:val="both"/>
        <w:rPr>
          <w:rFonts w:eastAsia="MS Mincho" w:cs="Calibri"/>
          <w:lang w:eastAsia="ja-JP"/>
        </w:rPr>
      </w:pPr>
      <w:r>
        <w:rPr>
          <w:rFonts w:eastAsia="MS Mincho" w:cs="Calibri"/>
          <w:lang w:eastAsia="ja-JP"/>
        </w:rPr>
        <w:t>Prioritetno područje</w:t>
      </w:r>
      <w:r w:rsidRPr="00636499">
        <w:rPr>
          <w:rFonts w:eastAsia="MS Mincho" w:cs="Calibri"/>
          <w:lang w:eastAsia="ja-JP"/>
        </w:rPr>
        <w:t xml:space="preserve"> </w:t>
      </w:r>
      <w:r>
        <w:rPr>
          <w:rFonts w:eastAsia="MS Mincho" w:cs="Calibri"/>
          <w:lang w:eastAsia="ja-JP"/>
        </w:rPr>
        <w:t xml:space="preserve">„Ciljano privlačenje investicija“ </w:t>
      </w:r>
      <w:r w:rsidRPr="00636499">
        <w:rPr>
          <w:rFonts w:eastAsia="MS Mincho" w:cs="Calibri"/>
          <w:lang w:eastAsia="ja-JP"/>
        </w:rPr>
        <w:t xml:space="preserve">temelji se na potrebi provođenja </w:t>
      </w:r>
      <w:proofErr w:type="spellStart"/>
      <w:r w:rsidRPr="00636499">
        <w:rPr>
          <w:rFonts w:eastAsia="MS Mincho" w:cs="Calibri"/>
          <w:lang w:eastAsia="ja-JP"/>
        </w:rPr>
        <w:t>proaktivnog</w:t>
      </w:r>
      <w:proofErr w:type="spellEnd"/>
      <w:r w:rsidRPr="00636499">
        <w:rPr>
          <w:rFonts w:eastAsia="MS Mincho" w:cs="Calibri"/>
          <w:lang w:eastAsia="ja-JP"/>
        </w:rPr>
        <w:t xml:space="preserve"> pristupa prema </w:t>
      </w:r>
      <w:r>
        <w:rPr>
          <w:rFonts w:eastAsia="MS Mincho" w:cs="Calibri"/>
          <w:lang w:eastAsia="ja-JP"/>
        </w:rPr>
        <w:t xml:space="preserve">domaćim i stranim </w:t>
      </w:r>
      <w:r w:rsidRPr="00636499">
        <w:rPr>
          <w:rFonts w:eastAsia="MS Mincho" w:cs="Calibri"/>
          <w:lang w:eastAsia="ja-JP"/>
        </w:rPr>
        <w:t xml:space="preserve">investitorima, </w:t>
      </w:r>
      <w:r>
        <w:rPr>
          <w:rFonts w:eastAsia="MS Mincho" w:cs="Calibri"/>
          <w:lang w:eastAsia="ja-JP"/>
        </w:rPr>
        <w:t xml:space="preserve">uz jačanje uloge gospodarske diplomacije, </w:t>
      </w:r>
      <w:r w:rsidRPr="00636499">
        <w:rPr>
          <w:rFonts w:eastAsia="MS Mincho" w:cs="Calibri"/>
          <w:lang w:eastAsia="ja-JP"/>
        </w:rPr>
        <w:t xml:space="preserve">a sa svrhom povećanja investicija privatnog sektora kao pokretača razvoja hrvatskog gospodarstva.  </w:t>
      </w:r>
    </w:p>
    <w:p w:rsidR="000C1520" w:rsidRDefault="000C1520" w:rsidP="00443382">
      <w:pPr>
        <w:spacing w:after="0" w:line="360" w:lineRule="auto"/>
        <w:jc w:val="both"/>
        <w:rPr>
          <w:rFonts w:eastAsia="MS Mincho" w:cs="Calibri"/>
          <w:lang w:eastAsia="ja-JP"/>
        </w:rPr>
      </w:pPr>
    </w:p>
    <w:p w:rsidR="000C1520" w:rsidRDefault="000C1520" w:rsidP="00062D1D">
      <w:pPr>
        <w:spacing w:after="0" w:line="360" w:lineRule="auto"/>
        <w:jc w:val="both"/>
        <w:rPr>
          <w:rFonts w:eastAsia="MS Mincho" w:cs="Calibri"/>
          <w:lang w:eastAsia="ja-JP"/>
        </w:rPr>
      </w:pPr>
      <w:r w:rsidRPr="00636499">
        <w:rPr>
          <w:rFonts w:eastAsia="MS Mincho" w:cs="Calibri"/>
          <w:lang w:eastAsia="ja-JP"/>
        </w:rPr>
        <w:t>Prioritetno</w:t>
      </w:r>
      <w:r>
        <w:rPr>
          <w:rFonts w:eastAsia="MS Mincho" w:cs="Calibri"/>
          <w:lang w:eastAsia="ja-JP"/>
        </w:rPr>
        <w:t xml:space="preserve"> područje usmjereno je na </w:t>
      </w:r>
      <w:proofErr w:type="spellStart"/>
      <w:r>
        <w:rPr>
          <w:rFonts w:eastAsia="MS Mincho" w:cs="Calibri"/>
          <w:lang w:eastAsia="ja-JP"/>
        </w:rPr>
        <w:t>proaktivno</w:t>
      </w:r>
      <w:proofErr w:type="spellEnd"/>
      <w:r w:rsidRPr="00636499">
        <w:rPr>
          <w:rFonts w:eastAsia="MS Mincho" w:cs="Calibri"/>
          <w:lang w:eastAsia="ja-JP"/>
        </w:rPr>
        <w:t xml:space="preserve"> pr</w:t>
      </w:r>
      <w:r>
        <w:rPr>
          <w:rFonts w:eastAsia="MS Mincho" w:cs="Calibri"/>
          <w:lang w:eastAsia="ja-JP"/>
        </w:rPr>
        <w:t xml:space="preserve">ivlačenje </w:t>
      </w:r>
      <w:proofErr w:type="spellStart"/>
      <w:r w:rsidRPr="007E7597">
        <w:rPr>
          <w:rFonts w:eastAsia="MS Mincho" w:cs="Calibri"/>
          <w:i/>
          <w:lang w:eastAsia="ja-JP"/>
        </w:rPr>
        <w:t>greenfield</w:t>
      </w:r>
      <w:proofErr w:type="spellEnd"/>
      <w:r w:rsidRPr="00636499">
        <w:rPr>
          <w:rFonts w:eastAsia="MS Mincho" w:cs="Calibri"/>
          <w:lang w:eastAsia="ja-JP"/>
        </w:rPr>
        <w:t xml:space="preserve"> investicija</w:t>
      </w:r>
      <w:r>
        <w:rPr>
          <w:rFonts w:eastAsia="MS Mincho" w:cs="Calibri"/>
          <w:lang w:eastAsia="ja-JP"/>
        </w:rPr>
        <w:t xml:space="preserve"> u izvozno-orijentirane sektore i turizam, industrije u nastajanju i visoko-tehnološke sektore, te poticanje </w:t>
      </w:r>
      <w:r>
        <w:rPr>
          <w:rFonts w:eastAsia="MS Mincho" w:cs="Calibri"/>
          <w:lang w:eastAsia="ja-JP"/>
        </w:rPr>
        <w:lastRenderedPageBreak/>
        <w:t xml:space="preserve">investicija u potpomognuta područja RH  i </w:t>
      </w:r>
      <w:r w:rsidRPr="00636499">
        <w:rPr>
          <w:rFonts w:eastAsia="MS Mincho" w:cs="Calibri"/>
          <w:lang w:eastAsia="ja-JP"/>
        </w:rPr>
        <w:t xml:space="preserve">stavljanje u </w:t>
      </w:r>
      <w:r>
        <w:rPr>
          <w:rFonts w:eastAsia="MS Mincho" w:cs="Calibri"/>
          <w:lang w:eastAsia="ja-JP"/>
        </w:rPr>
        <w:t xml:space="preserve">funkciju državne imovine putem </w:t>
      </w:r>
      <w:proofErr w:type="spellStart"/>
      <w:r w:rsidRPr="007E7597">
        <w:rPr>
          <w:rFonts w:eastAsia="MS Mincho" w:cs="Calibri"/>
          <w:i/>
          <w:lang w:eastAsia="ja-JP"/>
        </w:rPr>
        <w:t>brownfield</w:t>
      </w:r>
      <w:proofErr w:type="spellEnd"/>
      <w:r w:rsidRPr="00636499">
        <w:rPr>
          <w:rFonts w:eastAsia="MS Mincho" w:cs="Calibri"/>
          <w:lang w:eastAsia="ja-JP"/>
        </w:rPr>
        <w:t xml:space="preserve"> investicija.</w:t>
      </w:r>
    </w:p>
    <w:p w:rsidR="000C1520" w:rsidRPr="00636499" w:rsidRDefault="000C1520" w:rsidP="00062D1D">
      <w:pPr>
        <w:spacing w:after="0" w:line="360" w:lineRule="auto"/>
        <w:jc w:val="both"/>
        <w:rPr>
          <w:rFonts w:eastAsia="MS Mincho" w:cs="Calibri"/>
          <w:lang w:eastAsia="ja-JP"/>
        </w:rPr>
      </w:pPr>
    </w:p>
    <w:p w:rsidR="000C1520" w:rsidRPr="00636499" w:rsidRDefault="000C1520" w:rsidP="0028635B">
      <w:pPr>
        <w:spacing w:after="0" w:line="360" w:lineRule="auto"/>
        <w:jc w:val="both"/>
        <w:rPr>
          <w:rFonts w:eastAsia="MS Mincho" w:cs="Calibri"/>
          <w:lang w:eastAsia="ja-JP"/>
        </w:rPr>
      </w:pPr>
      <w:r>
        <w:rPr>
          <w:rFonts w:eastAsia="MS Mincho" w:cs="Calibri"/>
          <w:lang w:eastAsia="ja-JP"/>
        </w:rPr>
        <w:t xml:space="preserve">U okviru poticanja investicija za svaku od ciljanih ekonomskih aktivnosti potrebno je izraditi plan privlačenja investicija. </w:t>
      </w:r>
      <w:r w:rsidRPr="00636499">
        <w:rPr>
          <w:rFonts w:eastAsia="MS Mincho" w:cs="Calibri"/>
          <w:lang w:eastAsia="ja-JP"/>
        </w:rPr>
        <w:t>Izrad</w:t>
      </w:r>
      <w:r>
        <w:rPr>
          <w:rFonts w:eastAsia="MS Mincho" w:cs="Calibri"/>
          <w:lang w:eastAsia="ja-JP"/>
        </w:rPr>
        <w:t>a plana privlačenja investicija</w:t>
      </w:r>
      <w:r w:rsidRPr="00636499">
        <w:rPr>
          <w:rFonts w:eastAsia="MS Mincho" w:cs="Calibri"/>
          <w:lang w:eastAsia="ja-JP"/>
        </w:rPr>
        <w:t xml:space="preserve"> nastat će kao rezultat zajedničkog rada svih institucija uključenih u proces privla</w:t>
      </w:r>
      <w:r>
        <w:rPr>
          <w:rFonts w:eastAsia="MS Mincho" w:cs="Calibri"/>
          <w:lang w:eastAsia="ja-JP"/>
        </w:rPr>
        <w:t>čenja i realizacije investicija</w:t>
      </w:r>
      <w:r w:rsidRPr="00636499">
        <w:rPr>
          <w:rFonts w:eastAsia="MS Mincho" w:cs="Calibri"/>
          <w:lang w:eastAsia="ja-JP"/>
        </w:rPr>
        <w:t xml:space="preserve"> na nacionalnoj i regionalnoj razini</w:t>
      </w:r>
      <w:r>
        <w:rPr>
          <w:rFonts w:eastAsia="MS Mincho" w:cs="Calibri"/>
          <w:lang w:eastAsia="ja-JP"/>
        </w:rPr>
        <w:t>, a temeljit će se na analizi lokacijskih determinanti ključnih za privlačenje investicija te na trendovima kretanja investicija u pojedinom sektoru</w:t>
      </w:r>
      <w:r w:rsidRPr="00636499">
        <w:rPr>
          <w:rFonts w:eastAsia="MS Mincho" w:cs="Calibri"/>
          <w:lang w:eastAsia="ja-JP"/>
        </w:rPr>
        <w:t>.</w:t>
      </w:r>
    </w:p>
    <w:p w:rsidR="000C1520" w:rsidRPr="00636499" w:rsidRDefault="000C1520" w:rsidP="00C13AF1">
      <w:pPr>
        <w:tabs>
          <w:tab w:val="left" w:pos="9072"/>
        </w:tabs>
        <w:spacing w:after="0" w:line="288" w:lineRule="auto"/>
        <w:jc w:val="both"/>
        <w:rPr>
          <w:rFonts w:cs="Calibri"/>
        </w:rPr>
      </w:pPr>
    </w:p>
    <w:p w:rsidR="000C1520" w:rsidRPr="00636499" w:rsidRDefault="000C1520" w:rsidP="00C13AF1">
      <w:pPr>
        <w:spacing w:after="0" w:line="288" w:lineRule="auto"/>
        <w:ind w:right="480"/>
        <w:jc w:val="both"/>
        <w:rPr>
          <w:rFonts w:cs="Calibri"/>
          <w:b/>
        </w:rPr>
      </w:pPr>
      <w:r w:rsidRPr="00636499">
        <w:rPr>
          <w:rFonts w:cs="Calibri"/>
        </w:rPr>
        <w:t xml:space="preserve"> </w:t>
      </w:r>
      <w:r w:rsidRPr="00636499">
        <w:rPr>
          <w:rFonts w:cs="Calibri"/>
          <w:b/>
        </w:rPr>
        <w:t>OPRAVDANOST</w:t>
      </w:r>
    </w:p>
    <w:p w:rsidR="000C1520" w:rsidRPr="00636499" w:rsidRDefault="000C1520" w:rsidP="00C13AF1">
      <w:pPr>
        <w:spacing w:after="0" w:line="288" w:lineRule="auto"/>
        <w:jc w:val="both"/>
        <w:rPr>
          <w:rFonts w:cs="Calibri"/>
        </w:rPr>
      </w:pPr>
    </w:p>
    <w:p w:rsidR="000C1520" w:rsidRPr="00636499" w:rsidRDefault="000C1520" w:rsidP="00062D1D">
      <w:pPr>
        <w:spacing w:after="0" w:line="360" w:lineRule="auto"/>
        <w:jc w:val="both"/>
        <w:rPr>
          <w:rFonts w:cs="Calibri"/>
        </w:rPr>
      </w:pPr>
      <w:r>
        <w:rPr>
          <w:rFonts w:cs="Calibri"/>
        </w:rPr>
        <w:t>Privlačenjem</w:t>
      </w:r>
      <w:r w:rsidRPr="00636499">
        <w:rPr>
          <w:rFonts w:cs="Calibri"/>
        </w:rPr>
        <w:t xml:space="preserve"> investicija u izvozno-orijentirane sektore</w:t>
      </w:r>
      <w:r>
        <w:rPr>
          <w:rFonts w:cs="Calibri"/>
        </w:rPr>
        <w:t xml:space="preserve">, turizam i </w:t>
      </w:r>
      <w:r w:rsidRPr="00636499">
        <w:rPr>
          <w:rFonts w:cs="Calibri"/>
        </w:rPr>
        <w:t xml:space="preserve"> </w:t>
      </w:r>
      <w:r>
        <w:rPr>
          <w:rFonts w:cs="Calibri"/>
        </w:rPr>
        <w:t xml:space="preserve">industrije u nastajanju i visoko-tehnološke sektore </w:t>
      </w:r>
      <w:r w:rsidRPr="00636499">
        <w:rPr>
          <w:rFonts w:cs="Calibri"/>
        </w:rPr>
        <w:t>omogućava se održivost</w:t>
      </w:r>
      <w:r>
        <w:rPr>
          <w:rFonts w:cs="Calibri"/>
        </w:rPr>
        <w:t xml:space="preserve"> i jačanje konkurentnosti hrvatskog gospodarstva</w:t>
      </w:r>
      <w:r w:rsidRPr="00636499">
        <w:rPr>
          <w:rFonts w:cs="Calibri"/>
        </w:rPr>
        <w:t>.</w:t>
      </w:r>
    </w:p>
    <w:p w:rsidR="000C1520" w:rsidRPr="00636499" w:rsidRDefault="000C1520" w:rsidP="00062D1D">
      <w:pPr>
        <w:spacing w:after="0" w:line="360" w:lineRule="auto"/>
        <w:jc w:val="both"/>
        <w:rPr>
          <w:rFonts w:cs="Calibri"/>
        </w:rPr>
      </w:pPr>
      <w:r w:rsidRPr="00636499">
        <w:rPr>
          <w:rFonts w:cs="Calibri"/>
        </w:rPr>
        <w:t xml:space="preserve">Proces privlačenja investicija ne može se svesti samo na prikupljanje informacija o stanju u hrvatskom gospodarstvu te odgovaranje na upite investitora </w:t>
      </w:r>
      <w:r>
        <w:rPr>
          <w:rFonts w:cs="Calibri"/>
        </w:rPr>
        <w:t xml:space="preserve">koji su već odlučili uložiti </w:t>
      </w:r>
      <w:r w:rsidRPr="00636499">
        <w:rPr>
          <w:rFonts w:cs="Calibri"/>
        </w:rPr>
        <w:t>u Republiku Hrvatsku.  Potrebno je razraditi jasan i detaljan plan privlačenja stranih investitora koji treba uključivati: definiranje konkurentnih sektora u hrvatskim regijama na temelju teritorijalnog kapitala od</w:t>
      </w:r>
      <w:r>
        <w:rPr>
          <w:rFonts w:cs="Calibri"/>
        </w:rPr>
        <w:t>ređenog područja, utvrđivanje</w:t>
      </w:r>
      <w:r w:rsidRPr="00636499">
        <w:rPr>
          <w:rFonts w:cs="Calibri"/>
        </w:rPr>
        <w:t xml:space="preserve"> postojećih kapaciteta u ciljanim sektorima (postojeće tvrtke</w:t>
      </w:r>
      <w:r>
        <w:rPr>
          <w:rFonts w:cs="Calibri"/>
        </w:rPr>
        <w:t xml:space="preserve"> – utvrđeni lanac vrijednosti</w:t>
      </w:r>
      <w:r w:rsidRPr="00636499">
        <w:rPr>
          <w:rFonts w:cs="Calibri"/>
        </w:rPr>
        <w:t>, prirodni</w:t>
      </w:r>
      <w:r>
        <w:rPr>
          <w:rFonts w:cs="Calibri"/>
        </w:rPr>
        <w:t xml:space="preserve"> resursi, ljudski potencijali, dostupnost infrastrukture, kapaciteti za istraživanje i razvoj), utvrđivanje</w:t>
      </w:r>
      <w:r w:rsidRPr="00636499">
        <w:rPr>
          <w:rFonts w:cs="Calibri"/>
        </w:rPr>
        <w:t xml:space="preserve"> potencijalnih investitora u strateške gospodarske sektore u Republici Hrvatskoj, definiranje i usklađenost aktivnosti svih tijela u poticanju realizacije odabranih projekata te kontinuirano praćenje i komunikacij</w:t>
      </w:r>
      <w:r>
        <w:rPr>
          <w:rFonts w:cs="Calibri"/>
        </w:rPr>
        <w:t>u</w:t>
      </w:r>
      <w:r w:rsidRPr="00636499">
        <w:rPr>
          <w:rFonts w:cs="Calibri"/>
        </w:rPr>
        <w:t xml:space="preserve"> s investitorom u tijeku i nakon realizacije projekta.</w:t>
      </w:r>
    </w:p>
    <w:p w:rsidR="000C1520" w:rsidRPr="009D7CBD" w:rsidRDefault="000C1520" w:rsidP="009D7CBD">
      <w:pPr>
        <w:spacing w:after="0" w:line="360" w:lineRule="auto"/>
        <w:jc w:val="both"/>
        <w:rPr>
          <w:rFonts w:eastAsia="MS Mincho" w:cs="Calibri"/>
          <w:lang w:eastAsia="ja-JP"/>
        </w:rPr>
      </w:pPr>
      <w:r w:rsidRPr="00636499">
        <w:rPr>
          <w:rFonts w:eastAsia="MS Mincho" w:cs="Calibri"/>
          <w:lang w:eastAsia="ja-JP"/>
        </w:rPr>
        <w:t xml:space="preserve">Plan privlačenja investicija postat će važno sredstvo za privlačenje investicija odnosno povećanje priljeva stranih investicija u Republiku Hrvatsku, kao i sredstvo za jačanje investicijskih aktivnosti domaćih tvrtki. </w:t>
      </w:r>
    </w:p>
    <w:p w:rsidR="000C1520" w:rsidRDefault="000C1520" w:rsidP="00962292">
      <w:pPr>
        <w:spacing w:after="0" w:line="288" w:lineRule="auto"/>
        <w:ind w:right="480"/>
        <w:jc w:val="both"/>
        <w:rPr>
          <w:rFonts w:eastAsia="MS Mincho" w:cs="Calibri"/>
          <w:b/>
          <w:lang w:eastAsia="ja-JP"/>
        </w:rPr>
      </w:pPr>
    </w:p>
    <w:p w:rsidR="00E603EE" w:rsidRDefault="00E603EE" w:rsidP="00962292">
      <w:pPr>
        <w:spacing w:after="0" w:line="288" w:lineRule="auto"/>
        <w:ind w:right="480"/>
        <w:jc w:val="both"/>
        <w:rPr>
          <w:rFonts w:eastAsia="MS Mincho" w:cs="Calibri"/>
          <w:b/>
          <w:lang w:eastAsia="ja-JP"/>
        </w:rPr>
      </w:pPr>
    </w:p>
    <w:p w:rsidR="00E603EE" w:rsidRDefault="00E603EE" w:rsidP="00962292">
      <w:pPr>
        <w:spacing w:after="0" w:line="288" w:lineRule="auto"/>
        <w:ind w:right="480"/>
        <w:jc w:val="both"/>
        <w:rPr>
          <w:rFonts w:eastAsia="MS Mincho" w:cs="Calibri"/>
          <w:b/>
          <w:lang w:eastAsia="ja-JP"/>
        </w:rPr>
      </w:pPr>
    </w:p>
    <w:p w:rsidR="00E603EE" w:rsidRDefault="00E603EE" w:rsidP="00962292">
      <w:pPr>
        <w:spacing w:after="0" w:line="288" w:lineRule="auto"/>
        <w:ind w:right="480"/>
        <w:jc w:val="both"/>
        <w:rPr>
          <w:rFonts w:eastAsia="MS Mincho" w:cs="Calibri"/>
          <w:b/>
          <w:lang w:eastAsia="ja-JP"/>
        </w:rPr>
      </w:pPr>
    </w:p>
    <w:p w:rsidR="00E603EE" w:rsidRDefault="00E603EE" w:rsidP="00962292">
      <w:pPr>
        <w:spacing w:after="0" w:line="288" w:lineRule="auto"/>
        <w:ind w:right="480"/>
        <w:jc w:val="both"/>
        <w:rPr>
          <w:rFonts w:eastAsia="MS Mincho" w:cs="Calibri"/>
          <w:b/>
          <w:lang w:eastAsia="ja-JP"/>
        </w:rPr>
      </w:pPr>
    </w:p>
    <w:p w:rsidR="00E603EE" w:rsidRDefault="00E603EE" w:rsidP="00962292">
      <w:pPr>
        <w:spacing w:after="0" w:line="288" w:lineRule="auto"/>
        <w:ind w:right="480"/>
        <w:jc w:val="both"/>
        <w:rPr>
          <w:rFonts w:eastAsia="MS Mincho" w:cs="Calibri"/>
          <w:b/>
          <w:lang w:eastAsia="ja-JP"/>
        </w:rPr>
      </w:pPr>
    </w:p>
    <w:p w:rsidR="00E603EE" w:rsidRDefault="00E603EE" w:rsidP="00962292">
      <w:pPr>
        <w:spacing w:after="0" w:line="288" w:lineRule="auto"/>
        <w:ind w:right="480"/>
        <w:jc w:val="both"/>
        <w:rPr>
          <w:rFonts w:eastAsia="MS Mincho" w:cs="Calibri"/>
          <w:b/>
          <w:lang w:eastAsia="ja-JP"/>
        </w:rPr>
      </w:pPr>
    </w:p>
    <w:p w:rsidR="00E603EE" w:rsidRDefault="00E603EE" w:rsidP="00962292">
      <w:pPr>
        <w:spacing w:after="0" w:line="288" w:lineRule="auto"/>
        <w:ind w:right="480"/>
        <w:jc w:val="both"/>
        <w:rPr>
          <w:rFonts w:eastAsia="MS Mincho" w:cs="Calibri"/>
          <w:b/>
          <w:lang w:eastAsia="ja-JP"/>
        </w:rPr>
      </w:pPr>
    </w:p>
    <w:p w:rsidR="00E603EE" w:rsidRDefault="00E603EE" w:rsidP="00962292">
      <w:pPr>
        <w:spacing w:after="0" w:line="288" w:lineRule="auto"/>
        <w:ind w:right="480"/>
        <w:jc w:val="both"/>
        <w:rPr>
          <w:rFonts w:eastAsia="MS Mincho" w:cs="Calibri"/>
          <w:b/>
          <w:lang w:eastAsia="ja-JP"/>
        </w:rPr>
      </w:pPr>
    </w:p>
    <w:p w:rsidR="00E603EE" w:rsidRDefault="00E603EE" w:rsidP="00962292">
      <w:pPr>
        <w:spacing w:after="0" w:line="288" w:lineRule="auto"/>
        <w:ind w:right="480"/>
        <w:jc w:val="both"/>
        <w:rPr>
          <w:rFonts w:eastAsia="MS Mincho" w:cs="Calibri"/>
          <w:b/>
          <w:lang w:eastAsia="ja-JP"/>
        </w:rPr>
      </w:pPr>
    </w:p>
    <w:p w:rsidR="00E603EE" w:rsidRDefault="00E603EE" w:rsidP="00962292">
      <w:pPr>
        <w:spacing w:after="0" w:line="288" w:lineRule="auto"/>
        <w:ind w:right="480"/>
        <w:jc w:val="both"/>
        <w:rPr>
          <w:rFonts w:eastAsia="MS Mincho" w:cs="Calibri"/>
          <w:b/>
          <w:lang w:eastAsia="ja-JP"/>
        </w:rPr>
      </w:pPr>
    </w:p>
    <w:p w:rsidR="000C1520" w:rsidRPr="00962292" w:rsidRDefault="000C1520" w:rsidP="00962292">
      <w:pPr>
        <w:spacing w:after="0" w:line="288" w:lineRule="auto"/>
        <w:ind w:right="480"/>
        <w:jc w:val="both"/>
        <w:rPr>
          <w:rFonts w:eastAsia="MS Mincho" w:cs="Calibri"/>
          <w:b/>
          <w:lang w:eastAsia="ja-JP"/>
        </w:rPr>
      </w:pPr>
      <w:r w:rsidRPr="00636499">
        <w:rPr>
          <w:rFonts w:eastAsia="MS Mincho" w:cs="Calibri"/>
          <w:b/>
          <w:lang w:eastAsia="ja-JP"/>
        </w:rPr>
        <w:lastRenderedPageBreak/>
        <w:t>MJERE ZA OSTVARIVANJE CILJA</w:t>
      </w:r>
    </w:p>
    <w:p w:rsidR="000C1520" w:rsidRDefault="000C1520" w:rsidP="00C13AF1">
      <w:pPr>
        <w:spacing w:after="0" w:line="288" w:lineRule="auto"/>
        <w:ind w:right="480"/>
        <w:jc w:val="both"/>
        <w:rPr>
          <w:rFonts w:eastAsia="MS Mincho" w:cs="Calibri"/>
          <w:b/>
          <w:lang w:eastAsia="ja-JP"/>
        </w:rPr>
      </w:pPr>
    </w:p>
    <w:p w:rsidR="000C1520" w:rsidRPr="00636499" w:rsidRDefault="000C1520" w:rsidP="00C13AF1">
      <w:pPr>
        <w:spacing w:after="0" w:line="288" w:lineRule="auto"/>
        <w:ind w:right="480"/>
        <w:jc w:val="both"/>
        <w:rPr>
          <w:rFonts w:eastAsia="MS Mincho" w:cs="Calibri"/>
          <w:b/>
          <w:lang w:eastAsia="ja-JP"/>
        </w:rPr>
      </w:pPr>
      <w:r w:rsidRPr="00636499">
        <w:rPr>
          <w:rFonts w:eastAsia="MS Mincho" w:cs="Calibri"/>
          <w:b/>
          <w:lang w:eastAsia="ja-JP"/>
        </w:rPr>
        <w:t xml:space="preserve">Prioritetno područje „Ciljano privlačenje investicija“ </w:t>
      </w:r>
      <w:r w:rsidRPr="00636499">
        <w:rPr>
          <w:rFonts w:eastAsia="MS Mincho" w:cs="Calibri"/>
          <w:lang w:eastAsia="ja-JP"/>
        </w:rPr>
        <w:t>uključuje</w:t>
      </w:r>
      <w:r w:rsidRPr="00636499">
        <w:rPr>
          <w:rFonts w:eastAsia="MS Mincho" w:cs="Calibri"/>
          <w:b/>
          <w:lang w:eastAsia="ja-JP"/>
        </w:rPr>
        <w:t xml:space="preserve"> </w:t>
      </w:r>
      <w:r w:rsidRPr="00636499">
        <w:rPr>
          <w:rFonts w:eastAsia="MS Mincho" w:cs="Calibri"/>
          <w:lang w:eastAsia="ja-JP"/>
        </w:rPr>
        <w:t>sljedeće mjere:</w:t>
      </w:r>
      <w:r w:rsidRPr="00636499">
        <w:rPr>
          <w:rFonts w:eastAsia="MS Mincho" w:cs="Calibri"/>
          <w:b/>
          <w:lang w:eastAsia="ja-JP"/>
        </w:rPr>
        <w:t xml:space="preserve"> </w:t>
      </w:r>
    </w:p>
    <w:p w:rsidR="000C1520" w:rsidRPr="00636499" w:rsidRDefault="00D87C12" w:rsidP="002A38FA">
      <w:pPr>
        <w:spacing w:after="0" w:line="288" w:lineRule="auto"/>
        <w:ind w:left="360" w:right="480"/>
        <w:jc w:val="both"/>
        <w:rPr>
          <w:rFonts w:eastAsia="MS Mincho" w:cs="Calibri"/>
          <w:lang w:eastAsia="ja-JP"/>
        </w:rPr>
      </w:pPr>
      <w:r>
        <w:rPr>
          <w:noProof/>
        </w:rPr>
        <w:drawing>
          <wp:anchor distT="0" distB="0" distL="955548" distR="951738" simplePos="0" relativeHeight="251659264" behindDoc="0" locked="0" layoutInCell="1" allowOverlap="1">
            <wp:simplePos x="0" y="0"/>
            <wp:positionH relativeFrom="column">
              <wp:posOffset>90805</wp:posOffset>
            </wp:positionH>
            <wp:positionV relativeFrom="paragraph">
              <wp:posOffset>167640</wp:posOffset>
            </wp:positionV>
            <wp:extent cx="5543550" cy="2409825"/>
            <wp:effectExtent l="0" t="0" r="0" b="9525"/>
            <wp:wrapSquare wrapText="bothSides"/>
            <wp:docPr id="13" name="Picture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V relativeFrom="margin">
              <wp14:pctHeight>0</wp14:pctHeight>
            </wp14:sizeRelV>
          </wp:anchor>
        </w:drawing>
      </w:r>
    </w:p>
    <w:p w:rsidR="000C1520" w:rsidRPr="00636499" w:rsidRDefault="000C1520" w:rsidP="00B47881">
      <w:pPr>
        <w:spacing w:after="0" w:line="360" w:lineRule="auto"/>
        <w:jc w:val="both"/>
        <w:rPr>
          <w:rFonts w:eastAsia="MS Mincho" w:cs="Calibri"/>
          <w:lang w:eastAsia="ja-JP"/>
        </w:rPr>
      </w:pPr>
      <w:r w:rsidRPr="00636499">
        <w:rPr>
          <w:rFonts w:eastAsia="MS Mincho" w:cs="Calibri"/>
          <w:lang w:eastAsia="ja-JP"/>
        </w:rPr>
        <w:t xml:space="preserve">Mjere iz prioritetnog područja nužno je provoditi u koordinaciji s prioritetnim područjem </w:t>
      </w:r>
      <w:r>
        <w:rPr>
          <w:rFonts w:eastAsia="MS Mincho" w:cs="Calibri"/>
          <w:lang w:eastAsia="ja-JP"/>
        </w:rPr>
        <w:t>3.</w:t>
      </w:r>
      <w:r w:rsidRPr="00636499">
        <w:rPr>
          <w:rFonts w:eastAsia="MS Mincho" w:cs="Calibri"/>
          <w:lang w:eastAsia="ja-JP"/>
        </w:rPr>
        <w:t xml:space="preserve">2. S obzirom na različitost </w:t>
      </w:r>
      <w:r>
        <w:rPr>
          <w:rFonts w:eastAsia="MS Mincho" w:cs="Calibri"/>
          <w:lang w:eastAsia="ja-JP"/>
        </w:rPr>
        <w:t xml:space="preserve">pristupa u procesu privlačenja </w:t>
      </w:r>
      <w:proofErr w:type="spellStart"/>
      <w:r w:rsidRPr="00234F7C">
        <w:rPr>
          <w:rFonts w:eastAsia="MS Mincho" w:cs="Calibri"/>
          <w:i/>
          <w:lang w:eastAsia="ja-JP"/>
        </w:rPr>
        <w:t>greenfield</w:t>
      </w:r>
      <w:proofErr w:type="spellEnd"/>
      <w:r w:rsidRPr="00636499">
        <w:rPr>
          <w:rFonts w:eastAsia="MS Mincho" w:cs="Calibri"/>
          <w:lang w:eastAsia="ja-JP"/>
        </w:rPr>
        <w:t xml:space="preserve"> investicija iz</w:t>
      </w:r>
      <w:r>
        <w:rPr>
          <w:rFonts w:eastAsia="MS Mincho" w:cs="Calibri"/>
          <w:lang w:eastAsia="ja-JP"/>
        </w:rPr>
        <w:t>radit će se zasebni planovi za četiri</w:t>
      </w:r>
      <w:r w:rsidRPr="00636499">
        <w:rPr>
          <w:rFonts w:eastAsia="MS Mincho" w:cs="Calibri"/>
          <w:lang w:eastAsia="ja-JP"/>
        </w:rPr>
        <w:t xml:space="preserve"> područja: izvozno-orijentirane sektore</w:t>
      </w:r>
      <w:r>
        <w:rPr>
          <w:rFonts w:eastAsia="MS Mincho" w:cs="Calibri"/>
          <w:lang w:eastAsia="ja-JP"/>
        </w:rPr>
        <w:t xml:space="preserve"> i turizam, industrije u nastajanju i visoko-tehnološke sektore, </w:t>
      </w:r>
      <w:r w:rsidRPr="00636499">
        <w:rPr>
          <w:rFonts w:eastAsia="MS Mincho" w:cs="Calibri"/>
          <w:lang w:eastAsia="ja-JP"/>
        </w:rPr>
        <w:t>potpomognu</w:t>
      </w:r>
      <w:r>
        <w:rPr>
          <w:rFonts w:eastAsia="MS Mincho" w:cs="Calibri"/>
          <w:lang w:eastAsia="ja-JP"/>
        </w:rPr>
        <w:t xml:space="preserve">ta područja u RH te </w:t>
      </w:r>
      <w:proofErr w:type="spellStart"/>
      <w:r w:rsidRPr="00234F7C">
        <w:rPr>
          <w:rFonts w:eastAsia="MS Mincho" w:cs="Calibri"/>
          <w:i/>
          <w:lang w:eastAsia="ja-JP"/>
        </w:rPr>
        <w:t>brownfield</w:t>
      </w:r>
      <w:proofErr w:type="spellEnd"/>
      <w:r w:rsidRPr="00636499">
        <w:rPr>
          <w:rFonts w:eastAsia="MS Mincho" w:cs="Calibri"/>
          <w:lang w:eastAsia="ja-JP"/>
        </w:rPr>
        <w:t xml:space="preserve"> investicije koje stavljaju u funkciju državnu imovinu. Planovi će se nadopunjavati na </w:t>
      </w:r>
      <w:r>
        <w:rPr>
          <w:rFonts w:eastAsia="MS Mincho" w:cs="Calibri"/>
          <w:lang w:eastAsia="ja-JP"/>
        </w:rPr>
        <w:t>tro</w:t>
      </w:r>
      <w:r w:rsidRPr="00636499">
        <w:rPr>
          <w:rFonts w:eastAsia="MS Mincho" w:cs="Calibri"/>
          <w:lang w:eastAsia="ja-JP"/>
        </w:rPr>
        <w:t>godišnjoj osnovi temeljem trendova u svijetu i Republici Hrvatskoj.</w:t>
      </w:r>
    </w:p>
    <w:p w:rsidR="000C1520" w:rsidRPr="00AF566A" w:rsidRDefault="000C1520" w:rsidP="00D74ECD">
      <w:pPr>
        <w:pStyle w:val="Heading3"/>
      </w:pPr>
      <w:bookmarkStart w:id="50" w:name="_Toc351127615"/>
      <w:bookmarkStart w:id="51" w:name="_Toc373137873"/>
      <w:r w:rsidRPr="00AF566A">
        <w:t>3.3.1. IZRAD</w:t>
      </w:r>
      <w:r w:rsidR="009950EA">
        <w:t xml:space="preserve">A I PROVEDBA PLANA PRIVLAČENJA </w:t>
      </w:r>
      <w:r w:rsidRPr="00C3056D">
        <w:rPr>
          <w:i/>
        </w:rPr>
        <w:t>GREENFIELD</w:t>
      </w:r>
      <w:r w:rsidR="009950EA">
        <w:t xml:space="preserve"> </w:t>
      </w:r>
      <w:r w:rsidRPr="00AF566A">
        <w:t xml:space="preserve"> INVESTICIJA U IZVOZNO- ORIJENTIRANE SEKTORE I TURIZAM</w:t>
      </w:r>
      <w:bookmarkEnd w:id="50"/>
      <w:bookmarkEnd w:id="51"/>
      <w:r w:rsidRPr="00AF566A">
        <w:t xml:space="preserve"> </w:t>
      </w:r>
    </w:p>
    <w:p w:rsidR="000C1520" w:rsidRPr="00636499" w:rsidRDefault="000C1520" w:rsidP="007F486F">
      <w:pPr>
        <w:spacing w:after="0"/>
        <w:rPr>
          <w:lang w:eastAsia="lt-LT"/>
        </w:rPr>
      </w:pPr>
    </w:p>
    <w:p w:rsidR="000C1520" w:rsidRPr="00636499" w:rsidRDefault="000C1520" w:rsidP="00062D1D">
      <w:pPr>
        <w:spacing w:after="0" w:line="360" w:lineRule="auto"/>
        <w:jc w:val="both"/>
        <w:rPr>
          <w:rFonts w:eastAsia="MS Mincho" w:cs="Calibri"/>
          <w:lang w:eastAsia="ja-JP"/>
        </w:rPr>
      </w:pPr>
      <w:r w:rsidRPr="00636499">
        <w:rPr>
          <w:rFonts w:eastAsia="MS Mincho" w:cs="Calibri"/>
          <w:lang w:eastAsia="ja-JP"/>
        </w:rPr>
        <w:t>Brži rast i razvoj uz ograničenu nacionalnu štednju u Republici Hrvatskoj može se postići samo inozemnom štednjom. Najkor</w:t>
      </w:r>
      <w:r>
        <w:rPr>
          <w:rFonts w:eastAsia="MS Mincho" w:cs="Calibri"/>
          <w:lang w:eastAsia="ja-JP"/>
        </w:rPr>
        <w:t>isniji oblik inozemne štednje čine</w:t>
      </w:r>
      <w:r w:rsidRPr="00636499">
        <w:rPr>
          <w:rFonts w:eastAsia="MS Mincho" w:cs="Calibri"/>
          <w:lang w:eastAsia="ja-JP"/>
        </w:rPr>
        <w:t xml:space="preserve"> izravna strana ulaganja. Osim što predstavljaju svjež</w:t>
      </w:r>
      <w:r>
        <w:rPr>
          <w:rFonts w:eastAsia="MS Mincho" w:cs="Calibri"/>
          <w:lang w:eastAsia="ja-JP"/>
        </w:rPr>
        <w:t>i dotok kapitala, ne ubrajaju</w:t>
      </w:r>
      <w:r w:rsidRPr="00636499">
        <w:rPr>
          <w:rFonts w:eastAsia="MS Mincho" w:cs="Calibri"/>
          <w:lang w:eastAsia="ja-JP"/>
        </w:rPr>
        <w:t xml:space="preserve"> se u vanjski dug, a uz njih se vežu i prijenos tehnologije, prijenos znanja te por</w:t>
      </w:r>
      <w:r>
        <w:rPr>
          <w:rFonts w:eastAsia="MS Mincho" w:cs="Calibri"/>
          <w:lang w:eastAsia="ja-JP"/>
        </w:rPr>
        <w:t>ast produktivnosti i učinkovitosti</w:t>
      </w:r>
      <w:r w:rsidRPr="00636499">
        <w:rPr>
          <w:rFonts w:eastAsia="MS Mincho" w:cs="Calibri"/>
          <w:lang w:eastAsia="ja-JP"/>
        </w:rPr>
        <w:t xml:space="preserve">. </w:t>
      </w:r>
    </w:p>
    <w:p w:rsidR="000C1520" w:rsidRPr="00636499" w:rsidRDefault="000C1520" w:rsidP="00062D1D">
      <w:pPr>
        <w:spacing w:after="0" w:line="360" w:lineRule="auto"/>
        <w:jc w:val="both"/>
        <w:rPr>
          <w:rFonts w:eastAsia="MS Mincho" w:cs="Calibri"/>
          <w:lang w:eastAsia="ja-JP"/>
        </w:rPr>
      </w:pPr>
      <w:r>
        <w:rPr>
          <w:rFonts w:eastAsia="MS Mincho" w:cs="Calibri"/>
          <w:lang w:eastAsia="ja-JP"/>
        </w:rPr>
        <w:t xml:space="preserve">Iako je Hrvatska </w:t>
      </w:r>
      <w:r w:rsidRPr="00636499">
        <w:rPr>
          <w:rFonts w:eastAsia="MS Mincho" w:cs="Calibri"/>
          <w:lang w:eastAsia="ja-JP"/>
        </w:rPr>
        <w:t xml:space="preserve">kumulativno </w:t>
      </w:r>
      <w:r>
        <w:rPr>
          <w:rFonts w:eastAsia="MS Mincho" w:cs="Calibri"/>
          <w:lang w:eastAsia="ja-JP"/>
        </w:rPr>
        <w:t xml:space="preserve">prikupila velik broj </w:t>
      </w:r>
      <w:r w:rsidRPr="00636499">
        <w:rPr>
          <w:rFonts w:eastAsia="MS Mincho" w:cs="Calibri"/>
          <w:lang w:eastAsia="ja-JP"/>
        </w:rPr>
        <w:t>izravnih stranih investicija, velika većina je vezana uz veće privatizacijske p</w:t>
      </w:r>
      <w:r>
        <w:rPr>
          <w:rFonts w:eastAsia="MS Mincho" w:cs="Calibri"/>
          <w:lang w:eastAsia="ja-JP"/>
        </w:rPr>
        <w:t>oslove i sektore koji su uglavnom</w:t>
      </w:r>
      <w:r w:rsidRPr="00636499">
        <w:rPr>
          <w:rFonts w:eastAsia="MS Mincho" w:cs="Calibri"/>
          <w:lang w:eastAsia="ja-JP"/>
        </w:rPr>
        <w:t xml:space="preserve"> orijentirani na domaće tržište (telekomun</w:t>
      </w:r>
      <w:r>
        <w:rPr>
          <w:rFonts w:eastAsia="MS Mincho" w:cs="Calibri"/>
          <w:lang w:eastAsia="ja-JP"/>
        </w:rPr>
        <w:t xml:space="preserve">ikacije, hoteli, farmaceutika, financijski sektor). Izostale su </w:t>
      </w:r>
      <w:proofErr w:type="spellStart"/>
      <w:r w:rsidRPr="003408D8">
        <w:rPr>
          <w:rFonts w:eastAsia="MS Mincho" w:cs="Calibri"/>
          <w:i/>
          <w:lang w:eastAsia="ja-JP"/>
        </w:rPr>
        <w:t>greenfield</w:t>
      </w:r>
      <w:proofErr w:type="spellEnd"/>
      <w:r w:rsidRPr="00636499">
        <w:rPr>
          <w:rFonts w:eastAsia="MS Mincho" w:cs="Calibri"/>
          <w:lang w:eastAsia="ja-JP"/>
        </w:rPr>
        <w:t xml:space="preserve"> investicije koje mogu bitno pridonijeti promjeni strukture p</w:t>
      </w:r>
      <w:r>
        <w:rPr>
          <w:rFonts w:eastAsia="MS Mincho" w:cs="Calibri"/>
          <w:lang w:eastAsia="ja-JP"/>
        </w:rPr>
        <w:t>rivrede i dinamiziranju njezinog rasta i razvoja. Brojne</w:t>
      </w:r>
      <w:r w:rsidRPr="00636499">
        <w:rPr>
          <w:rFonts w:eastAsia="MS Mincho" w:cs="Calibri"/>
          <w:lang w:eastAsia="ja-JP"/>
        </w:rPr>
        <w:t xml:space="preserve"> studije govore o moguće</w:t>
      </w:r>
      <w:r>
        <w:rPr>
          <w:rFonts w:eastAsia="MS Mincho" w:cs="Calibri"/>
          <w:lang w:eastAsia="ja-JP"/>
        </w:rPr>
        <w:t xml:space="preserve">m pozitivnom učinku </w:t>
      </w:r>
      <w:proofErr w:type="spellStart"/>
      <w:r w:rsidRPr="003408D8">
        <w:rPr>
          <w:rFonts w:eastAsia="MS Mincho" w:cs="Calibri"/>
          <w:i/>
          <w:lang w:eastAsia="ja-JP"/>
        </w:rPr>
        <w:t>greenfield</w:t>
      </w:r>
      <w:proofErr w:type="spellEnd"/>
      <w:r w:rsidRPr="00636499">
        <w:rPr>
          <w:rFonts w:eastAsia="MS Mincho" w:cs="Calibri"/>
          <w:lang w:eastAsia="ja-JP"/>
        </w:rPr>
        <w:t xml:space="preserve"> izravni</w:t>
      </w:r>
      <w:r>
        <w:rPr>
          <w:rFonts w:eastAsia="MS Mincho" w:cs="Calibri"/>
          <w:lang w:eastAsia="ja-JP"/>
        </w:rPr>
        <w:t xml:space="preserve">h </w:t>
      </w:r>
      <w:r w:rsidRPr="00636499">
        <w:rPr>
          <w:rFonts w:eastAsia="MS Mincho" w:cs="Calibri"/>
          <w:lang w:eastAsia="ja-JP"/>
        </w:rPr>
        <w:t>stranih inv</w:t>
      </w:r>
      <w:r>
        <w:rPr>
          <w:rFonts w:eastAsia="MS Mincho" w:cs="Calibri"/>
          <w:lang w:eastAsia="ja-JP"/>
        </w:rPr>
        <w:t>esticija na rast BDP-a i izvoza</w:t>
      </w:r>
      <w:r w:rsidRPr="00636499">
        <w:rPr>
          <w:rFonts w:eastAsia="MS Mincho" w:cs="Calibri"/>
          <w:lang w:eastAsia="ja-JP"/>
        </w:rPr>
        <w:t xml:space="preserve"> te transfer tehnologije. Nadalje, izravne strane investicije, ali i izvozno orijenti</w:t>
      </w:r>
      <w:r>
        <w:rPr>
          <w:rFonts w:eastAsia="MS Mincho" w:cs="Calibri"/>
          <w:lang w:eastAsia="ja-JP"/>
        </w:rPr>
        <w:t xml:space="preserve">rane domaće investicije, putem </w:t>
      </w:r>
      <w:proofErr w:type="spellStart"/>
      <w:r w:rsidRPr="00900405">
        <w:rPr>
          <w:rFonts w:eastAsia="MS Mincho" w:cs="Calibri"/>
          <w:i/>
          <w:lang w:eastAsia="ja-JP"/>
        </w:rPr>
        <w:t>greenfield</w:t>
      </w:r>
      <w:proofErr w:type="spellEnd"/>
      <w:r w:rsidRPr="00636499">
        <w:rPr>
          <w:rFonts w:eastAsia="MS Mincho" w:cs="Calibri"/>
          <w:lang w:eastAsia="ja-JP"/>
        </w:rPr>
        <w:t xml:space="preserve"> investicija mogu pomoći u mijenjanju strukture </w:t>
      </w:r>
      <w:r>
        <w:rPr>
          <w:rFonts w:eastAsia="MS Mincho" w:cs="Calibri"/>
          <w:lang w:eastAsia="ja-JP"/>
        </w:rPr>
        <w:t xml:space="preserve">i povećanju </w:t>
      </w:r>
      <w:r>
        <w:rPr>
          <w:rFonts w:eastAsia="MS Mincho" w:cs="Calibri"/>
          <w:lang w:eastAsia="ja-JP"/>
        </w:rPr>
        <w:lastRenderedPageBreak/>
        <w:t xml:space="preserve">konkurentnosti hrvatskog gospodarstva. </w:t>
      </w:r>
      <w:r w:rsidRPr="00636499">
        <w:rPr>
          <w:rFonts w:eastAsia="MS Mincho" w:cs="Calibri"/>
          <w:lang w:eastAsia="ja-JP"/>
        </w:rPr>
        <w:t>Stoga se u zemljama koje su uspješne u privlačenju stranih investicija i razvoju posebno potiču:</w:t>
      </w:r>
    </w:p>
    <w:p w:rsidR="000C1520" w:rsidRPr="00636499" w:rsidRDefault="000C1520" w:rsidP="0023474F">
      <w:pPr>
        <w:numPr>
          <w:ilvl w:val="0"/>
          <w:numId w:val="16"/>
        </w:numPr>
        <w:spacing w:after="0" w:line="360" w:lineRule="auto"/>
        <w:jc w:val="both"/>
        <w:rPr>
          <w:rFonts w:eastAsia="MS Mincho" w:cs="Calibri"/>
          <w:lang w:eastAsia="ja-JP"/>
        </w:rPr>
      </w:pPr>
      <w:r w:rsidRPr="00636499">
        <w:rPr>
          <w:rFonts w:eastAsia="MS Mincho" w:cs="Calibri"/>
          <w:lang w:eastAsia="ja-JP"/>
        </w:rPr>
        <w:t>strane investicije koje dolaze radi proizvodnje i plasmana na šire regionalno tržište (povećanje izvoza) i</w:t>
      </w:r>
    </w:p>
    <w:p w:rsidR="000C1520" w:rsidRPr="00636499" w:rsidRDefault="000C1520" w:rsidP="0023474F">
      <w:pPr>
        <w:numPr>
          <w:ilvl w:val="0"/>
          <w:numId w:val="16"/>
        </w:numPr>
        <w:spacing w:after="0" w:line="360" w:lineRule="auto"/>
        <w:jc w:val="both"/>
        <w:rPr>
          <w:rFonts w:eastAsia="MS Mincho" w:cs="Calibri"/>
          <w:lang w:eastAsia="ja-JP"/>
        </w:rPr>
      </w:pPr>
      <w:r w:rsidRPr="00636499">
        <w:rPr>
          <w:rFonts w:eastAsia="MS Mincho" w:cs="Calibri"/>
          <w:lang w:eastAsia="ja-JP"/>
        </w:rPr>
        <w:t>domaće investicije koje se ostvaruj</w:t>
      </w:r>
      <w:r>
        <w:rPr>
          <w:rFonts w:eastAsia="MS Mincho" w:cs="Calibri"/>
          <w:lang w:eastAsia="ja-JP"/>
        </w:rPr>
        <w:t>u radi izvoza ili razvoja</w:t>
      </w:r>
      <w:r w:rsidRPr="00636499">
        <w:rPr>
          <w:rFonts w:eastAsia="MS Mincho" w:cs="Calibri"/>
          <w:lang w:eastAsia="ja-JP"/>
        </w:rPr>
        <w:t xml:space="preserve"> djelatnosti koja nakon zadovoljava</w:t>
      </w:r>
      <w:r>
        <w:rPr>
          <w:rFonts w:eastAsia="MS Mincho" w:cs="Calibri"/>
          <w:lang w:eastAsia="ja-JP"/>
        </w:rPr>
        <w:t>nja domaćeg tržišta može prijeći u</w:t>
      </w:r>
      <w:r w:rsidRPr="00636499">
        <w:rPr>
          <w:rFonts w:eastAsia="MS Mincho" w:cs="Calibri"/>
          <w:lang w:eastAsia="ja-JP"/>
        </w:rPr>
        <w:t xml:space="preserve"> izvoz.</w:t>
      </w:r>
    </w:p>
    <w:p w:rsidR="000C1520" w:rsidRPr="00636499" w:rsidRDefault="000C1520" w:rsidP="00062D1D">
      <w:pPr>
        <w:spacing w:after="0" w:line="360" w:lineRule="auto"/>
        <w:jc w:val="both"/>
        <w:rPr>
          <w:rFonts w:eastAsia="MS Mincho" w:cs="Calibri"/>
          <w:lang w:eastAsia="ja-JP"/>
        </w:rPr>
      </w:pPr>
    </w:p>
    <w:p w:rsidR="000C1520" w:rsidRPr="00636499" w:rsidRDefault="000C1520" w:rsidP="00062D1D">
      <w:pPr>
        <w:spacing w:after="0" w:line="360" w:lineRule="auto"/>
        <w:jc w:val="both"/>
        <w:rPr>
          <w:rFonts w:eastAsia="MS Mincho" w:cs="Calibri"/>
          <w:lang w:eastAsia="ja-JP"/>
        </w:rPr>
      </w:pPr>
      <w:r>
        <w:rPr>
          <w:rFonts w:eastAsia="MS Mincho" w:cs="Calibri"/>
          <w:lang w:eastAsia="ja-JP"/>
        </w:rPr>
        <w:t>Odabir</w:t>
      </w:r>
      <w:r w:rsidRPr="00636499">
        <w:rPr>
          <w:rFonts w:eastAsia="MS Mincho" w:cs="Calibri"/>
          <w:lang w:eastAsia="ja-JP"/>
        </w:rPr>
        <w:t xml:space="preserve"> ko</w:t>
      </w:r>
      <w:r>
        <w:rPr>
          <w:rFonts w:eastAsia="MS Mincho" w:cs="Calibri"/>
          <w:lang w:eastAsia="ja-JP"/>
        </w:rPr>
        <w:t xml:space="preserve">nkurentnih sektora, uz turizam, temeljit će se na </w:t>
      </w:r>
      <w:r w:rsidRPr="00636499">
        <w:rPr>
          <w:rFonts w:eastAsia="MS Mincho" w:cs="Calibri"/>
          <w:lang w:eastAsia="ja-JP"/>
        </w:rPr>
        <w:t>sektorima</w:t>
      </w:r>
      <w:r>
        <w:rPr>
          <w:rFonts w:eastAsia="MS Mincho" w:cs="Calibri"/>
          <w:lang w:eastAsia="ja-JP"/>
        </w:rPr>
        <w:t xml:space="preserve"> s izvoznim potencijalom </w:t>
      </w:r>
      <w:r w:rsidRPr="00636499">
        <w:rPr>
          <w:rFonts w:eastAsia="MS Mincho" w:cs="Calibri"/>
          <w:lang w:eastAsia="ja-JP"/>
        </w:rPr>
        <w:t xml:space="preserve"> </w:t>
      </w:r>
      <w:r>
        <w:rPr>
          <w:rFonts w:eastAsia="MS Mincho" w:cs="Calibri"/>
          <w:lang w:eastAsia="ja-JP"/>
        </w:rPr>
        <w:t>definiranim u okviru Industrijske strategije RH.</w:t>
      </w:r>
      <w:r w:rsidRPr="00636499">
        <w:rPr>
          <w:rFonts w:eastAsia="MS Mincho" w:cs="Calibri"/>
          <w:lang w:eastAsia="ja-JP"/>
        </w:rPr>
        <w:t xml:space="preserve"> </w:t>
      </w:r>
      <w:r>
        <w:rPr>
          <w:rFonts w:eastAsia="MS Mincho" w:cs="Calibri"/>
          <w:lang w:eastAsia="ja-JP"/>
        </w:rPr>
        <w:t>U</w:t>
      </w:r>
      <w:r w:rsidRPr="00636499">
        <w:rPr>
          <w:rFonts w:eastAsia="MS Mincho" w:cs="Calibri"/>
          <w:lang w:eastAsia="ja-JP"/>
        </w:rPr>
        <w:t>nutar</w:t>
      </w:r>
      <w:r>
        <w:rPr>
          <w:rFonts w:eastAsia="MS Mincho" w:cs="Calibri"/>
          <w:lang w:eastAsia="ja-JP"/>
        </w:rPr>
        <w:t xml:space="preserve"> njih utvrdit će se</w:t>
      </w:r>
      <w:r w:rsidRPr="00636499">
        <w:rPr>
          <w:rFonts w:eastAsia="MS Mincho" w:cs="Calibri"/>
          <w:lang w:eastAsia="ja-JP"/>
        </w:rPr>
        <w:t xml:space="preserve"> niše s najvećim potencijalom za privlače</w:t>
      </w:r>
      <w:r>
        <w:rPr>
          <w:rFonts w:eastAsia="MS Mincho" w:cs="Calibri"/>
          <w:lang w:eastAsia="ja-JP"/>
        </w:rPr>
        <w:t>nje investicija. Definiranjem</w:t>
      </w:r>
      <w:r w:rsidRPr="00636499">
        <w:rPr>
          <w:rFonts w:eastAsia="MS Mincho" w:cs="Calibri"/>
          <w:lang w:eastAsia="ja-JP"/>
        </w:rPr>
        <w:t xml:space="preserve"> prioritetnih sektora i niša odredit će se jasan smjer razvoja sektora te poslati poruka potencijalnim investitorima o snažnoj podršci </w:t>
      </w:r>
      <w:r>
        <w:rPr>
          <w:rFonts w:eastAsia="MS Mincho" w:cs="Calibri"/>
          <w:lang w:eastAsia="ja-JP"/>
        </w:rPr>
        <w:t>RH razvoju</w:t>
      </w:r>
      <w:r w:rsidRPr="00636499">
        <w:rPr>
          <w:rFonts w:eastAsia="MS Mincho" w:cs="Calibri"/>
          <w:lang w:eastAsia="ja-JP"/>
        </w:rPr>
        <w:t xml:space="preserve"> gospodarstva </w:t>
      </w:r>
      <w:r>
        <w:rPr>
          <w:rFonts w:eastAsia="MS Mincho" w:cs="Calibri"/>
          <w:lang w:eastAsia="ja-JP"/>
        </w:rPr>
        <w:t>temeljenog</w:t>
      </w:r>
      <w:r w:rsidRPr="00636499">
        <w:rPr>
          <w:rFonts w:eastAsia="MS Mincho" w:cs="Calibri"/>
          <w:lang w:eastAsia="ja-JP"/>
        </w:rPr>
        <w:t xml:space="preserve"> na sektorskoj specijalizaciji.</w:t>
      </w:r>
    </w:p>
    <w:p w:rsidR="000C1520" w:rsidRPr="00636499" w:rsidRDefault="000C1520" w:rsidP="00062D1D">
      <w:pPr>
        <w:spacing w:after="0" w:line="360" w:lineRule="auto"/>
        <w:jc w:val="both"/>
        <w:rPr>
          <w:rFonts w:eastAsia="MS Mincho" w:cs="Calibri"/>
          <w:lang w:eastAsia="ja-JP"/>
        </w:rPr>
      </w:pPr>
      <w:r>
        <w:rPr>
          <w:rFonts w:eastAsia="MS Mincho" w:cs="Calibri"/>
          <w:lang w:eastAsia="ja-JP"/>
        </w:rPr>
        <w:t>Temeljem utvrđenih</w:t>
      </w:r>
      <w:r w:rsidRPr="00636499">
        <w:rPr>
          <w:rFonts w:eastAsia="MS Mincho" w:cs="Calibri"/>
          <w:lang w:eastAsia="ja-JP"/>
        </w:rPr>
        <w:t xml:space="preserve"> sektora odredit će se najveća em</w:t>
      </w:r>
      <w:r>
        <w:rPr>
          <w:rFonts w:eastAsia="MS Mincho" w:cs="Calibri"/>
          <w:lang w:eastAsia="ja-JP"/>
        </w:rPr>
        <w:t>itivna tržišta i definirati</w:t>
      </w:r>
      <w:r w:rsidRPr="00636499">
        <w:rPr>
          <w:rFonts w:eastAsia="MS Mincho" w:cs="Calibri"/>
          <w:lang w:eastAsia="ja-JP"/>
        </w:rPr>
        <w:t xml:space="preserve"> ključne tvrtke koje žele širiti svoje poslovanje</w:t>
      </w:r>
      <w:r>
        <w:rPr>
          <w:rFonts w:eastAsia="MS Mincho" w:cs="Calibri"/>
          <w:lang w:eastAsia="ja-JP"/>
        </w:rPr>
        <w:t>,</w:t>
      </w:r>
      <w:r w:rsidRPr="00636499">
        <w:rPr>
          <w:rFonts w:eastAsia="MS Mincho" w:cs="Calibri"/>
          <w:lang w:eastAsia="ja-JP"/>
        </w:rPr>
        <w:t xml:space="preserve"> odnosno tvrtke s najvećim in</w:t>
      </w:r>
      <w:r>
        <w:rPr>
          <w:rFonts w:eastAsia="MS Mincho" w:cs="Calibri"/>
          <w:lang w:eastAsia="ja-JP"/>
        </w:rPr>
        <w:t>vesticijskim potencijalom. Popis</w:t>
      </w:r>
      <w:r w:rsidRPr="00636499">
        <w:rPr>
          <w:rFonts w:eastAsia="MS Mincho" w:cs="Calibri"/>
          <w:lang w:eastAsia="ja-JP"/>
        </w:rPr>
        <w:t xml:space="preserve"> tvrtki i tržišta ažurirat će se na godišnjoj osnovi uzimajuć</w:t>
      </w:r>
      <w:r>
        <w:rPr>
          <w:rFonts w:eastAsia="MS Mincho" w:cs="Calibri"/>
          <w:lang w:eastAsia="ja-JP"/>
        </w:rPr>
        <w:t>i u obzir kretanja na tržištu i</w:t>
      </w:r>
      <w:r w:rsidRPr="00636499">
        <w:rPr>
          <w:rFonts w:eastAsia="MS Mincho" w:cs="Calibri"/>
          <w:lang w:eastAsia="ja-JP"/>
        </w:rPr>
        <w:t xml:space="preserve"> trendove u investicijama.  </w:t>
      </w:r>
    </w:p>
    <w:p w:rsidR="000C1520" w:rsidRPr="00636499" w:rsidRDefault="000C1520" w:rsidP="00062D1D">
      <w:pPr>
        <w:spacing w:after="0" w:line="360" w:lineRule="auto"/>
        <w:jc w:val="both"/>
        <w:rPr>
          <w:rFonts w:eastAsia="MS Mincho" w:cs="Calibri"/>
          <w:lang w:eastAsia="ja-JP"/>
        </w:rPr>
      </w:pPr>
      <w:r>
        <w:rPr>
          <w:rFonts w:eastAsia="MS Mincho" w:cs="Calibri"/>
          <w:lang w:eastAsia="ja-JP"/>
        </w:rPr>
        <w:t xml:space="preserve">Provedba planova privlačenja </w:t>
      </w:r>
      <w:proofErr w:type="spellStart"/>
      <w:r w:rsidRPr="00900405">
        <w:rPr>
          <w:rFonts w:eastAsia="MS Mincho" w:cs="Calibri"/>
          <w:i/>
          <w:lang w:eastAsia="ja-JP"/>
        </w:rPr>
        <w:t>greenfield</w:t>
      </w:r>
      <w:proofErr w:type="spellEnd"/>
      <w:r w:rsidRPr="00636499">
        <w:rPr>
          <w:rFonts w:eastAsia="MS Mincho" w:cs="Calibri"/>
          <w:lang w:eastAsia="ja-JP"/>
        </w:rPr>
        <w:t xml:space="preserve"> inve</w:t>
      </w:r>
      <w:r>
        <w:rPr>
          <w:rFonts w:eastAsia="MS Mincho" w:cs="Calibri"/>
          <w:lang w:eastAsia="ja-JP"/>
        </w:rPr>
        <w:t xml:space="preserve">sticija organizirat će se kroz </w:t>
      </w:r>
      <w:proofErr w:type="spellStart"/>
      <w:r>
        <w:rPr>
          <w:rFonts w:eastAsia="MS Mincho" w:cs="Calibri"/>
          <w:i/>
          <w:lang w:eastAsia="ja-JP"/>
        </w:rPr>
        <w:t>investors</w:t>
      </w:r>
      <w:proofErr w:type="spellEnd"/>
      <w:r>
        <w:rPr>
          <w:rFonts w:eastAsia="MS Mincho" w:cs="Calibri"/>
          <w:i/>
          <w:lang w:eastAsia="ja-JP"/>
        </w:rPr>
        <w:t xml:space="preserve"> </w:t>
      </w:r>
      <w:proofErr w:type="spellStart"/>
      <w:r>
        <w:rPr>
          <w:rFonts w:eastAsia="MS Mincho" w:cs="Calibri"/>
          <w:i/>
          <w:lang w:eastAsia="ja-JP"/>
        </w:rPr>
        <w:t>o</w:t>
      </w:r>
      <w:r w:rsidRPr="00900405">
        <w:rPr>
          <w:rFonts w:eastAsia="MS Mincho" w:cs="Calibri"/>
          <w:i/>
          <w:lang w:eastAsia="ja-JP"/>
        </w:rPr>
        <w:t>utreach</w:t>
      </w:r>
      <w:proofErr w:type="spellEnd"/>
      <w:r w:rsidRPr="00636499">
        <w:rPr>
          <w:rFonts w:eastAsia="MS Mincho" w:cs="Calibri"/>
          <w:lang w:eastAsia="ja-JP"/>
        </w:rPr>
        <w:t xml:space="preserve"> kampanje. Organizacija </w:t>
      </w:r>
      <w:proofErr w:type="spellStart"/>
      <w:r>
        <w:rPr>
          <w:rFonts w:eastAsia="MS Mincho" w:cs="Calibri"/>
          <w:i/>
          <w:lang w:eastAsia="ja-JP"/>
        </w:rPr>
        <w:t>o</w:t>
      </w:r>
      <w:r w:rsidRPr="00900405">
        <w:rPr>
          <w:rFonts w:eastAsia="MS Mincho" w:cs="Calibri"/>
          <w:i/>
          <w:lang w:eastAsia="ja-JP"/>
        </w:rPr>
        <w:t>utreach</w:t>
      </w:r>
      <w:proofErr w:type="spellEnd"/>
      <w:r w:rsidRPr="00636499">
        <w:rPr>
          <w:rFonts w:eastAsia="MS Mincho" w:cs="Calibri"/>
          <w:lang w:eastAsia="ja-JP"/>
        </w:rPr>
        <w:t xml:space="preserve"> kampanja organizirat će se u suradnji s regionalnim razvojnim agencijama i diplomatsko-konzularnim predstavništvima. </w:t>
      </w:r>
      <w:proofErr w:type="spellStart"/>
      <w:r w:rsidRPr="00900405">
        <w:rPr>
          <w:rFonts w:eastAsia="MS Mincho" w:cs="Calibri"/>
          <w:i/>
          <w:lang w:eastAsia="ja-JP"/>
        </w:rPr>
        <w:t>Outreach</w:t>
      </w:r>
      <w:proofErr w:type="spellEnd"/>
      <w:r>
        <w:rPr>
          <w:rFonts w:eastAsia="MS Mincho" w:cs="Calibri"/>
          <w:lang w:eastAsia="ja-JP"/>
        </w:rPr>
        <w:t xml:space="preserve"> kampanja podrazumijeva sljedeće</w:t>
      </w:r>
      <w:r w:rsidRPr="00636499">
        <w:rPr>
          <w:rFonts w:eastAsia="MS Mincho" w:cs="Calibri"/>
          <w:lang w:eastAsia="ja-JP"/>
        </w:rPr>
        <w:t xml:space="preserve">:  </w:t>
      </w:r>
    </w:p>
    <w:p w:rsidR="000C1520" w:rsidRPr="00636499" w:rsidRDefault="000C1520" w:rsidP="0023474F">
      <w:pPr>
        <w:numPr>
          <w:ilvl w:val="0"/>
          <w:numId w:val="15"/>
        </w:numPr>
        <w:spacing w:after="0" w:line="360" w:lineRule="auto"/>
        <w:jc w:val="both"/>
        <w:rPr>
          <w:rFonts w:eastAsia="MS Mincho" w:cs="Calibri"/>
          <w:lang w:eastAsia="ja-JP"/>
        </w:rPr>
      </w:pPr>
      <w:r>
        <w:rPr>
          <w:rFonts w:eastAsia="MS Mincho" w:cs="Calibri"/>
          <w:lang w:eastAsia="ja-JP"/>
        </w:rPr>
        <w:t>organiziranje susreta</w:t>
      </w:r>
      <w:r w:rsidRPr="00636499">
        <w:rPr>
          <w:rFonts w:eastAsia="MS Mincho" w:cs="Calibri"/>
          <w:lang w:eastAsia="ja-JP"/>
        </w:rPr>
        <w:t xml:space="preserve"> s potencijaln</w:t>
      </w:r>
      <w:r>
        <w:rPr>
          <w:rFonts w:eastAsia="MS Mincho" w:cs="Calibri"/>
          <w:lang w:eastAsia="ja-JP"/>
        </w:rPr>
        <w:t>im investitorima te prezentiranje poslovnih slučajeva</w:t>
      </w:r>
      <w:r w:rsidRPr="00636499">
        <w:rPr>
          <w:rFonts w:eastAsia="MS Mincho" w:cs="Calibri"/>
          <w:lang w:eastAsia="ja-JP"/>
        </w:rPr>
        <w:t xml:space="preserve">, uz razumijevanje potreba investitora i sposobnost udovoljavanja njihovim opravdanim potrebama, </w:t>
      </w:r>
    </w:p>
    <w:p w:rsidR="000C1520" w:rsidRPr="00636499" w:rsidRDefault="000C1520" w:rsidP="0023474F">
      <w:pPr>
        <w:numPr>
          <w:ilvl w:val="0"/>
          <w:numId w:val="15"/>
        </w:numPr>
        <w:spacing w:after="0" w:line="360" w:lineRule="auto"/>
        <w:jc w:val="both"/>
        <w:rPr>
          <w:rFonts w:eastAsia="MS Mincho" w:cs="Calibri"/>
          <w:lang w:eastAsia="ja-JP"/>
        </w:rPr>
      </w:pPr>
      <w:r>
        <w:rPr>
          <w:rFonts w:eastAsia="MS Mincho" w:cs="Calibri"/>
          <w:lang w:eastAsia="ja-JP"/>
        </w:rPr>
        <w:t>pospješivanje</w:t>
      </w:r>
      <w:r w:rsidRPr="00636499">
        <w:rPr>
          <w:rFonts w:eastAsia="MS Mincho" w:cs="Calibri"/>
          <w:lang w:eastAsia="ja-JP"/>
        </w:rPr>
        <w:t xml:space="preserve"> neometan</w:t>
      </w:r>
      <w:r>
        <w:rPr>
          <w:rFonts w:eastAsia="MS Mincho" w:cs="Calibri"/>
          <w:lang w:eastAsia="ja-JP"/>
        </w:rPr>
        <w:t>og</w:t>
      </w:r>
      <w:r w:rsidRPr="00636499">
        <w:rPr>
          <w:rFonts w:eastAsia="MS Mincho" w:cs="Calibri"/>
          <w:lang w:eastAsia="ja-JP"/>
        </w:rPr>
        <w:t xml:space="preserve"> i brz</w:t>
      </w:r>
      <w:r>
        <w:rPr>
          <w:rFonts w:eastAsia="MS Mincho" w:cs="Calibri"/>
          <w:lang w:eastAsia="ja-JP"/>
        </w:rPr>
        <w:t>og</w:t>
      </w:r>
      <w:r w:rsidRPr="00636499">
        <w:rPr>
          <w:rFonts w:eastAsia="MS Mincho" w:cs="Calibri"/>
          <w:lang w:eastAsia="ja-JP"/>
        </w:rPr>
        <w:t xml:space="preserve"> proces</w:t>
      </w:r>
      <w:r>
        <w:rPr>
          <w:rFonts w:eastAsia="MS Mincho" w:cs="Calibri"/>
          <w:lang w:eastAsia="ja-JP"/>
        </w:rPr>
        <w:t>a</w:t>
      </w:r>
      <w:r w:rsidRPr="00636499">
        <w:rPr>
          <w:rFonts w:eastAsia="MS Mincho" w:cs="Calibri"/>
          <w:lang w:eastAsia="ja-JP"/>
        </w:rPr>
        <w:t xml:space="preserve"> investiranja, budući da j</w:t>
      </w:r>
      <w:r>
        <w:rPr>
          <w:rFonts w:eastAsia="MS Mincho" w:cs="Calibri"/>
          <w:lang w:eastAsia="ja-JP"/>
        </w:rPr>
        <w:t>e sposobnost brzog reagiranja (</w:t>
      </w:r>
      <w:proofErr w:type="spellStart"/>
      <w:r>
        <w:rPr>
          <w:rFonts w:eastAsia="MS Mincho" w:cs="Calibri"/>
          <w:lang w:eastAsia="ja-JP"/>
        </w:rPr>
        <w:t>eng</w:t>
      </w:r>
      <w:proofErr w:type="spellEnd"/>
      <w:r>
        <w:rPr>
          <w:rFonts w:eastAsia="MS Mincho" w:cs="Calibri"/>
          <w:lang w:eastAsia="ja-JP"/>
        </w:rPr>
        <w:t xml:space="preserve">. time to </w:t>
      </w:r>
      <w:proofErr w:type="spellStart"/>
      <w:r>
        <w:rPr>
          <w:rFonts w:eastAsia="MS Mincho" w:cs="Calibri"/>
          <w:lang w:eastAsia="ja-JP"/>
        </w:rPr>
        <w:t>market</w:t>
      </w:r>
      <w:proofErr w:type="spellEnd"/>
      <w:r>
        <w:rPr>
          <w:rFonts w:eastAsia="MS Mincho" w:cs="Calibri"/>
          <w:lang w:eastAsia="ja-JP"/>
        </w:rPr>
        <w:t>), sve važnija</w:t>
      </w:r>
      <w:r w:rsidRPr="00636499">
        <w:rPr>
          <w:rFonts w:eastAsia="MS Mincho" w:cs="Calibri"/>
          <w:lang w:eastAsia="ja-JP"/>
        </w:rPr>
        <w:t xml:space="preserve"> za međunarodne investitore,</w:t>
      </w:r>
    </w:p>
    <w:p w:rsidR="000C1520" w:rsidRPr="00636499" w:rsidRDefault="000C1520" w:rsidP="0023474F">
      <w:pPr>
        <w:numPr>
          <w:ilvl w:val="0"/>
          <w:numId w:val="15"/>
        </w:numPr>
        <w:spacing w:after="0" w:line="360" w:lineRule="auto"/>
        <w:jc w:val="both"/>
        <w:rPr>
          <w:rFonts w:eastAsia="MS Mincho" w:cs="Calibri"/>
          <w:lang w:eastAsia="ja-JP"/>
        </w:rPr>
      </w:pPr>
      <w:r>
        <w:rPr>
          <w:rFonts w:eastAsia="MS Mincho" w:cs="Calibri"/>
          <w:lang w:eastAsia="ja-JP"/>
        </w:rPr>
        <w:t>osiguranje</w:t>
      </w:r>
      <w:r w:rsidRPr="00636499">
        <w:rPr>
          <w:rFonts w:eastAsia="MS Mincho" w:cs="Calibri"/>
          <w:lang w:eastAsia="ja-JP"/>
        </w:rPr>
        <w:t xml:space="preserve"> da se postojeći investitori mogu uspješno razvijati i širiti svoje poslovanje u stalnom kontaktu s javnim sektorom, a s ciljem rješavanja </w:t>
      </w:r>
      <w:r>
        <w:rPr>
          <w:rFonts w:eastAsia="MS Mincho" w:cs="Calibri"/>
          <w:lang w:eastAsia="ja-JP"/>
        </w:rPr>
        <w:t xml:space="preserve">i uklanjanja </w:t>
      </w:r>
      <w:r w:rsidRPr="00636499">
        <w:rPr>
          <w:rFonts w:eastAsia="MS Mincho" w:cs="Calibri"/>
          <w:lang w:eastAsia="ja-JP"/>
        </w:rPr>
        <w:t>administrativni</w:t>
      </w:r>
      <w:r>
        <w:rPr>
          <w:rFonts w:eastAsia="MS Mincho" w:cs="Calibri"/>
          <w:lang w:eastAsia="ja-JP"/>
        </w:rPr>
        <w:t>h i svih drugih prepreka</w:t>
      </w:r>
      <w:r w:rsidRPr="00636499">
        <w:rPr>
          <w:rFonts w:eastAsia="MS Mincho" w:cs="Calibri"/>
          <w:lang w:eastAsia="ja-JP"/>
        </w:rPr>
        <w:t>.</w:t>
      </w:r>
    </w:p>
    <w:p w:rsidR="000C1520" w:rsidRPr="00636499" w:rsidRDefault="000C1520" w:rsidP="00062D1D">
      <w:pPr>
        <w:spacing w:after="0" w:line="360" w:lineRule="auto"/>
        <w:jc w:val="both"/>
        <w:rPr>
          <w:rFonts w:eastAsia="MS Mincho" w:cs="Calibri"/>
          <w:lang w:eastAsia="ja-JP"/>
        </w:rPr>
      </w:pPr>
    </w:p>
    <w:p w:rsidR="000C1520" w:rsidRPr="00636499" w:rsidRDefault="000C1520" w:rsidP="00FB21A2">
      <w:pPr>
        <w:spacing w:after="0" w:line="360" w:lineRule="auto"/>
        <w:jc w:val="both"/>
        <w:rPr>
          <w:rFonts w:eastAsia="MS Mincho" w:cs="Calibri"/>
          <w:lang w:eastAsia="ja-JP"/>
        </w:rPr>
      </w:pPr>
      <w:r w:rsidRPr="00636499">
        <w:rPr>
          <w:rFonts w:eastAsia="MS Mincho" w:cs="Calibri"/>
          <w:lang w:eastAsia="ja-JP"/>
        </w:rPr>
        <w:t xml:space="preserve">Planovi privlačenja </w:t>
      </w:r>
      <w:proofErr w:type="spellStart"/>
      <w:r w:rsidRPr="00900405">
        <w:rPr>
          <w:rFonts w:eastAsia="MS Mincho" w:cs="Calibri"/>
          <w:i/>
          <w:lang w:eastAsia="ja-JP"/>
        </w:rPr>
        <w:t>greenfield</w:t>
      </w:r>
      <w:proofErr w:type="spellEnd"/>
      <w:r w:rsidRPr="00636499">
        <w:rPr>
          <w:rFonts w:eastAsia="MS Mincho" w:cs="Calibri"/>
          <w:lang w:eastAsia="ja-JP"/>
        </w:rPr>
        <w:t xml:space="preserve"> investicija revidirat će se i nadopunjavati na godišnjoj </w:t>
      </w:r>
      <w:r>
        <w:rPr>
          <w:rFonts w:eastAsia="MS Mincho" w:cs="Calibri"/>
          <w:lang w:eastAsia="ja-JP"/>
        </w:rPr>
        <w:t>osnovi</w:t>
      </w:r>
      <w:r w:rsidRPr="00636499">
        <w:rPr>
          <w:rFonts w:eastAsia="MS Mincho" w:cs="Calibri"/>
          <w:lang w:eastAsia="ja-JP"/>
        </w:rPr>
        <w:t xml:space="preserve"> sukladno interesu za ulaganje u Republiku Hrvatsku i </w:t>
      </w:r>
      <w:r>
        <w:rPr>
          <w:rFonts w:eastAsia="MS Mincho" w:cs="Calibri"/>
          <w:lang w:eastAsia="ja-JP"/>
        </w:rPr>
        <w:t xml:space="preserve">prema </w:t>
      </w:r>
      <w:r w:rsidRPr="00636499">
        <w:rPr>
          <w:rFonts w:eastAsia="MS Mincho" w:cs="Calibri"/>
          <w:lang w:eastAsia="ja-JP"/>
        </w:rPr>
        <w:t xml:space="preserve">svjetskim trendovima. </w:t>
      </w:r>
    </w:p>
    <w:p w:rsidR="00E603EE" w:rsidRDefault="00E603EE" w:rsidP="00D74ECD">
      <w:pPr>
        <w:pStyle w:val="Heading3"/>
      </w:pPr>
      <w:bookmarkStart w:id="52" w:name="_Toc351127616"/>
      <w:bookmarkStart w:id="53" w:name="_Toc373137874"/>
    </w:p>
    <w:p w:rsidR="000C1520" w:rsidRPr="00AF566A" w:rsidRDefault="000C1520" w:rsidP="00D74ECD">
      <w:pPr>
        <w:pStyle w:val="Heading3"/>
      </w:pPr>
      <w:r w:rsidRPr="00AF566A">
        <w:t>3.3.2 IZRAD</w:t>
      </w:r>
      <w:r>
        <w:t xml:space="preserve">A I PROVEDBA PLANA PRIVLAČENJA </w:t>
      </w:r>
      <w:r w:rsidRPr="00FC65DF">
        <w:rPr>
          <w:i/>
        </w:rPr>
        <w:t>GREENFIELD</w:t>
      </w:r>
      <w:r w:rsidRPr="00AF566A">
        <w:t xml:space="preserve"> INVESTICIJA </w:t>
      </w:r>
      <w:bookmarkEnd w:id="52"/>
      <w:r w:rsidRPr="00AF566A">
        <w:t>U INDUSTRIJE U NASTAJANJU I VISOKO-TEHNOLOŠKE SEKTORE</w:t>
      </w:r>
      <w:bookmarkEnd w:id="53"/>
    </w:p>
    <w:p w:rsidR="000C1520" w:rsidRPr="00636499" w:rsidRDefault="000C1520" w:rsidP="00C13AF1">
      <w:pPr>
        <w:spacing w:after="0" w:line="288" w:lineRule="auto"/>
        <w:jc w:val="both"/>
        <w:rPr>
          <w:rFonts w:eastAsia="MS Mincho" w:cs="Calibri"/>
          <w:b/>
          <w:lang w:eastAsia="ja-JP"/>
        </w:rPr>
      </w:pPr>
    </w:p>
    <w:p w:rsidR="000C1520" w:rsidRPr="00636499" w:rsidRDefault="000C1520" w:rsidP="00062D1D">
      <w:pPr>
        <w:spacing w:after="0" w:line="360" w:lineRule="auto"/>
        <w:jc w:val="both"/>
        <w:rPr>
          <w:rFonts w:eastAsia="MS Mincho" w:cs="Calibri"/>
          <w:lang w:eastAsia="ja-JP"/>
        </w:rPr>
      </w:pPr>
      <w:r w:rsidRPr="00636499">
        <w:rPr>
          <w:rFonts w:eastAsia="MS Mincho" w:cs="Calibri"/>
          <w:lang w:eastAsia="ja-JP"/>
        </w:rPr>
        <w:t>Privlačenje izravnih strani</w:t>
      </w:r>
      <w:r>
        <w:rPr>
          <w:rFonts w:eastAsia="MS Mincho" w:cs="Calibri"/>
          <w:lang w:eastAsia="ja-JP"/>
        </w:rPr>
        <w:t xml:space="preserve">h </w:t>
      </w:r>
      <w:r w:rsidRPr="00636499">
        <w:rPr>
          <w:rFonts w:eastAsia="MS Mincho" w:cs="Calibri"/>
          <w:lang w:eastAsia="ja-JP"/>
        </w:rPr>
        <w:t xml:space="preserve">investicija, posebice </w:t>
      </w:r>
      <w:proofErr w:type="spellStart"/>
      <w:r w:rsidRPr="00FC65DF">
        <w:rPr>
          <w:rFonts w:eastAsia="MS Mincho" w:cs="Calibri"/>
          <w:i/>
          <w:lang w:eastAsia="ja-JP"/>
        </w:rPr>
        <w:t>greenfield</w:t>
      </w:r>
      <w:proofErr w:type="spellEnd"/>
      <w:r>
        <w:rPr>
          <w:rFonts w:eastAsia="MS Mincho" w:cs="Calibri"/>
          <w:lang w:eastAsia="ja-JP"/>
        </w:rPr>
        <w:t xml:space="preserve"> investicija u industrije u nastajanju i visoko-tehnološke sektore koji se temelje na primjeni KET tehnologija</w:t>
      </w:r>
      <w:r w:rsidRPr="00636499">
        <w:rPr>
          <w:rFonts w:eastAsia="MS Mincho" w:cs="Calibri"/>
          <w:lang w:eastAsia="ja-JP"/>
        </w:rPr>
        <w:t xml:space="preserve">, ključno je za gospodarski razvoj </w:t>
      </w:r>
      <w:r>
        <w:rPr>
          <w:rFonts w:eastAsia="MS Mincho" w:cs="Calibri"/>
          <w:lang w:eastAsia="ja-JP"/>
        </w:rPr>
        <w:t>Republike Hrvatske</w:t>
      </w:r>
      <w:r w:rsidRPr="00636499">
        <w:rPr>
          <w:rFonts w:eastAsia="MS Mincho" w:cs="Calibri"/>
          <w:lang w:eastAsia="ja-JP"/>
        </w:rPr>
        <w:t>.</w:t>
      </w:r>
    </w:p>
    <w:p w:rsidR="000C1520" w:rsidRPr="00636499" w:rsidRDefault="000C1520" w:rsidP="00062D1D">
      <w:pPr>
        <w:spacing w:after="0" w:line="360" w:lineRule="auto"/>
        <w:jc w:val="both"/>
        <w:rPr>
          <w:rFonts w:eastAsia="MS Mincho" w:cs="Calibri"/>
          <w:lang w:eastAsia="ja-JP"/>
        </w:rPr>
      </w:pPr>
    </w:p>
    <w:p w:rsidR="000C1520" w:rsidRDefault="000C1520" w:rsidP="00062D1D">
      <w:pPr>
        <w:spacing w:after="0" w:line="360" w:lineRule="auto"/>
        <w:jc w:val="both"/>
        <w:rPr>
          <w:rFonts w:eastAsia="MS Mincho" w:cs="Calibri"/>
          <w:lang w:eastAsia="ja-JP"/>
        </w:rPr>
      </w:pPr>
      <w:r w:rsidRPr="003C7119">
        <w:rPr>
          <w:rFonts w:eastAsia="MS Mincho" w:cs="Calibri"/>
          <w:lang w:eastAsia="ja-JP"/>
        </w:rPr>
        <w:t xml:space="preserve">Nekoliko </w:t>
      </w:r>
      <w:r>
        <w:rPr>
          <w:rFonts w:eastAsia="MS Mincho" w:cs="Calibri"/>
          <w:lang w:eastAsia="ja-JP"/>
        </w:rPr>
        <w:t xml:space="preserve">je </w:t>
      </w:r>
      <w:r w:rsidRPr="003C7119">
        <w:rPr>
          <w:rFonts w:eastAsia="MS Mincho" w:cs="Calibri"/>
          <w:lang w:eastAsia="ja-JP"/>
        </w:rPr>
        <w:t>zemalja članica</w:t>
      </w:r>
      <w:r w:rsidRPr="00636499">
        <w:rPr>
          <w:rFonts w:eastAsia="MS Mincho" w:cs="Calibri"/>
          <w:lang w:eastAsia="ja-JP"/>
        </w:rPr>
        <w:t xml:space="preserve"> EU</w:t>
      </w:r>
      <w:r>
        <w:rPr>
          <w:rFonts w:eastAsia="MS Mincho" w:cs="Calibri"/>
          <w:lang w:eastAsia="ja-JP"/>
        </w:rPr>
        <w:t>-a</w:t>
      </w:r>
      <w:r w:rsidRPr="00636499">
        <w:rPr>
          <w:rFonts w:eastAsia="MS Mincho" w:cs="Calibri"/>
          <w:lang w:eastAsia="ja-JP"/>
        </w:rPr>
        <w:t xml:space="preserve"> </w:t>
      </w:r>
      <w:r>
        <w:rPr>
          <w:rFonts w:eastAsia="MS Mincho" w:cs="Calibri"/>
          <w:lang w:eastAsia="ja-JP"/>
        </w:rPr>
        <w:t>(Velika Britanija, Njemačka) počelo utvrđivati</w:t>
      </w:r>
      <w:r w:rsidRPr="00636499">
        <w:rPr>
          <w:rFonts w:eastAsia="MS Mincho" w:cs="Calibri"/>
          <w:lang w:eastAsia="ja-JP"/>
        </w:rPr>
        <w:t xml:space="preserve"> tehnologije koje su relevantne za r</w:t>
      </w:r>
      <w:r>
        <w:rPr>
          <w:rFonts w:eastAsia="MS Mincho" w:cs="Calibri"/>
          <w:lang w:eastAsia="ja-JP"/>
        </w:rPr>
        <w:t>ast njihove konkurentnosti te</w:t>
      </w:r>
      <w:r w:rsidRPr="00636499">
        <w:rPr>
          <w:rFonts w:eastAsia="MS Mincho" w:cs="Calibri"/>
          <w:lang w:eastAsia="ja-JP"/>
        </w:rPr>
        <w:t xml:space="preserve"> ciljan</w:t>
      </w:r>
      <w:r>
        <w:rPr>
          <w:rFonts w:eastAsia="MS Mincho" w:cs="Calibri"/>
          <w:lang w:eastAsia="ja-JP"/>
        </w:rPr>
        <w:t>o pratiti izdatke za njihovo istraživanje i razvoj</w:t>
      </w:r>
      <w:r w:rsidRPr="00636499">
        <w:rPr>
          <w:rFonts w:eastAsia="MS Mincho" w:cs="Calibri"/>
          <w:lang w:eastAsia="ja-JP"/>
        </w:rPr>
        <w:t>. Također, u skladu s posljednjim I</w:t>
      </w:r>
      <w:r>
        <w:rPr>
          <w:rFonts w:eastAsia="MS Mincho" w:cs="Calibri"/>
          <w:lang w:eastAsia="ja-JP"/>
        </w:rPr>
        <w:t>zvješćem o znanosti, tehnologiji</w:t>
      </w:r>
      <w:r w:rsidRPr="00636499">
        <w:rPr>
          <w:rFonts w:eastAsia="MS Mincho" w:cs="Calibri"/>
          <w:lang w:eastAsia="ja-JP"/>
        </w:rPr>
        <w:t xml:space="preserve"> i konkurentnosti (</w:t>
      </w:r>
      <w:proofErr w:type="spellStart"/>
      <w:r>
        <w:rPr>
          <w:rFonts w:eastAsia="MS Mincho" w:cs="Calibri"/>
          <w:lang w:eastAsia="ja-JP"/>
        </w:rPr>
        <w:t>eng</w:t>
      </w:r>
      <w:proofErr w:type="spellEnd"/>
      <w:r>
        <w:rPr>
          <w:rFonts w:eastAsia="MS Mincho" w:cs="Calibri"/>
          <w:lang w:eastAsia="ja-JP"/>
        </w:rPr>
        <w:t xml:space="preserve">. </w:t>
      </w:r>
      <w:proofErr w:type="spellStart"/>
      <w:r w:rsidRPr="00636499">
        <w:rPr>
          <w:rFonts w:eastAsia="MS Mincho" w:cs="Calibri"/>
          <w:lang w:eastAsia="ja-JP"/>
        </w:rPr>
        <w:t>Science</w:t>
      </w:r>
      <w:proofErr w:type="spellEnd"/>
      <w:r w:rsidRPr="00636499">
        <w:rPr>
          <w:rFonts w:eastAsia="MS Mincho" w:cs="Calibri"/>
          <w:lang w:eastAsia="ja-JP"/>
        </w:rPr>
        <w:t xml:space="preserve">, </w:t>
      </w:r>
      <w:proofErr w:type="spellStart"/>
      <w:r w:rsidRPr="00636499">
        <w:rPr>
          <w:rFonts w:eastAsia="MS Mincho" w:cs="Calibri"/>
          <w:lang w:eastAsia="ja-JP"/>
        </w:rPr>
        <w:t>Te</w:t>
      </w:r>
      <w:r>
        <w:rPr>
          <w:rFonts w:eastAsia="MS Mincho" w:cs="Calibri"/>
          <w:lang w:eastAsia="ja-JP"/>
        </w:rPr>
        <w:t>c</w:t>
      </w:r>
      <w:r w:rsidRPr="00636499">
        <w:rPr>
          <w:rFonts w:eastAsia="MS Mincho" w:cs="Calibri"/>
          <w:lang w:eastAsia="ja-JP"/>
        </w:rPr>
        <w:t>hnolo</w:t>
      </w:r>
      <w:r>
        <w:rPr>
          <w:rFonts w:eastAsia="MS Mincho" w:cs="Calibri"/>
          <w:lang w:eastAsia="ja-JP"/>
        </w:rPr>
        <w:t>g</w:t>
      </w:r>
      <w:r w:rsidRPr="00636499">
        <w:rPr>
          <w:rFonts w:eastAsia="MS Mincho" w:cs="Calibri"/>
          <w:lang w:eastAsia="ja-JP"/>
        </w:rPr>
        <w:t>y</w:t>
      </w:r>
      <w:proofErr w:type="spellEnd"/>
      <w:r w:rsidRPr="00636499">
        <w:rPr>
          <w:rFonts w:eastAsia="MS Mincho" w:cs="Calibri"/>
          <w:lang w:eastAsia="ja-JP"/>
        </w:rPr>
        <w:t xml:space="preserve"> </w:t>
      </w:r>
      <w:proofErr w:type="spellStart"/>
      <w:r w:rsidRPr="00636499">
        <w:rPr>
          <w:rFonts w:eastAsia="MS Mincho" w:cs="Calibri"/>
          <w:lang w:eastAsia="ja-JP"/>
        </w:rPr>
        <w:t>and</w:t>
      </w:r>
      <w:proofErr w:type="spellEnd"/>
      <w:r w:rsidRPr="00636499">
        <w:rPr>
          <w:rFonts w:eastAsia="MS Mincho" w:cs="Calibri"/>
          <w:lang w:eastAsia="ja-JP"/>
        </w:rPr>
        <w:t xml:space="preserve"> </w:t>
      </w:r>
      <w:proofErr w:type="spellStart"/>
      <w:r w:rsidRPr="00636499">
        <w:rPr>
          <w:rFonts w:eastAsia="MS Mincho" w:cs="Calibri"/>
          <w:lang w:eastAsia="ja-JP"/>
        </w:rPr>
        <w:t>Competitiveness</w:t>
      </w:r>
      <w:proofErr w:type="spellEnd"/>
      <w:r w:rsidRPr="00636499">
        <w:rPr>
          <w:rFonts w:eastAsia="MS Mincho" w:cs="Calibri"/>
          <w:lang w:eastAsia="ja-JP"/>
        </w:rPr>
        <w:t xml:space="preserve"> </w:t>
      </w:r>
      <w:proofErr w:type="spellStart"/>
      <w:r w:rsidRPr="00636499">
        <w:rPr>
          <w:rFonts w:eastAsia="MS Mincho" w:cs="Calibri"/>
          <w:lang w:eastAsia="ja-JP"/>
        </w:rPr>
        <w:t>Report</w:t>
      </w:r>
      <w:proofErr w:type="spellEnd"/>
      <w:r w:rsidRPr="00636499">
        <w:rPr>
          <w:rFonts w:eastAsia="MS Mincho" w:cs="Calibri"/>
          <w:lang w:eastAsia="ja-JP"/>
        </w:rPr>
        <w:t>), vodeće zemlje kao Kina, Japan</w:t>
      </w:r>
      <w:r>
        <w:rPr>
          <w:rFonts w:eastAsia="MS Mincho" w:cs="Calibri"/>
          <w:lang w:eastAsia="ja-JP"/>
        </w:rPr>
        <w:t xml:space="preserve">, Singapur, Indija i SAD također su se usmjerile </w:t>
      </w:r>
      <w:r w:rsidRPr="00636499">
        <w:rPr>
          <w:rFonts w:eastAsia="MS Mincho" w:cs="Calibri"/>
          <w:lang w:eastAsia="ja-JP"/>
        </w:rPr>
        <w:t>na ključne tehnologije, p</w:t>
      </w:r>
      <w:r>
        <w:rPr>
          <w:rFonts w:eastAsia="MS Mincho" w:cs="Calibri"/>
          <w:lang w:eastAsia="ja-JP"/>
        </w:rPr>
        <w:t>osebice biotehnologiju, informacijsku i komunikacijsku tehnologiju (ICT) te</w:t>
      </w:r>
      <w:r w:rsidRPr="00636499">
        <w:rPr>
          <w:rFonts w:eastAsia="MS Mincho" w:cs="Calibri"/>
          <w:lang w:eastAsia="ja-JP"/>
        </w:rPr>
        <w:t xml:space="preserve"> </w:t>
      </w:r>
      <w:proofErr w:type="spellStart"/>
      <w:r w:rsidRPr="00636499">
        <w:rPr>
          <w:rFonts w:eastAsia="MS Mincho" w:cs="Calibri"/>
          <w:lang w:eastAsia="ja-JP"/>
        </w:rPr>
        <w:t>nanotehnologiju</w:t>
      </w:r>
      <w:proofErr w:type="spellEnd"/>
      <w:r w:rsidRPr="00636499">
        <w:rPr>
          <w:rFonts w:eastAsia="MS Mincho" w:cs="Calibri"/>
          <w:lang w:eastAsia="ja-JP"/>
        </w:rPr>
        <w:t>. S obzirom na gospod</w:t>
      </w:r>
      <w:r>
        <w:rPr>
          <w:rFonts w:eastAsia="MS Mincho" w:cs="Calibri"/>
          <w:lang w:eastAsia="ja-JP"/>
        </w:rPr>
        <w:t>arski potencijal KET tehnologije</w:t>
      </w:r>
      <w:r w:rsidRPr="00636499">
        <w:rPr>
          <w:rFonts w:eastAsia="MS Mincho" w:cs="Calibri"/>
          <w:lang w:eastAsia="ja-JP"/>
        </w:rPr>
        <w:t xml:space="preserve"> i činjenicu da je </w:t>
      </w:r>
      <w:r>
        <w:rPr>
          <w:rFonts w:eastAsia="MS Mincho" w:cs="Calibri"/>
          <w:lang w:eastAsia="ja-JP"/>
        </w:rPr>
        <w:t>RH dosad</w:t>
      </w:r>
      <w:r w:rsidRPr="00636499">
        <w:rPr>
          <w:rFonts w:eastAsia="MS Mincho" w:cs="Calibri"/>
          <w:lang w:eastAsia="ja-JP"/>
        </w:rPr>
        <w:t xml:space="preserve"> propustila sve </w:t>
      </w:r>
      <w:r w:rsidRPr="00636499">
        <w:rPr>
          <w:rFonts w:eastAsia="MS Mincho" w:cs="Calibri"/>
          <w:bCs/>
          <w:iCs/>
          <w:lang w:eastAsia="ja-JP"/>
        </w:rPr>
        <w:t>ranije tehnološke revolucije pa tako i prilike za razvoj koje su one omogućavale,</w:t>
      </w:r>
      <w:r w:rsidRPr="00636499">
        <w:rPr>
          <w:rFonts w:eastAsia="MS Mincho" w:cs="Calibri"/>
          <w:lang w:eastAsia="ja-JP"/>
        </w:rPr>
        <w:t xml:space="preserve"> nameće se potreba </w:t>
      </w:r>
      <w:proofErr w:type="spellStart"/>
      <w:r w:rsidRPr="00636499">
        <w:rPr>
          <w:rFonts w:eastAsia="MS Mincho" w:cs="Calibri"/>
          <w:lang w:eastAsia="ja-JP"/>
        </w:rPr>
        <w:t>proaktivnog</w:t>
      </w:r>
      <w:proofErr w:type="spellEnd"/>
      <w:r w:rsidRPr="00636499">
        <w:rPr>
          <w:rFonts w:eastAsia="MS Mincho" w:cs="Calibri"/>
          <w:lang w:eastAsia="ja-JP"/>
        </w:rPr>
        <w:t xml:space="preserve"> pristupa prema investicijama u </w:t>
      </w:r>
      <w:r>
        <w:rPr>
          <w:rFonts w:eastAsia="MS Mincho" w:cs="Calibri"/>
          <w:lang w:eastAsia="ja-JP"/>
        </w:rPr>
        <w:t>sektore koji uključuju primjenu KET tehnologija</w:t>
      </w:r>
      <w:r w:rsidRPr="00636499">
        <w:rPr>
          <w:rFonts w:eastAsia="MS Mincho" w:cs="Calibri"/>
          <w:lang w:eastAsia="ja-JP"/>
        </w:rPr>
        <w:t>.</w:t>
      </w:r>
    </w:p>
    <w:p w:rsidR="000C1520" w:rsidRDefault="000C1520" w:rsidP="00062D1D">
      <w:pPr>
        <w:spacing w:after="0" w:line="360" w:lineRule="auto"/>
        <w:jc w:val="both"/>
        <w:rPr>
          <w:rFonts w:ascii="ArialMT" w:hAnsi="ArialMT" w:cs="ArialMT"/>
          <w:sz w:val="14"/>
          <w:szCs w:val="14"/>
        </w:rPr>
      </w:pPr>
    </w:p>
    <w:p w:rsidR="000C1520" w:rsidRPr="00636499" w:rsidRDefault="000C1520" w:rsidP="00062D1D">
      <w:pPr>
        <w:spacing w:after="0" w:line="360" w:lineRule="auto"/>
        <w:jc w:val="both"/>
        <w:rPr>
          <w:rFonts w:eastAsia="MS Mincho" w:cs="Calibri"/>
          <w:lang w:eastAsia="ja-JP"/>
        </w:rPr>
      </w:pPr>
      <w:r w:rsidRPr="00636499">
        <w:rPr>
          <w:rFonts w:eastAsia="MS Mincho" w:cs="Calibri"/>
          <w:lang w:eastAsia="ja-JP"/>
        </w:rPr>
        <w:t>Uz jačanje institucionalnog okruženja za ra</w:t>
      </w:r>
      <w:r>
        <w:rPr>
          <w:rFonts w:eastAsia="MS Mincho" w:cs="Calibri"/>
          <w:lang w:eastAsia="ja-JP"/>
        </w:rPr>
        <w:t>zvoj KET tehnologija, stvaranje</w:t>
      </w:r>
      <w:r w:rsidRPr="00636499">
        <w:rPr>
          <w:rFonts w:eastAsia="MS Mincho" w:cs="Calibri"/>
          <w:lang w:eastAsia="ja-JP"/>
        </w:rPr>
        <w:t xml:space="preserve"> mreže institucija i inovativnih tvrtki</w:t>
      </w:r>
      <w:r>
        <w:rPr>
          <w:rFonts w:eastAsia="MS Mincho" w:cs="Calibri"/>
          <w:lang w:eastAsia="ja-JP"/>
        </w:rPr>
        <w:t xml:space="preserve"> kroz </w:t>
      </w:r>
      <w:proofErr w:type="spellStart"/>
      <w:r>
        <w:rPr>
          <w:rFonts w:eastAsia="MS Mincho" w:cs="Calibri"/>
          <w:lang w:eastAsia="ja-JP"/>
        </w:rPr>
        <w:t>klastere</w:t>
      </w:r>
      <w:proofErr w:type="spellEnd"/>
      <w:r>
        <w:rPr>
          <w:rFonts w:eastAsia="MS Mincho" w:cs="Calibri"/>
          <w:lang w:eastAsia="ja-JP"/>
        </w:rPr>
        <w:t xml:space="preserve"> konkurentnosti te stvaranje</w:t>
      </w:r>
      <w:r w:rsidRPr="00636499">
        <w:rPr>
          <w:rFonts w:eastAsia="MS Mincho" w:cs="Calibri"/>
          <w:lang w:eastAsia="ja-JP"/>
        </w:rPr>
        <w:t xml:space="preserve"> </w:t>
      </w:r>
      <w:r>
        <w:rPr>
          <w:rFonts w:eastAsia="MS Mincho" w:cs="Calibri"/>
          <w:lang w:eastAsia="ja-JP"/>
        </w:rPr>
        <w:t>sektorskih i KET tehnoloških platformi kao i</w:t>
      </w:r>
      <w:r w:rsidRPr="00636499">
        <w:rPr>
          <w:rFonts w:eastAsia="MS Mincho" w:cs="Calibri"/>
          <w:lang w:eastAsia="ja-JP"/>
        </w:rPr>
        <w:t xml:space="preserve"> mreže </w:t>
      </w:r>
      <w:r>
        <w:rPr>
          <w:rFonts w:eastAsia="MS Mincho" w:cs="Calibri"/>
          <w:lang w:eastAsia="ja-JP"/>
        </w:rPr>
        <w:t>znanstveno-</w:t>
      </w:r>
      <w:r w:rsidRPr="00636499">
        <w:rPr>
          <w:rFonts w:eastAsia="MS Mincho" w:cs="Calibri"/>
          <w:lang w:eastAsia="ja-JP"/>
        </w:rPr>
        <w:t xml:space="preserve">tehnoloških institucija namijenjenih razvoju, prijenosu i primjeni novih tehnologija i inovacija, potrebno je pružiti potporu </w:t>
      </w:r>
      <w:proofErr w:type="spellStart"/>
      <w:r w:rsidRPr="00157BFA">
        <w:rPr>
          <w:rFonts w:eastAsia="MS Mincho" w:cs="Calibri"/>
          <w:i/>
          <w:lang w:eastAsia="ja-JP"/>
        </w:rPr>
        <w:t>greenfield</w:t>
      </w:r>
      <w:proofErr w:type="spellEnd"/>
      <w:r w:rsidRPr="00636499">
        <w:rPr>
          <w:rFonts w:eastAsia="MS Mincho" w:cs="Calibri"/>
          <w:lang w:eastAsia="ja-JP"/>
        </w:rPr>
        <w:t xml:space="preserve"> investitorima iz područja visokih tehnologija te graditi imidž </w:t>
      </w:r>
      <w:r>
        <w:rPr>
          <w:rFonts w:eastAsia="MS Mincho" w:cs="Calibri"/>
          <w:lang w:eastAsia="ja-JP"/>
        </w:rPr>
        <w:t xml:space="preserve">RH </w:t>
      </w:r>
      <w:r w:rsidRPr="00636499">
        <w:rPr>
          <w:rFonts w:eastAsia="MS Mincho" w:cs="Calibri"/>
          <w:lang w:eastAsia="ja-JP"/>
        </w:rPr>
        <w:t xml:space="preserve"> kao inovativne i perspektivne zemlje. </w:t>
      </w:r>
    </w:p>
    <w:p w:rsidR="000C1520" w:rsidRPr="00636499" w:rsidRDefault="000C1520" w:rsidP="00062D1D">
      <w:pPr>
        <w:spacing w:after="0" w:line="360" w:lineRule="auto"/>
        <w:jc w:val="both"/>
        <w:rPr>
          <w:rFonts w:eastAsia="MS Mincho" w:cs="Calibri"/>
          <w:lang w:eastAsia="ja-JP"/>
        </w:rPr>
      </w:pPr>
    </w:p>
    <w:p w:rsidR="000C1520" w:rsidRDefault="000C1520" w:rsidP="00062D1D">
      <w:pPr>
        <w:spacing w:after="0" w:line="360" w:lineRule="auto"/>
        <w:jc w:val="both"/>
        <w:rPr>
          <w:rFonts w:eastAsia="MS Mincho" w:cs="Calibri"/>
          <w:lang w:eastAsia="ja-JP"/>
        </w:rPr>
      </w:pPr>
      <w:r w:rsidRPr="00636499">
        <w:rPr>
          <w:rFonts w:eastAsia="MS Mincho" w:cs="Calibri"/>
          <w:lang w:eastAsia="ja-JP"/>
        </w:rPr>
        <w:t>Unutar svakog od KET sek</w:t>
      </w:r>
      <w:r>
        <w:rPr>
          <w:rFonts w:eastAsia="MS Mincho" w:cs="Calibri"/>
          <w:lang w:eastAsia="ja-JP"/>
        </w:rPr>
        <w:t xml:space="preserve">tora potrebno je definirati </w:t>
      </w:r>
      <w:r w:rsidRPr="00636499">
        <w:rPr>
          <w:rFonts w:eastAsia="MS Mincho" w:cs="Calibri"/>
          <w:lang w:eastAsia="ja-JP"/>
        </w:rPr>
        <w:t>niše koje Republici Hrvatskoj i potencijalnim investitorima pru</w:t>
      </w:r>
      <w:r>
        <w:rPr>
          <w:rFonts w:eastAsia="MS Mincho" w:cs="Calibri"/>
          <w:lang w:eastAsia="ja-JP"/>
        </w:rPr>
        <w:t>žaju široke mogućnosti stvaranja</w:t>
      </w:r>
      <w:r w:rsidRPr="00636499">
        <w:rPr>
          <w:rFonts w:eastAsia="MS Mincho" w:cs="Calibri"/>
          <w:lang w:eastAsia="ja-JP"/>
        </w:rPr>
        <w:t xml:space="preserve"> novih proizvoda i usluga za koje</w:t>
      </w:r>
      <w:r>
        <w:rPr>
          <w:rFonts w:eastAsia="MS Mincho" w:cs="Calibri"/>
          <w:lang w:eastAsia="ja-JP"/>
        </w:rPr>
        <w:t xml:space="preserve"> se tržišta tek počinju otvarati</w:t>
      </w:r>
      <w:r w:rsidRPr="00636499">
        <w:rPr>
          <w:rFonts w:eastAsia="MS Mincho" w:cs="Calibri"/>
          <w:lang w:eastAsia="ja-JP"/>
        </w:rPr>
        <w:t xml:space="preserve"> i gdje </w:t>
      </w:r>
      <w:r w:rsidR="005E1675">
        <w:rPr>
          <w:rFonts w:eastAsia="MS Mincho" w:cs="Calibri"/>
          <w:lang w:eastAsia="ja-JP"/>
        </w:rPr>
        <w:t xml:space="preserve">prepreke </w:t>
      </w:r>
      <w:r w:rsidRPr="00636499">
        <w:rPr>
          <w:rFonts w:eastAsia="MS Mincho" w:cs="Calibri"/>
          <w:lang w:eastAsia="ja-JP"/>
        </w:rPr>
        <w:t>ulaska nisu nepremostive. Hrvatska još ima vremena da u</w:t>
      </w:r>
      <w:r w:rsidRPr="00636499">
        <w:rPr>
          <w:rFonts w:eastAsia="MS Mincho" w:cs="Calibri"/>
          <w:b/>
          <w:lang w:eastAsia="ja-JP"/>
        </w:rPr>
        <w:t xml:space="preserve"> </w:t>
      </w:r>
      <w:r w:rsidRPr="00636499">
        <w:rPr>
          <w:rFonts w:eastAsia="MS Mincho" w:cs="Calibri"/>
          <w:lang w:eastAsia="ja-JP"/>
        </w:rPr>
        <w:t>okviru promišljene i dobro usmjerene politike iskoristi KET tehnologije kao bitnu polugu vlastitog tehnologijskog i gospodarskog razvitka.</w:t>
      </w:r>
    </w:p>
    <w:p w:rsidR="0075701E" w:rsidRPr="00636499" w:rsidRDefault="0075701E" w:rsidP="00062D1D">
      <w:pPr>
        <w:spacing w:after="0" w:line="360" w:lineRule="auto"/>
        <w:jc w:val="both"/>
        <w:rPr>
          <w:rFonts w:eastAsia="MS Mincho" w:cs="Calibri"/>
          <w:lang w:eastAsia="ja-JP"/>
        </w:rPr>
      </w:pPr>
    </w:p>
    <w:p w:rsidR="000C1520" w:rsidRPr="00B47881" w:rsidRDefault="000C1520" w:rsidP="00062D1D">
      <w:pPr>
        <w:spacing w:after="0" w:line="360" w:lineRule="auto"/>
        <w:jc w:val="both"/>
        <w:rPr>
          <w:rFonts w:eastAsia="MS Mincho" w:cs="Calibri"/>
          <w:b/>
          <w:lang w:eastAsia="ja-JP"/>
        </w:rPr>
      </w:pPr>
      <w:r w:rsidRPr="00636499">
        <w:rPr>
          <w:rFonts w:eastAsia="MS Mincho" w:cs="Calibri"/>
          <w:lang w:eastAsia="ja-JP"/>
        </w:rPr>
        <w:t>Praćenjem trendova u industri</w:t>
      </w:r>
      <w:r>
        <w:rPr>
          <w:rFonts w:eastAsia="MS Mincho" w:cs="Calibri"/>
          <w:lang w:eastAsia="ja-JP"/>
        </w:rPr>
        <w:t>ji u RH i svijetu, utvrdit će se i ažurirati popis</w:t>
      </w:r>
      <w:r w:rsidRPr="00636499">
        <w:rPr>
          <w:rFonts w:eastAsia="MS Mincho" w:cs="Calibri"/>
          <w:lang w:eastAsia="ja-JP"/>
        </w:rPr>
        <w:t xml:space="preserve"> potencijalnih investitora</w:t>
      </w:r>
      <w:r>
        <w:rPr>
          <w:rFonts w:eastAsia="MS Mincho" w:cs="Calibri"/>
          <w:lang w:eastAsia="ja-JP"/>
        </w:rPr>
        <w:t xml:space="preserve"> (SAD, Njemačka, Velika Britanija, Francuska, Japan, Kanada) i područja u RH</w:t>
      </w:r>
      <w:r w:rsidRPr="00636499">
        <w:rPr>
          <w:rFonts w:eastAsia="MS Mincho" w:cs="Calibri"/>
          <w:lang w:eastAsia="ja-JP"/>
        </w:rPr>
        <w:t xml:space="preserve"> s najvećim investicijskim potencijalom, a provedba planova privlačenja </w:t>
      </w:r>
      <w:proofErr w:type="spellStart"/>
      <w:r w:rsidRPr="00D9757B">
        <w:rPr>
          <w:rFonts w:eastAsia="MS Mincho" w:cs="Calibri"/>
          <w:i/>
          <w:lang w:eastAsia="ja-JP"/>
        </w:rPr>
        <w:t>greenfield</w:t>
      </w:r>
      <w:proofErr w:type="spellEnd"/>
      <w:r w:rsidRPr="00636499">
        <w:rPr>
          <w:rFonts w:eastAsia="MS Mincho" w:cs="Calibri"/>
          <w:lang w:eastAsia="ja-JP"/>
        </w:rPr>
        <w:t xml:space="preserve"> investicija organizirat će se kroz </w:t>
      </w:r>
      <w:proofErr w:type="spellStart"/>
      <w:r>
        <w:rPr>
          <w:rFonts w:eastAsia="MS Mincho" w:cs="Calibri"/>
          <w:i/>
          <w:lang w:eastAsia="ja-JP"/>
        </w:rPr>
        <w:t>i</w:t>
      </w:r>
      <w:r w:rsidRPr="00D9757B">
        <w:rPr>
          <w:rFonts w:eastAsia="MS Mincho" w:cs="Calibri"/>
          <w:i/>
          <w:lang w:eastAsia="ja-JP"/>
        </w:rPr>
        <w:t>nvestors</w:t>
      </w:r>
      <w:proofErr w:type="spellEnd"/>
      <w:r w:rsidRPr="00636499">
        <w:rPr>
          <w:rFonts w:eastAsia="MS Mincho" w:cs="Calibri"/>
          <w:lang w:eastAsia="ja-JP"/>
        </w:rPr>
        <w:t xml:space="preserve"> </w:t>
      </w:r>
      <w:proofErr w:type="spellStart"/>
      <w:r>
        <w:rPr>
          <w:rFonts w:eastAsia="MS Mincho" w:cs="Calibri"/>
          <w:i/>
          <w:lang w:eastAsia="ja-JP"/>
        </w:rPr>
        <w:t>o</w:t>
      </w:r>
      <w:r w:rsidRPr="00D9757B">
        <w:rPr>
          <w:rFonts w:eastAsia="MS Mincho" w:cs="Calibri"/>
          <w:i/>
          <w:lang w:eastAsia="ja-JP"/>
        </w:rPr>
        <w:t>utreach</w:t>
      </w:r>
      <w:proofErr w:type="spellEnd"/>
      <w:r w:rsidRPr="00636499">
        <w:rPr>
          <w:rFonts w:eastAsia="MS Mincho" w:cs="Calibri"/>
          <w:lang w:eastAsia="ja-JP"/>
        </w:rPr>
        <w:t xml:space="preserve"> kampanje. Način provedbe ne razlikuje se od mjere 1. Poseban naglasak treba biti </w:t>
      </w:r>
      <w:r>
        <w:rPr>
          <w:rFonts w:eastAsia="MS Mincho" w:cs="Calibri"/>
          <w:lang w:eastAsia="ja-JP"/>
        </w:rPr>
        <w:t xml:space="preserve">stavljen </w:t>
      </w:r>
      <w:r>
        <w:rPr>
          <w:rFonts w:eastAsia="MS Mincho" w:cs="Calibri"/>
          <w:lang w:eastAsia="ja-JP"/>
        </w:rPr>
        <w:lastRenderedPageBreak/>
        <w:t>prvenstveno na stvaranje</w:t>
      </w:r>
      <w:r w:rsidRPr="00636499">
        <w:rPr>
          <w:rFonts w:eastAsia="MS Mincho" w:cs="Calibri"/>
          <w:lang w:eastAsia="ja-JP"/>
        </w:rPr>
        <w:t xml:space="preserve"> poticajnog okruženja za privlačenje i razvoj visokih tehnologija te jačanje pozicije inovativnih malih i srednjih tvrtki kako bismo stvorili preduvjete za uspješno privlačenje </w:t>
      </w:r>
      <w:proofErr w:type="spellStart"/>
      <w:r w:rsidRPr="00D9757B">
        <w:rPr>
          <w:rFonts w:eastAsia="MS Mincho" w:cs="Calibri"/>
          <w:i/>
          <w:lang w:eastAsia="ja-JP"/>
        </w:rPr>
        <w:t>greenfield</w:t>
      </w:r>
      <w:proofErr w:type="spellEnd"/>
      <w:r w:rsidRPr="00636499">
        <w:rPr>
          <w:rFonts w:eastAsia="MS Mincho" w:cs="Calibri"/>
          <w:lang w:eastAsia="ja-JP"/>
        </w:rPr>
        <w:t xml:space="preserve"> investicija</w:t>
      </w:r>
      <w:r>
        <w:rPr>
          <w:rFonts w:eastAsia="MS Mincho" w:cs="Calibri"/>
          <w:lang w:eastAsia="ja-JP"/>
        </w:rPr>
        <w:t xml:space="preserve"> u industrije u nastajanju i visoko-tehnološke sektore</w:t>
      </w:r>
      <w:r w:rsidRPr="00636499">
        <w:rPr>
          <w:rFonts w:eastAsia="MS Mincho" w:cs="Calibri"/>
          <w:lang w:eastAsia="ja-JP"/>
        </w:rPr>
        <w:t>.</w:t>
      </w:r>
      <w:r w:rsidRPr="00636499">
        <w:rPr>
          <w:rFonts w:eastAsia="MS Mincho" w:cs="Calibri"/>
          <w:b/>
          <w:lang w:eastAsia="ja-JP"/>
        </w:rPr>
        <w:t xml:space="preserve"> </w:t>
      </w:r>
    </w:p>
    <w:p w:rsidR="000C1520" w:rsidRPr="00AF566A" w:rsidRDefault="000C1520" w:rsidP="00D74ECD">
      <w:pPr>
        <w:pStyle w:val="Heading3"/>
      </w:pPr>
      <w:bookmarkStart w:id="54" w:name="_Toc351127617"/>
      <w:bookmarkStart w:id="55" w:name="_Toc373137875"/>
      <w:r w:rsidRPr="00AF566A">
        <w:t>3.3.3</w:t>
      </w:r>
      <w:r w:rsidR="00E603EE">
        <w:t xml:space="preserve">. </w:t>
      </w:r>
      <w:r w:rsidRPr="00AF566A">
        <w:t xml:space="preserve"> IZRAD</w:t>
      </w:r>
      <w:r>
        <w:t xml:space="preserve">A I PROVEDBA PLANA PRIVLAČENJA </w:t>
      </w:r>
      <w:r w:rsidRPr="00D9757B">
        <w:rPr>
          <w:i/>
        </w:rPr>
        <w:t>GREENFIELD</w:t>
      </w:r>
      <w:r w:rsidRPr="00AF566A">
        <w:t xml:space="preserve"> INVESTICIJA U POTPOMOGNUTA PODRUČJA RH</w:t>
      </w:r>
      <w:bookmarkEnd w:id="54"/>
      <w:bookmarkEnd w:id="55"/>
    </w:p>
    <w:p w:rsidR="000C1520" w:rsidRPr="00636499" w:rsidRDefault="000C1520" w:rsidP="00C13AF1">
      <w:pPr>
        <w:spacing w:after="0" w:line="288" w:lineRule="auto"/>
        <w:jc w:val="both"/>
        <w:rPr>
          <w:rFonts w:eastAsia="MS Mincho" w:cs="Calibri"/>
          <w:b/>
          <w:lang w:eastAsia="ja-JP"/>
        </w:rPr>
      </w:pPr>
    </w:p>
    <w:p w:rsidR="000C1520" w:rsidRPr="00636499" w:rsidRDefault="000C1520" w:rsidP="00062D1D">
      <w:pPr>
        <w:spacing w:after="0" w:line="360" w:lineRule="auto"/>
        <w:jc w:val="both"/>
        <w:rPr>
          <w:rFonts w:eastAsia="MS Mincho" w:cs="Calibri"/>
          <w:lang w:eastAsia="ja-JP"/>
        </w:rPr>
      </w:pPr>
      <w:r w:rsidRPr="00636499">
        <w:rPr>
          <w:rFonts w:eastAsia="MS Mincho" w:cs="Calibri"/>
          <w:lang w:eastAsia="ja-JP"/>
        </w:rPr>
        <w:t xml:space="preserve">Gospodarstvo na potpomognutim područjima RH značajno zaostaje za prosjekom </w:t>
      </w:r>
      <w:r>
        <w:rPr>
          <w:rFonts w:eastAsia="MS Mincho" w:cs="Calibri"/>
          <w:lang w:eastAsia="ja-JP"/>
        </w:rPr>
        <w:t>RH</w:t>
      </w:r>
      <w:r w:rsidRPr="00636499">
        <w:rPr>
          <w:rFonts w:eastAsia="MS Mincho" w:cs="Calibri"/>
          <w:lang w:eastAsia="ja-JP"/>
        </w:rPr>
        <w:t xml:space="preserve"> te se suočava s brojnim i raznolikim problemima. Do nastupanja opće recesije, gospodarstvo</w:t>
      </w:r>
      <w:r>
        <w:rPr>
          <w:rFonts w:eastAsia="MS Mincho" w:cs="Calibri"/>
          <w:lang w:eastAsia="ja-JP"/>
        </w:rPr>
        <w:t xml:space="preserve"> na potpomognutim područjima </w:t>
      </w:r>
      <w:r w:rsidRPr="00636499">
        <w:rPr>
          <w:rFonts w:eastAsia="MS Mincho" w:cs="Calibri"/>
          <w:lang w:eastAsia="ja-JP"/>
        </w:rPr>
        <w:t xml:space="preserve">u pojedinim </w:t>
      </w:r>
      <w:r>
        <w:rPr>
          <w:rFonts w:eastAsia="MS Mincho" w:cs="Calibri"/>
          <w:lang w:eastAsia="ja-JP"/>
        </w:rPr>
        <w:t xml:space="preserve">je </w:t>
      </w:r>
      <w:r w:rsidRPr="00636499">
        <w:rPr>
          <w:rFonts w:eastAsia="MS Mincho" w:cs="Calibri"/>
          <w:lang w:eastAsia="ja-JP"/>
        </w:rPr>
        <w:t xml:space="preserve">segmentima imalo određene povoljne pokazatelje dinamike </w:t>
      </w:r>
      <w:r>
        <w:rPr>
          <w:rFonts w:eastAsia="MS Mincho" w:cs="Calibri"/>
          <w:lang w:eastAsia="ja-JP"/>
        </w:rPr>
        <w:t xml:space="preserve">dijelom i kao rezultat </w:t>
      </w:r>
      <w:r w:rsidRPr="00636499">
        <w:rPr>
          <w:rFonts w:eastAsia="MS Mincho" w:cs="Calibri"/>
          <w:lang w:eastAsia="ja-JP"/>
        </w:rPr>
        <w:t xml:space="preserve">poticajnih mjera </w:t>
      </w:r>
      <w:r>
        <w:rPr>
          <w:rFonts w:eastAsia="MS Mincho" w:cs="Calibri"/>
          <w:lang w:eastAsia="ja-JP"/>
        </w:rPr>
        <w:t xml:space="preserve">za </w:t>
      </w:r>
      <w:r w:rsidRPr="00636499">
        <w:rPr>
          <w:rFonts w:eastAsia="MS Mincho" w:cs="Calibri"/>
          <w:lang w:eastAsia="ja-JP"/>
        </w:rPr>
        <w:t>ulaganj</w:t>
      </w:r>
      <w:r>
        <w:rPr>
          <w:rFonts w:eastAsia="MS Mincho" w:cs="Calibri"/>
          <w:lang w:eastAsia="ja-JP"/>
        </w:rPr>
        <w:t>a</w:t>
      </w:r>
      <w:r w:rsidRPr="00636499">
        <w:rPr>
          <w:rFonts w:eastAsia="MS Mincho" w:cs="Calibri"/>
          <w:lang w:eastAsia="ja-JP"/>
        </w:rPr>
        <w:t xml:space="preserve"> u ta područja. U svrhu poticanja op</w:t>
      </w:r>
      <w:r w:rsidR="00B51EC7">
        <w:rPr>
          <w:rFonts w:eastAsia="MS Mincho" w:cs="Calibri"/>
          <w:lang w:eastAsia="ja-JP"/>
        </w:rPr>
        <w:t>o</w:t>
      </w:r>
      <w:r w:rsidRPr="00636499">
        <w:rPr>
          <w:rFonts w:eastAsia="MS Mincho" w:cs="Calibri"/>
          <w:lang w:eastAsia="ja-JP"/>
        </w:rPr>
        <w:t>ravka i bržeg gospodarskog razvoja ovih područja nužno je privlačenje novih investicija</w:t>
      </w:r>
      <w:r>
        <w:rPr>
          <w:rFonts w:eastAsia="MS Mincho" w:cs="Calibri"/>
          <w:lang w:eastAsia="ja-JP"/>
        </w:rPr>
        <w:t>,</w:t>
      </w:r>
      <w:r w:rsidRPr="00636499">
        <w:rPr>
          <w:rFonts w:eastAsia="MS Mincho" w:cs="Calibri"/>
          <w:lang w:eastAsia="ja-JP"/>
        </w:rPr>
        <w:t xml:space="preserve"> posebice u izvozno orijentirane sektore. Nove </w:t>
      </w:r>
      <w:proofErr w:type="spellStart"/>
      <w:r w:rsidRPr="00D9757B">
        <w:rPr>
          <w:rFonts w:eastAsia="MS Mincho" w:cs="Calibri"/>
          <w:i/>
          <w:lang w:eastAsia="ja-JP"/>
        </w:rPr>
        <w:t>greenfield</w:t>
      </w:r>
      <w:proofErr w:type="spellEnd"/>
      <w:r w:rsidRPr="00636499">
        <w:rPr>
          <w:rFonts w:eastAsia="MS Mincho" w:cs="Calibri"/>
          <w:lang w:eastAsia="ja-JP"/>
        </w:rPr>
        <w:t xml:space="preserve"> investicije potaknut će porast konkurentnosti gospodarstva potpomognutih područja te će utjecati na ravnomjerniji društveno-gospodarski razvoj RH</w:t>
      </w:r>
      <w:r w:rsidR="00B51EC7">
        <w:rPr>
          <w:rFonts w:eastAsia="MS Mincho" w:cs="Calibri"/>
          <w:lang w:eastAsia="ja-JP"/>
        </w:rPr>
        <w:t>,</w:t>
      </w:r>
      <w:r w:rsidRPr="00636499">
        <w:rPr>
          <w:rFonts w:eastAsia="MS Mincho" w:cs="Calibri"/>
          <w:lang w:eastAsia="ja-JP"/>
        </w:rPr>
        <w:t xml:space="preserve"> što</w:t>
      </w:r>
      <w:r w:rsidR="00BA6A16">
        <w:rPr>
          <w:rFonts w:eastAsia="MS Mincho" w:cs="Calibri"/>
          <w:lang w:eastAsia="ja-JP"/>
        </w:rPr>
        <w:t xml:space="preserve"> će biti vidljivo u revidiranoj</w:t>
      </w:r>
      <w:r w:rsidRPr="00636499">
        <w:rPr>
          <w:rFonts w:eastAsia="MS Mincho" w:cs="Calibri"/>
          <w:lang w:eastAsia="ja-JP"/>
        </w:rPr>
        <w:t xml:space="preserve"> „Strateg</w:t>
      </w:r>
      <w:r w:rsidR="00BA6A16">
        <w:rPr>
          <w:rFonts w:eastAsia="MS Mincho" w:cs="Calibri"/>
          <w:lang w:eastAsia="ja-JP"/>
        </w:rPr>
        <w:t>iji regionalnog razvoja RH 2014</w:t>
      </w:r>
      <w:r w:rsidRPr="00636499">
        <w:rPr>
          <w:rFonts w:eastAsia="MS Mincho" w:cs="Calibri"/>
          <w:lang w:eastAsia="ja-JP"/>
        </w:rPr>
        <w:t>.</w:t>
      </w:r>
      <w:r>
        <w:rPr>
          <w:rFonts w:eastAsia="MS Mincho" w:cs="Calibri"/>
          <w:lang w:eastAsia="ja-JP"/>
        </w:rPr>
        <w:t xml:space="preserve"> – </w:t>
      </w:r>
      <w:r w:rsidR="00BA6A16">
        <w:rPr>
          <w:rFonts w:eastAsia="MS Mincho" w:cs="Calibri"/>
          <w:lang w:eastAsia="ja-JP"/>
        </w:rPr>
        <w:t>2020.“</w:t>
      </w:r>
    </w:p>
    <w:p w:rsidR="000C1520" w:rsidRPr="00636499" w:rsidRDefault="000C1520" w:rsidP="00062D1D">
      <w:pPr>
        <w:spacing w:after="0" w:line="360" w:lineRule="auto"/>
        <w:jc w:val="both"/>
        <w:rPr>
          <w:rFonts w:eastAsia="MS Mincho" w:cs="Calibri"/>
          <w:lang w:eastAsia="ja-JP"/>
        </w:rPr>
      </w:pPr>
    </w:p>
    <w:p w:rsidR="000C1520" w:rsidRDefault="000C1520" w:rsidP="00062D1D">
      <w:pPr>
        <w:spacing w:after="0" w:line="360" w:lineRule="auto"/>
        <w:jc w:val="both"/>
        <w:rPr>
          <w:rFonts w:eastAsia="MS Mincho" w:cs="Calibri"/>
          <w:lang w:eastAsia="ja-JP"/>
        </w:rPr>
      </w:pPr>
      <w:r w:rsidRPr="00636499">
        <w:rPr>
          <w:rFonts w:eastAsia="MS Mincho" w:cs="Calibri"/>
          <w:lang w:eastAsia="ja-JP"/>
        </w:rPr>
        <w:t xml:space="preserve">Prilikom provedbe Plana privlačenja </w:t>
      </w:r>
      <w:proofErr w:type="spellStart"/>
      <w:r w:rsidRPr="00D9757B">
        <w:rPr>
          <w:rFonts w:eastAsia="MS Mincho" w:cs="Calibri"/>
          <w:i/>
          <w:lang w:eastAsia="ja-JP"/>
        </w:rPr>
        <w:t>greenfield</w:t>
      </w:r>
      <w:proofErr w:type="spellEnd"/>
      <w:r w:rsidRPr="00636499">
        <w:rPr>
          <w:rFonts w:eastAsia="MS Mincho" w:cs="Calibri"/>
          <w:lang w:eastAsia="ja-JP"/>
        </w:rPr>
        <w:t xml:space="preserve"> investicija u pot</w:t>
      </w:r>
      <w:r>
        <w:rPr>
          <w:rFonts w:eastAsia="MS Mincho" w:cs="Calibri"/>
          <w:lang w:eastAsia="ja-JP"/>
        </w:rPr>
        <w:t xml:space="preserve">pomognuta područja RH nužan je </w:t>
      </w:r>
      <w:proofErr w:type="spellStart"/>
      <w:r w:rsidRPr="00636499">
        <w:rPr>
          <w:rFonts w:eastAsia="MS Mincho" w:cs="Calibri"/>
          <w:lang w:eastAsia="ja-JP"/>
        </w:rPr>
        <w:t>proaktivan</w:t>
      </w:r>
      <w:proofErr w:type="spellEnd"/>
      <w:r w:rsidRPr="00636499">
        <w:rPr>
          <w:rFonts w:eastAsia="MS Mincho" w:cs="Calibri"/>
          <w:lang w:eastAsia="ja-JP"/>
        </w:rPr>
        <w:t xml:space="preserve"> pr</w:t>
      </w:r>
      <w:r>
        <w:rPr>
          <w:rFonts w:eastAsia="MS Mincho" w:cs="Calibri"/>
          <w:lang w:eastAsia="ja-JP"/>
        </w:rPr>
        <w:t xml:space="preserve">istup prema investitorima, i domaćima i </w:t>
      </w:r>
      <w:r w:rsidRPr="00636499">
        <w:rPr>
          <w:rFonts w:eastAsia="MS Mincho" w:cs="Calibri"/>
          <w:lang w:eastAsia="ja-JP"/>
        </w:rPr>
        <w:t>stranim</w:t>
      </w:r>
      <w:r>
        <w:rPr>
          <w:rFonts w:eastAsia="MS Mincho" w:cs="Calibri"/>
          <w:lang w:eastAsia="ja-JP"/>
        </w:rPr>
        <w:t>a</w:t>
      </w:r>
      <w:r w:rsidRPr="00636499">
        <w:rPr>
          <w:rFonts w:eastAsia="MS Mincho" w:cs="Calibri"/>
          <w:lang w:eastAsia="ja-JP"/>
        </w:rPr>
        <w:t>. Važno je investitorima prenijeti jasnu sliku o prednostima ulaganja u potpomognuta područja.</w:t>
      </w:r>
    </w:p>
    <w:p w:rsidR="000C1520" w:rsidRPr="00636499" w:rsidRDefault="000C1520" w:rsidP="00062D1D">
      <w:pPr>
        <w:spacing w:after="0" w:line="360" w:lineRule="auto"/>
        <w:jc w:val="both"/>
        <w:rPr>
          <w:rFonts w:eastAsia="MS Mincho" w:cs="Calibri"/>
          <w:lang w:eastAsia="ja-JP"/>
        </w:rPr>
      </w:pPr>
      <w:r>
        <w:rPr>
          <w:rFonts w:eastAsia="MS Mincho" w:cs="Calibri"/>
          <w:lang w:eastAsia="ja-JP"/>
        </w:rPr>
        <w:t>Kako bi na primjeren način povezali investitore s</w:t>
      </w:r>
      <w:r w:rsidRPr="00636499">
        <w:rPr>
          <w:rFonts w:eastAsia="MS Mincho" w:cs="Calibri"/>
          <w:lang w:eastAsia="ja-JP"/>
        </w:rPr>
        <w:t xml:space="preserve"> jedinicama regionalne samouprave te ostvarili što b</w:t>
      </w:r>
      <w:r>
        <w:rPr>
          <w:rFonts w:eastAsia="MS Mincho" w:cs="Calibri"/>
          <w:lang w:eastAsia="ja-JP"/>
        </w:rPr>
        <w:t xml:space="preserve">olje rezultate, važno je ponajprije provesti </w:t>
      </w:r>
      <w:r w:rsidRPr="00636499">
        <w:rPr>
          <w:rFonts w:eastAsia="MS Mincho" w:cs="Calibri"/>
          <w:lang w:eastAsia="ja-JP"/>
        </w:rPr>
        <w:t xml:space="preserve">analizu prioriteta na razini županija. Strateški dokumenti koji će se u tu svrhu analizirati su županijske razvojne strategije koje će se izraditi za razdoblje 2014.-2020. Analiza </w:t>
      </w:r>
      <w:r>
        <w:rPr>
          <w:rFonts w:eastAsia="MS Mincho" w:cs="Calibri"/>
          <w:lang w:eastAsia="ja-JP"/>
        </w:rPr>
        <w:t>prioriteta rezultirat će odabirom</w:t>
      </w:r>
      <w:r w:rsidRPr="00636499">
        <w:rPr>
          <w:rFonts w:eastAsia="MS Mincho" w:cs="Calibri"/>
          <w:lang w:eastAsia="ja-JP"/>
        </w:rPr>
        <w:t xml:space="preserve"> sektora ulaganja za pojedina potpomognuta područja na razini županija.</w:t>
      </w:r>
    </w:p>
    <w:p w:rsidR="000C1520" w:rsidRPr="00636499" w:rsidRDefault="000C1520" w:rsidP="00062D1D">
      <w:pPr>
        <w:spacing w:after="0" w:line="360" w:lineRule="auto"/>
        <w:jc w:val="both"/>
        <w:rPr>
          <w:rFonts w:eastAsia="MS Mincho" w:cs="Calibri"/>
          <w:lang w:eastAsia="ja-JP"/>
        </w:rPr>
      </w:pPr>
    </w:p>
    <w:p w:rsidR="000C1520" w:rsidRPr="00636499" w:rsidRDefault="000C1520" w:rsidP="00062D1D">
      <w:pPr>
        <w:spacing w:after="0" w:line="360" w:lineRule="auto"/>
        <w:jc w:val="both"/>
        <w:rPr>
          <w:rFonts w:eastAsia="MS Mincho" w:cs="Calibri"/>
          <w:lang w:eastAsia="ja-JP"/>
        </w:rPr>
      </w:pPr>
      <w:r>
        <w:rPr>
          <w:rFonts w:eastAsia="MS Mincho" w:cs="Calibri"/>
          <w:lang w:eastAsia="ja-JP"/>
        </w:rPr>
        <w:t>Nakon provedene</w:t>
      </w:r>
      <w:r w:rsidRPr="00636499">
        <w:rPr>
          <w:rFonts w:eastAsia="MS Mincho" w:cs="Calibri"/>
          <w:lang w:eastAsia="ja-JP"/>
        </w:rPr>
        <w:t xml:space="preserve"> analize i odabira sektora ulaganja nužno je definirati potencijalne investitore u potpomognuta područja. Radi što kvalitetnijeg odabira potencijalnih ulaga</w:t>
      </w:r>
      <w:r>
        <w:rPr>
          <w:rFonts w:eastAsia="MS Mincho" w:cs="Calibri"/>
          <w:lang w:eastAsia="ja-JP"/>
        </w:rPr>
        <w:t xml:space="preserve">ča važno je uključiti dionike i na </w:t>
      </w:r>
      <w:r w:rsidRPr="00636499">
        <w:rPr>
          <w:rFonts w:eastAsia="MS Mincho" w:cs="Calibri"/>
          <w:lang w:eastAsia="ja-JP"/>
        </w:rPr>
        <w:t xml:space="preserve">nacionalnoj </w:t>
      </w:r>
      <w:r>
        <w:rPr>
          <w:rFonts w:eastAsia="MS Mincho" w:cs="Calibri"/>
          <w:lang w:eastAsia="ja-JP"/>
        </w:rPr>
        <w:t xml:space="preserve">i regionalnoj razini. Investicije moraju biti usklađene </w:t>
      </w:r>
      <w:r w:rsidRPr="00636499">
        <w:rPr>
          <w:rFonts w:eastAsia="MS Mincho" w:cs="Calibri"/>
          <w:lang w:eastAsia="ja-JP"/>
        </w:rPr>
        <w:t>s prioritetima i mjerama iz važećih strateških dokumenata. Popis potencijalnih i</w:t>
      </w:r>
      <w:r>
        <w:rPr>
          <w:rFonts w:eastAsia="MS Mincho" w:cs="Calibri"/>
          <w:lang w:eastAsia="ja-JP"/>
        </w:rPr>
        <w:t>nvestitora revidirat će se jed</w:t>
      </w:r>
      <w:r w:rsidRPr="00636499">
        <w:rPr>
          <w:rFonts w:eastAsia="MS Mincho" w:cs="Calibri"/>
          <w:lang w:eastAsia="ja-JP"/>
        </w:rPr>
        <w:t>n</w:t>
      </w:r>
      <w:r>
        <w:rPr>
          <w:rFonts w:eastAsia="MS Mincho" w:cs="Calibri"/>
          <w:lang w:eastAsia="ja-JP"/>
        </w:rPr>
        <w:t xml:space="preserve">om </w:t>
      </w:r>
      <w:r w:rsidRPr="00636499">
        <w:rPr>
          <w:rFonts w:eastAsia="MS Mincho" w:cs="Calibri"/>
          <w:lang w:eastAsia="ja-JP"/>
        </w:rPr>
        <w:t>godišnje.</w:t>
      </w:r>
    </w:p>
    <w:p w:rsidR="000C1520" w:rsidRPr="00636499" w:rsidRDefault="000C1520" w:rsidP="00062D1D">
      <w:pPr>
        <w:spacing w:after="0" w:line="360" w:lineRule="auto"/>
        <w:jc w:val="both"/>
        <w:rPr>
          <w:rFonts w:eastAsia="MS Mincho" w:cs="Calibri"/>
          <w:lang w:eastAsia="ja-JP"/>
        </w:rPr>
      </w:pPr>
    </w:p>
    <w:p w:rsidR="000C1520" w:rsidRDefault="000C1520" w:rsidP="00062D1D">
      <w:pPr>
        <w:spacing w:after="0" w:line="360" w:lineRule="auto"/>
        <w:jc w:val="both"/>
        <w:rPr>
          <w:rFonts w:eastAsia="MS Mincho" w:cs="Calibri"/>
          <w:lang w:eastAsia="ja-JP"/>
        </w:rPr>
      </w:pPr>
      <w:r>
        <w:rPr>
          <w:rFonts w:eastAsia="MS Mincho" w:cs="Calibri"/>
          <w:lang w:eastAsia="ja-JP"/>
        </w:rPr>
        <w:t xml:space="preserve">Zadnji korak čine organizacija i provedba </w:t>
      </w:r>
      <w:proofErr w:type="spellStart"/>
      <w:r>
        <w:rPr>
          <w:rFonts w:eastAsia="MS Mincho" w:cs="Calibri"/>
          <w:i/>
          <w:lang w:eastAsia="ja-JP"/>
        </w:rPr>
        <w:t>investors</w:t>
      </w:r>
      <w:proofErr w:type="spellEnd"/>
      <w:r>
        <w:rPr>
          <w:rFonts w:eastAsia="MS Mincho" w:cs="Calibri"/>
          <w:i/>
          <w:lang w:eastAsia="ja-JP"/>
        </w:rPr>
        <w:t xml:space="preserve"> </w:t>
      </w:r>
      <w:proofErr w:type="spellStart"/>
      <w:r>
        <w:rPr>
          <w:rFonts w:eastAsia="MS Mincho" w:cs="Calibri"/>
          <w:i/>
          <w:lang w:eastAsia="ja-JP"/>
        </w:rPr>
        <w:t>o</w:t>
      </w:r>
      <w:r w:rsidRPr="00D9757B">
        <w:rPr>
          <w:rFonts w:eastAsia="MS Mincho" w:cs="Calibri"/>
          <w:i/>
          <w:lang w:eastAsia="ja-JP"/>
        </w:rPr>
        <w:t>utreach</w:t>
      </w:r>
      <w:proofErr w:type="spellEnd"/>
      <w:r w:rsidRPr="00636499">
        <w:rPr>
          <w:rFonts w:eastAsia="MS Mincho" w:cs="Calibri"/>
          <w:lang w:eastAsia="ja-JP"/>
        </w:rPr>
        <w:t xml:space="preserve"> kampanja. Njihova je uloga spajanje predstavni</w:t>
      </w:r>
      <w:r>
        <w:rPr>
          <w:rFonts w:eastAsia="MS Mincho" w:cs="Calibri"/>
          <w:lang w:eastAsia="ja-JP"/>
        </w:rPr>
        <w:t>ka jedinica regionalne razine s</w:t>
      </w:r>
      <w:r w:rsidRPr="00636499">
        <w:rPr>
          <w:rFonts w:eastAsia="MS Mincho" w:cs="Calibri"/>
          <w:lang w:eastAsia="ja-JP"/>
        </w:rPr>
        <w:t xml:space="preserve"> predstavnicima domaćih i stranih investitora. Kampanje trebaju biti k</w:t>
      </w:r>
      <w:r>
        <w:rPr>
          <w:rFonts w:eastAsia="MS Mincho" w:cs="Calibri"/>
          <w:lang w:eastAsia="ja-JP"/>
        </w:rPr>
        <w:t xml:space="preserve">valitetno pripremljene, a </w:t>
      </w:r>
      <w:r w:rsidRPr="00636499">
        <w:rPr>
          <w:rFonts w:eastAsia="MS Mincho" w:cs="Calibri"/>
          <w:lang w:eastAsia="ja-JP"/>
        </w:rPr>
        <w:t>provodi</w:t>
      </w:r>
      <w:r>
        <w:rPr>
          <w:rFonts w:eastAsia="MS Mincho" w:cs="Calibri"/>
          <w:lang w:eastAsia="ja-JP"/>
        </w:rPr>
        <w:t>t će se</w:t>
      </w:r>
      <w:r w:rsidRPr="00636499">
        <w:rPr>
          <w:rFonts w:eastAsia="MS Mincho" w:cs="Calibri"/>
          <w:lang w:eastAsia="ja-JP"/>
        </w:rPr>
        <w:t xml:space="preserve"> kontinuirano. Provedba kampanje ista je kao kod mjere 1.</w:t>
      </w:r>
    </w:p>
    <w:p w:rsidR="009A4981" w:rsidRDefault="009A4981" w:rsidP="00062D1D">
      <w:pPr>
        <w:spacing w:after="0" w:line="360" w:lineRule="auto"/>
        <w:jc w:val="both"/>
        <w:rPr>
          <w:rFonts w:eastAsia="MS Mincho" w:cs="Calibri"/>
          <w:lang w:eastAsia="ja-JP"/>
        </w:rPr>
      </w:pPr>
    </w:p>
    <w:p w:rsidR="000C1520" w:rsidRPr="00AF566A" w:rsidRDefault="000C1520" w:rsidP="00D74ECD">
      <w:pPr>
        <w:pStyle w:val="Heading3"/>
      </w:pPr>
      <w:bookmarkStart w:id="56" w:name="_Toc351127619"/>
      <w:bookmarkStart w:id="57" w:name="_Toc373137876"/>
      <w:r w:rsidRPr="00AF566A">
        <w:lastRenderedPageBreak/>
        <w:t>3.3.4</w:t>
      </w:r>
      <w:r w:rsidR="00E603EE">
        <w:t xml:space="preserve">. </w:t>
      </w:r>
      <w:r w:rsidRPr="00AF566A">
        <w:t xml:space="preserve"> IZRAD</w:t>
      </w:r>
      <w:r>
        <w:t>A I PROVEDBA PLANA REALIZACIJE</w:t>
      </w:r>
      <w:r w:rsidRPr="00D9757B">
        <w:rPr>
          <w:i/>
        </w:rPr>
        <w:t xml:space="preserve"> BROWNFIELD</w:t>
      </w:r>
      <w:r w:rsidRPr="00AF566A">
        <w:t xml:space="preserve"> INVESTICIJA PUTEM STAVLJANJA U FUNKCIJU DRŽAVNE IMOVINE</w:t>
      </w:r>
      <w:bookmarkEnd w:id="56"/>
      <w:bookmarkEnd w:id="57"/>
    </w:p>
    <w:p w:rsidR="000C1520" w:rsidRPr="00AF566A" w:rsidRDefault="000C1520" w:rsidP="00C13AF1">
      <w:pPr>
        <w:spacing w:after="0" w:line="288" w:lineRule="auto"/>
        <w:jc w:val="both"/>
        <w:rPr>
          <w:rFonts w:eastAsia="MS Mincho" w:cs="Calibri"/>
          <w:sz w:val="10"/>
          <w:szCs w:val="10"/>
          <w:lang w:eastAsia="ja-JP"/>
        </w:rPr>
      </w:pPr>
    </w:p>
    <w:p w:rsidR="000C1520" w:rsidRDefault="000C1520" w:rsidP="00062D1D">
      <w:pPr>
        <w:spacing w:after="0" w:line="360" w:lineRule="auto"/>
        <w:jc w:val="both"/>
        <w:rPr>
          <w:rFonts w:eastAsia="MS Mincho" w:cs="Calibri"/>
          <w:lang w:eastAsia="ja-JP"/>
        </w:rPr>
      </w:pPr>
    </w:p>
    <w:p w:rsidR="000C1520" w:rsidRDefault="000C1520" w:rsidP="00062D1D">
      <w:pPr>
        <w:spacing w:after="0" w:line="360" w:lineRule="auto"/>
        <w:jc w:val="both"/>
        <w:rPr>
          <w:rFonts w:eastAsia="MS Mincho" w:cs="Calibri"/>
          <w:lang w:eastAsia="ja-JP"/>
        </w:rPr>
      </w:pPr>
      <w:r w:rsidRPr="00636499">
        <w:rPr>
          <w:rFonts w:eastAsia="MS Mincho" w:cs="Calibri"/>
          <w:lang w:eastAsia="ja-JP"/>
        </w:rPr>
        <w:t xml:space="preserve">Veliki udio u portfelju državne imovine zauzima gospodarska infrastruktura koja je trenutno van </w:t>
      </w:r>
      <w:r w:rsidRPr="003609BE">
        <w:rPr>
          <w:rFonts w:eastAsia="MS Mincho" w:cs="Calibri"/>
          <w:lang w:eastAsia="ja-JP"/>
        </w:rPr>
        <w:t>funkcije ili je zbog neprimjerenog upravljanja zastarjela i u vrlo lošem stanju. Površina već konzumiranog, infrastrukturno</w:t>
      </w:r>
      <w:r w:rsidRPr="00636499">
        <w:rPr>
          <w:rFonts w:eastAsia="MS Mincho" w:cs="Calibri"/>
          <w:lang w:eastAsia="ja-JP"/>
        </w:rPr>
        <w:t xml:space="preserve"> opremljenog</w:t>
      </w:r>
      <w:r>
        <w:rPr>
          <w:rFonts w:eastAsia="MS Mincho" w:cs="Calibri"/>
          <w:lang w:eastAsia="ja-JP"/>
        </w:rPr>
        <w:t>, a neiskorištenog zemljišta u sklopu raznih industrijskih, turističkih, vojnih i drugih kompleksa u RH, osigurava dostatan prostor</w:t>
      </w:r>
      <w:r w:rsidRPr="00636499">
        <w:rPr>
          <w:rFonts w:eastAsia="MS Mincho" w:cs="Calibri"/>
          <w:lang w:eastAsia="ja-JP"/>
        </w:rPr>
        <w:t>, čak i za ubrzani razvoj tijekom narednog razdoblja.</w:t>
      </w:r>
      <w:r w:rsidR="00486A89">
        <w:rPr>
          <w:rFonts w:eastAsia="MS Mincho" w:cs="Calibri"/>
          <w:lang w:eastAsia="ja-JP"/>
        </w:rPr>
        <w:t xml:space="preserve"> </w:t>
      </w:r>
      <w:r w:rsidRPr="00636499">
        <w:rPr>
          <w:rFonts w:eastAsia="MS Mincho" w:cs="Calibri"/>
          <w:lang w:eastAsia="ja-JP"/>
        </w:rPr>
        <w:t>Ulaganjem u prostor postojeć</w:t>
      </w:r>
      <w:r>
        <w:rPr>
          <w:rFonts w:eastAsia="MS Mincho" w:cs="Calibri"/>
          <w:lang w:eastAsia="ja-JP"/>
        </w:rPr>
        <w:t>eg izgrađenog objekta, koji</w:t>
      </w:r>
      <w:r w:rsidRPr="00636499">
        <w:rPr>
          <w:rFonts w:eastAsia="MS Mincho" w:cs="Calibri"/>
          <w:lang w:eastAsia="ja-JP"/>
        </w:rPr>
        <w:t xml:space="preserve"> je ekonomskim ili drugim zakon</w:t>
      </w:r>
      <w:r>
        <w:rPr>
          <w:rFonts w:eastAsia="MS Mincho" w:cs="Calibri"/>
          <w:lang w:eastAsia="ja-JP"/>
        </w:rPr>
        <w:t>itostima postao nerentabilan, s obilježjem zapuštene infrastrukture (industrijske, vojne, turističke, prometne,</w:t>
      </w:r>
      <w:r w:rsidRPr="00636499">
        <w:rPr>
          <w:rFonts w:eastAsia="MS Mincho" w:cs="Calibri"/>
          <w:lang w:eastAsia="ja-JP"/>
        </w:rPr>
        <w:t xml:space="preserve"> itd.), doći će ne samo do revitalizacije postojeće gospodarske infrastrukture i urbane obnove zapuštenih naselja, nego i do zaštite ostatka prostora koji je iznimno vrijedan, a na kojem do sada nije bila predviđena gospodarska aktivnost.</w:t>
      </w:r>
    </w:p>
    <w:p w:rsidR="009A4981" w:rsidRPr="00636499" w:rsidRDefault="009A4981" w:rsidP="00062D1D">
      <w:pPr>
        <w:spacing w:after="0" w:line="360" w:lineRule="auto"/>
        <w:jc w:val="both"/>
        <w:rPr>
          <w:rFonts w:eastAsia="MS Mincho" w:cs="Calibri"/>
          <w:lang w:eastAsia="ja-JP"/>
        </w:rPr>
      </w:pPr>
    </w:p>
    <w:p w:rsidR="000C1520" w:rsidRPr="009A4981" w:rsidRDefault="000C1520" w:rsidP="00062D1D">
      <w:pPr>
        <w:spacing w:after="0" w:line="360" w:lineRule="auto"/>
        <w:jc w:val="both"/>
        <w:rPr>
          <w:rFonts w:eastAsia="MS Mincho" w:cs="Calibri"/>
          <w:lang w:eastAsia="ja-JP"/>
        </w:rPr>
      </w:pPr>
      <w:r w:rsidRPr="00636499">
        <w:rPr>
          <w:rFonts w:eastAsia="MS Mincho" w:cs="Calibri"/>
          <w:lang w:eastAsia="ja-JP"/>
        </w:rPr>
        <w:t>Izradom baze podataka koja će sadržavati popis državne imovine podobne za</w:t>
      </w:r>
      <w:r>
        <w:rPr>
          <w:rFonts w:eastAsia="MS Mincho" w:cs="Calibri"/>
          <w:lang w:eastAsia="ja-JP"/>
        </w:rPr>
        <w:t xml:space="preserve"> gospodarsku namjenu (opisujući u kakvom je</w:t>
      </w:r>
      <w:r w:rsidRPr="00636499">
        <w:rPr>
          <w:rFonts w:eastAsia="MS Mincho" w:cs="Calibri"/>
          <w:lang w:eastAsia="ja-JP"/>
        </w:rPr>
        <w:t xml:space="preserve"> stanju i što </w:t>
      </w:r>
      <w:r>
        <w:rPr>
          <w:rFonts w:eastAsia="MS Mincho" w:cs="Calibri"/>
          <w:lang w:eastAsia="ja-JP"/>
        </w:rPr>
        <w:t>je predviđeno prema GUP-u na određenom</w:t>
      </w:r>
      <w:r w:rsidRPr="00636499">
        <w:rPr>
          <w:rFonts w:eastAsia="MS Mincho" w:cs="Calibri"/>
          <w:lang w:eastAsia="ja-JP"/>
        </w:rPr>
        <w:t xml:space="preserve"> području), ostvarit će se predu</w:t>
      </w:r>
      <w:r>
        <w:rPr>
          <w:rFonts w:eastAsia="MS Mincho" w:cs="Calibri"/>
          <w:lang w:eastAsia="ja-JP"/>
        </w:rPr>
        <w:t>vjeti potrebni za utvrđivanje</w:t>
      </w:r>
      <w:r w:rsidRPr="00636499">
        <w:rPr>
          <w:rFonts w:eastAsia="MS Mincho" w:cs="Calibri"/>
          <w:lang w:eastAsia="ja-JP"/>
        </w:rPr>
        <w:t xml:space="preserve"> mogućnosti za investiranje koja je ključna za provedbu aktivnosti cil</w:t>
      </w:r>
      <w:r w:rsidR="009A4981">
        <w:rPr>
          <w:rFonts w:eastAsia="MS Mincho" w:cs="Calibri"/>
          <w:lang w:eastAsia="ja-JP"/>
        </w:rPr>
        <w:t xml:space="preserve">janog privlačenja investicija. </w:t>
      </w:r>
      <w:r w:rsidRPr="00636499">
        <w:rPr>
          <w:rFonts w:eastAsia="MS Mincho" w:cs="Calibri"/>
          <w:lang w:eastAsia="ja-JP"/>
        </w:rPr>
        <w:t>Za provođenje navedenih aktivnosti</w:t>
      </w:r>
      <w:r>
        <w:rPr>
          <w:rFonts w:eastAsia="MS Mincho" w:cs="Calibri"/>
          <w:lang w:eastAsia="ja-JP"/>
        </w:rPr>
        <w:t xml:space="preserve"> operativno bi bio zadužen DU</w:t>
      </w:r>
      <w:r w:rsidR="00BE5A48">
        <w:rPr>
          <w:rFonts w:eastAsia="MS Mincho" w:cs="Calibri"/>
          <w:lang w:eastAsia="ja-JP"/>
        </w:rPr>
        <w:t>U</w:t>
      </w:r>
      <w:r>
        <w:rPr>
          <w:rFonts w:eastAsia="MS Mincho" w:cs="Calibri"/>
          <w:lang w:eastAsia="ja-JP"/>
        </w:rPr>
        <w:t>DI</w:t>
      </w:r>
      <w:r w:rsidRPr="00636499">
        <w:rPr>
          <w:rFonts w:eastAsia="MS Mincho" w:cs="Calibri"/>
          <w:lang w:eastAsia="ja-JP"/>
        </w:rPr>
        <w:t xml:space="preserve"> u koordi</w:t>
      </w:r>
      <w:r>
        <w:rPr>
          <w:rFonts w:eastAsia="MS Mincho" w:cs="Calibri"/>
          <w:lang w:eastAsia="ja-JP"/>
        </w:rPr>
        <w:t xml:space="preserve">naciji i suradnji s </w:t>
      </w:r>
      <w:r w:rsidRPr="00636499">
        <w:rPr>
          <w:rFonts w:eastAsia="MS Mincho" w:cs="Calibri"/>
          <w:lang w:eastAsia="ja-JP"/>
        </w:rPr>
        <w:t>agencijama nadležnim za promicanje i poticanje investicija</w:t>
      </w:r>
      <w:r w:rsidRPr="00636499">
        <w:rPr>
          <w:rFonts w:eastAsia="MS Mincho" w:cs="Calibri"/>
          <w:b/>
          <w:lang w:eastAsia="ja-JP"/>
        </w:rPr>
        <w:t xml:space="preserve">. </w:t>
      </w:r>
    </w:p>
    <w:p w:rsidR="000C1520" w:rsidRPr="00636499" w:rsidRDefault="000C1520" w:rsidP="00062D1D">
      <w:pPr>
        <w:spacing w:after="0" w:line="360" w:lineRule="auto"/>
        <w:jc w:val="both"/>
        <w:rPr>
          <w:rFonts w:eastAsia="MS Mincho" w:cs="Calibri"/>
          <w:lang w:eastAsia="ja-JP"/>
        </w:rPr>
      </w:pPr>
      <w:r w:rsidRPr="00636499">
        <w:rPr>
          <w:rFonts w:eastAsia="MS Mincho" w:cs="Calibri"/>
          <w:lang w:eastAsia="ja-JP"/>
        </w:rPr>
        <w:t>U o</w:t>
      </w:r>
      <w:r>
        <w:rPr>
          <w:rFonts w:eastAsia="MS Mincho" w:cs="Calibri"/>
          <w:lang w:eastAsia="ja-JP"/>
        </w:rPr>
        <w:t>kviru te mjere, nastavno na utvrđivanje</w:t>
      </w:r>
      <w:r w:rsidRPr="00636499">
        <w:rPr>
          <w:rFonts w:eastAsia="MS Mincho" w:cs="Calibri"/>
          <w:lang w:eastAsia="ja-JP"/>
        </w:rPr>
        <w:t xml:space="preserve"> mogućnosti za investiranje</w:t>
      </w:r>
      <w:r>
        <w:rPr>
          <w:rFonts w:eastAsia="MS Mincho" w:cs="Calibri"/>
          <w:lang w:eastAsia="ja-JP"/>
        </w:rPr>
        <w:t>,</w:t>
      </w:r>
      <w:r w:rsidRPr="00636499">
        <w:rPr>
          <w:rFonts w:eastAsia="MS Mincho" w:cs="Calibri"/>
          <w:lang w:eastAsia="ja-JP"/>
        </w:rPr>
        <w:t xml:space="preserve"> potrebno je izraditi potrebnu projektnu dokumentaciju za uspješnu realizaciju p</w:t>
      </w:r>
      <w:r>
        <w:rPr>
          <w:rFonts w:eastAsia="MS Mincho" w:cs="Calibri"/>
          <w:lang w:eastAsia="ja-JP"/>
        </w:rPr>
        <w:t xml:space="preserve">rojekta. U cilju ostvarenja </w:t>
      </w:r>
      <w:r w:rsidRPr="00636499">
        <w:rPr>
          <w:rFonts w:eastAsia="MS Mincho" w:cs="Calibri"/>
          <w:lang w:eastAsia="ja-JP"/>
        </w:rPr>
        <w:t xml:space="preserve">mjere formirat će se međuresorne radne skupine čiji će sastav ovisiti o specifičnosti predviđenog </w:t>
      </w:r>
      <w:proofErr w:type="spellStart"/>
      <w:r w:rsidRPr="00A23478">
        <w:rPr>
          <w:rFonts w:eastAsia="MS Mincho" w:cs="Calibri"/>
          <w:i/>
          <w:lang w:eastAsia="ja-JP"/>
        </w:rPr>
        <w:t>brownfield</w:t>
      </w:r>
      <w:proofErr w:type="spellEnd"/>
      <w:r w:rsidRPr="00636499">
        <w:rPr>
          <w:rFonts w:eastAsia="MS Mincho" w:cs="Calibri"/>
          <w:lang w:eastAsia="ja-JP"/>
        </w:rPr>
        <w:t xml:space="preserve"> projekta i složenosti posla. </w:t>
      </w:r>
    </w:p>
    <w:p w:rsidR="000C1520" w:rsidRDefault="000C1520" w:rsidP="003774EB">
      <w:pPr>
        <w:spacing w:after="0" w:line="288" w:lineRule="auto"/>
        <w:jc w:val="both"/>
        <w:rPr>
          <w:rFonts w:cs="Calibri"/>
          <w:b/>
          <w:sz w:val="8"/>
          <w:szCs w:val="8"/>
        </w:rPr>
      </w:pPr>
    </w:p>
    <w:p w:rsidR="000C1520" w:rsidRPr="00AF566A" w:rsidRDefault="000C1520" w:rsidP="00D74ECD">
      <w:pPr>
        <w:pStyle w:val="Heading3"/>
      </w:pPr>
      <w:bookmarkStart w:id="58" w:name="_Toc351127620"/>
      <w:bookmarkStart w:id="59" w:name="_Toc373137877"/>
      <w:r w:rsidRPr="00AF566A">
        <w:t>3.4</w:t>
      </w:r>
      <w:r w:rsidR="00E603EE">
        <w:t>.</w:t>
      </w:r>
      <w:r w:rsidRPr="00AF566A">
        <w:t xml:space="preserve">  PRUŽANJE PODRŠKE REALIZACIJI INVESTICIJSKIH PROJEKATA</w:t>
      </w:r>
      <w:bookmarkEnd w:id="58"/>
      <w:bookmarkEnd w:id="59"/>
      <w:r w:rsidRPr="00AF566A">
        <w:t xml:space="preserve"> </w:t>
      </w:r>
    </w:p>
    <w:p w:rsidR="000C1520" w:rsidRPr="00636499" w:rsidRDefault="000C1520" w:rsidP="00C13AF1">
      <w:pPr>
        <w:spacing w:after="0" w:line="288" w:lineRule="auto"/>
        <w:jc w:val="both"/>
        <w:rPr>
          <w:rFonts w:cs="Calibri"/>
        </w:rPr>
      </w:pPr>
    </w:p>
    <w:p w:rsidR="000C1520" w:rsidRPr="002F7482" w:rsidRDefault="000C1520" w:rsidP="00C13AF1">
      <w:pPr>
        <w:spacing w:after="0" w:line="288" w:lineRule="auto"/>
        <w:jc w:val="both"/>
        <w:rPr>
          <w:rFonts w:cs="Calibri"/>
          <w:b/>
        </w:rPr>
      </w:pPr>
      <w:r w:rsidRPr="002F7482">
        <w:rPr>
          <w:rFonts w:cs="Calibri"/>
          <w:b/>
        </w:rPr>
        <w:t>SVRHA</w:t>
      </w:r>
    </w:p>
    <w:p w:rsidR="009A4981" w:rsidRDefault="009A4981" w:rsidP="00062D1D">
      <w:pPr>
        <w:spacing w:after="0" w:line="360" w:lineRule="auto"/>
        <w:jc w:val="both"/>
        <w:rPr>
          <w:rFonts w:cs="Calibri"/>
          <w:i/>
        </w:rPr>
      </w:pPr>
    </w:p>
    <w:p w:rsidR="000C1520" w:rsidRPr="00636499" w:rsidRDefault="000C1520" w:rsidP="00062D1D">
      <w:pPr>
        <w:spacing w:after="0" w:line="360" w:lineRule="auto"/>
        <w:jc w:val="both"/>
        <w:rPr>
          <w:rFonts w:cs="Calibri"/>
        </w:rPr>
      </w:pPr>
      <w:r>
        <w:rPr>
          <w:rFonts w:cs="Calibri"/>
        </w:rPr>
        <w:t>Prioritetno područje „Pružanje podrške</w:t>
      </w:r>
      <w:r w:rsidRPr="00636499">
        <w:rPr>
          <w:rFonts w:cs="Calibri"/>
        </w:rPr>
        <w:t xml:space="preserve"> realizaciji investicijskih projekata“ temelji se na potrebi boljeg povezivanja svih tijela uključenih u proces podrške i potpore realizaciji investicijskih projekata te na koordiniranom pristupu investitorima u realizaciji investicije. </w:t>
      </w:r>
      <w:r>
        <w:rPr>
          <w:rFonts w:cs="Calibri"/>
        </w:rPr>
        <w:t xml:space="preserve">Ono </w:t>
      </w:r>
      <w:r w:rsidRPr="00636499">
        <w:rPr>
          <w:rFonts w:cs="Calibri"/>
        </w:rPr>
        <w:t>stavlja i lokalne i regionalne sudionike investicijskog procesa u središte razvoja njihovih područja, i to uključivanjem predstavnika župa</w:t>
      </w:r>
      <w:r>
        <w:rPr>
          <w:rFonts w:cs="Calibri"/>
        </w:rPr>
        <w:t>nijskih razvojnih agencija, koji</w:t>
      </w:r>
      <w:r w:rsidRPr="00636499">
        <w:rPr>
          <w:rFonts w:cs="Calibri"/>
        </w:rPr>
        <w:t xml:space="preserve"> će surađivati s predstavnicima središnje vlasti pri realizaciji investicijskih projekata. </w:t>
      </w:r>
    </w:p>
    <w:p w:rsidR="000C1520" w:rsidRPr="00636499" w:rsidRDefault="000C1520" w:rsidP="00062D1D">
      <w:pPr>
        <w:spacing w:after="0" w:line="360" w:lineRule="auto"/>
        <w:jc w:val="both"/>
        <w:rPr>
          <w:rFonts w:cs="Calibri"/>
        </w:rPr>
      </w:pPr>
    </w:p>
    <w:p w:rsidR="000C1520" w:rsidRPr="00636499" w:rsidRDefault="000C1520" w:rsidP="00062D1D">
      <w:pPr>
        <w:spacing w:after="0" w:line="360" w:lineRule="auto"/>
        <w:jc w:val="both"/>
        <w:rPr>
          <w:rFonts w:cs="Calibri"/>
        </w:rPr>
      </w:pPr>
      <w:r w:rsidRPr="00636499">
        <w:rPr>
          <w:rFonts w:cs="Calibri"/>
        </w:rPr>
        <w:lastRenderedPageBreak/>
        <w:t xml:space="preserve">Prioritetno područje usmjereno je na koordinirani pristup u podršci investicijskim projektima, a u svrhu povećanja broja realiziranih investicijskih projekata.  </w:t>
      </w:r>
    </w:p>
    <w:p w:rsidR="000C1520" w:rsidRPr="00636499" w:rsidRDefault="000C1520" w:rsidP="00062D1D">
      <w:pPr>
        <w:spacing w:after="0" w:line="360" w:lineRule="auto"/>
        <w:jc w:val="both"/>
        <w:rPr>
          <w:rFonts w:cs="Calibri"/>
        </w:rPr>
      </w:pPr>
    </w:p>
    <w:p w:rsidR="000C1520" w:rsidRPr="00636499" w:rsidRDefault="000C1520" w:rsidP="00062D1D">
      <w:pPr>
        <w:spacing w:after="0" w:line="360" w:lineRule="auto"/>
        <w:jc w:val="both"/>
        <w:rPr>
          <w:rFonts w:cs="Calibri"/>
          <w:b/>
        </w:rPr>
      </w:pPr>
      <w:r w:rsidRPr="00636499">
        <w:rPr>
          <w:rFonts w:cs="Calibri"/>
          <w:b/>
        </w:rPr>
        <w:t>OPRAVDANOST</w:t>
      </w:r>
    </w:p>
    <w:p w:rsidR="000C1520" w:rsidRDefault="000C1520" w:rsidP="00062D1D">
      <w:pPr>
        <w:spacing w:after="0" w:line="360" w:lineRule="auto"/>
        <w:jc w:val="both"/>
        <w:rPr>
          <w:rFonts w:cs="Calibri"/>
        </w:rPr>
      </w:pPr>
    </w:p>
    <w:p w:rsidR="000C1520" w:rsidRPr="00636499" w:rsidRDefault="000C1520" w:rsidP="00062D1D">
      <w:pPr>
        <w:spacing w:after="0" w:line="360" w:lineRule="auto"/>
        <w:jc w:val="both"/>
        <w:rPr>
          <w:rFonts w:cs="Calibri"/>
        </w:rPr>
      </w:pPr>
      <w:r w:rsidRPr="00636499">
        <w:rPr>
          <w:rFonts w:cs="Calibri"/>
        </w:rPr>
        <w:t xml:space="preserve">Konkurencija na području </w:t>
      </w:r>
      <w:r>
        <w:rPr>
          <w:rFonts w:cs="Calibri"/>
        </w:rPr>
        <w:t xml:space="preserve">privlačenja </w:t>
      </w:r>
      <w:r w:rsidRPr="00636499">
        <w:rPr>
          <w:rFonts w:cs="Calibri"/>
        </w:rPr>
        <w:t>izravnih</w:t>
      </w:r>
      <w:r>
        <w:rPr>
          <w:rFonts w:cs="Calibri"/>
        </w:rPr>
        <w:t xml:space="preserve"> stranih</w:t>
      </w:r>
      <w:r w:rsidRPr="00636499">
        <w:rPr>
          <w:rFonts w:cs="Calibri"/>
        </w:rPr>
        <w:t xml:space="preserve"> invest</w:t>
      </w:r>
      <w:r>
        <w:rPr>
          <w:rFonts w:cs="Calibri"/>
        </w:rPr>
        <w:t>icija u svijetu i regiji je snažna</w:t>
      </w:r>
      <w:r w:rsidRPr="00636499">
        <w:rPr>
          <w:rFonts w:cs="Calibri"/>
        </w:rPr>
        <w:t xml:space="preserve">, a </w:t>
      </w:r>
      <w:r>
        <w:rPr>
          <w:rFonts w:cs="Calibri"/>
        </w:rPr>
        <w:t xml:space="preserve">RH </w:t>
      </w:r>
      <w:r w:rsidRPr="00636499">
        <w:rPr>
          <w:rFonts w:cs="Calibri"/>
        </w:rPr>
        <w:t xml:space="preserve">može i treba iskoristiti sve potencijale koje ima za privlačenje i realizaciju investicijskih projekata. Međunarodna iskustva pokazuju da kontinuiran i kooperativan pristup državnih institucija ima neizmjernu vrijednost za strane investitore u donošenju odluke o ulaganju te stvara komparativnu prednost manjih zemalja. Uspješna realizacija investicijskog projekta moguća je samo uz zajedničku suradnju svih tijela uključenih u proces realizacije investicijskih projekata. </w:t>
      </w:r>
    </w:p>
    <w:p w:rsidR="000C1520" w:rsidRPr="00636499" w:rsidRDefault="000C1520" w:rsidP="00062D1D">
      <w:pPr>
        <w:spacing w:after="0" w:line="360" w:lineRule="auto"/>
        <w:jc w:val="both"/>
        <w:rPr>
          <w:rFonts w:cs="Calibri"/>
        </w:rPr>
      </w:pPr>
    </w:p>
    <w:p w:rsidR="000C1520" w:rsidRPr="00636499" w:rsidRDefault="000C1520" w:rsidP="00062D1D">
      <w:pPr>
        <w:spacing w:after="0" w:line="360" w:lineRule="auto"/>
        <w:jc w:val="both"/>
        <w:rPr>
          <w:rFonts w:cs="Calibri"/>
        </w:rPr>
      </w:pPr>
      <w:r w:rsidRPr="00636499">
        <w:rPr>
          <w:rFonts w:cs="Calibri"/>
        </w:rPr>
        <w:t xml:space="preserve">Aktivnosti unutar prioritetnog područja </w:t>
      </w:r>
      <w:r>
        <w:rPr>
          <w:rFonts w:cs="Calibri"/>
        </w:rPr>
        <w:t>3.4</w:t>
      </w:r>
      <w:r w:rsidRPr="00636499">
        <w:rPr>
          <w:rFonts w:cs="Calibri"/>
        </w:rPr>
        <w:t xml:space="preserve"> temelje se i na Zakonu o poticanju investicija i unaprjeđenju investicijskog okruženja. </w:t>
      </w:r>
    </w:p>
    <w:p w:rsidR="000C1520" w:rsidRDefault="000C1520" w:rsidP="00C13AF1">
      <w:pPr>
        <w:spacing w:after="0" w:line="288" w:lineRule="auto"/>
        <w:jc w:val="both"/>
        <w:rPr>
          <w:rFonts w:cs="Calibri"/>
          <w:b/>
        </w:rPr>
      </w:pPr>
    </w:p>
    <w:p w:rsidR="000C1520" w:rsidRPr="00636499" w:rsidRDefault="000C1520" w:rsidP="00C13AF1">
      <w:pPr>
        <w:spacing w:after="0" w:line="288" w:lineRule="auto"/>
        <w:jc w:val="both"/>
        <w:rPr>
          <w:rFonts w:cs="Calibri"/>
          <w:b/>
        </w:rPr>
      </w:pPr>
      <w:r w:rsidRPr="00636499">
        <w:rPr>
          <w:rFonts w:cs="Calibri"/>
          <w:b/>
        </w:rPr>
        <w:t>MJERE OSTVARIVANJA CILJA</w:t>
      </w:r>
    </w:p>
    <w:p w:rsidR="000C1520" w:rsidRPr="00636499" w:rsidRDefault="000C1520" w:rsidP="00C13AF1">
      <w:pPr>
        <w:spacing w:after="0" w:line="288" w:lineRule="auto"/>
        <w:jc w:val="both"/>
        <w:rPr>
          <w:rFonts w:cs="Calibri"/>
          <w:b/>
        </w:rPr>
      </w:pPr>
    </w:p>
    <w:p w:rsidR="000C1520" w:rsidRPr="00636499" w:rsidRDefault="000C1520" w:rsidP="00C13AF1">
      <w:pPr>
        <w:spacing w:after="0" w:line="288" w:lineRule="auto"/>
        <w:jc w:val="both"/>
        <w:rPr>
          <w:rFonts w:cs="Calibri"/>
        </w:rPr>
      </w:pPr>
      <w:r w:rsidRPr="00636499">
        <w:rPr>
          <w:rFonts w:cs="Calibri"/>
          <w:b/>
        </w:rPr>
        <w:t>Prioritetno područje „</w:t>
      </w:r>
      <w:r>
        <w:rPr>
          <w:rFonts w:cs="Calibri"/>
          <w:b/>
        </w:rPr>
        <w:t>Pružanje podrške</w:t>
      </w:r>
      <w:r w:rsidRPr="00636499">
        <w:rPr>
          <w:rFonts w:cs="Calibri"/>
          <w:b/>
        </w:rPr>
        <w:t xml:space="preserve"> realizaciji investicijskih projekata“</w:t>
      </w:r>
      <w:r w:rsidRPr="00636499">
        <w:rPr>
          <w:rFonts w:cs="Calibri"/>
        </w:rPr>
        <w:t xml:space="preserve"> uključuje sljedeće mjere: </w:t>
      </w:r>
    </w:p>
    <w:p w:rsidR="000C1520" w:rsidRPr="00636499" w:rsidRDefault="00D87C12" w:rsidP="002F2B1D">
      <w:pPr>
        <w:spacing w:after="0" w:line="288" w:lineRule="auto"/>
        <w:ind w:right="480"/>
        <w:jc w:val="both"/>
        <w:rPr>
          <w:rFonts w:eastAsia="MS Mincho" w:cs="Calibri"/>
          <w:lang w:eastAsia="ja-JP"/>
        </w:rPr>
      </w:pPr>
      <w:r>
        <w:rPr>
          <w:noProof/>
        </w:rPr>
        <w:drawing>
          <wp:anchor distT="0" distB="0" distL="882396" distR="892175" simplePos="0" relativeHeight="251658240" behindDoc="0" locked="0" layoutInCell="1" allowOverlap="1">
            <wp:simplePos x="0" y="0"/>
            <wp:positionH relativeFrom="column">
              <wp:posOffset>127889</wp:posOffset>
            </wp:positionH>
            <wp:positionV relativeFrom="paragraph">
              <wp:posOffset>229997</wp:posOffset>
            </wp:positionV>
            <wp:extent cx="5502021" cy="1498981"/>
            <wp:effectExtent l="0" t="0" r="0" b="25400"/>
            <wp:wrapSquare wrapText="bothSides"/>
            <wp:docPr id="12" name="Picture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p>
    <w:p w:rsidR="000C1520" w:rsidRPr="00AF566A" w:rsidRDefault="000C1520" w:rsidP="00D74ECD">
      <w:pPr>
        <w:pStyle w:val="Heading3"/>
        <w:rPr>
          <w:rFonts w:eastAsia="MS Mincho"/>
        </w:rPr>
      </w:pPr>
      <w:bookmarkStart w:id="60" w:name="_Toc351127622"/>
      <w:bookmarkStart w:id="61" w:name="_Toc373137878"/>
      <w:r w:rsidRPr="00AF566A">
        <w:t>3.4.1</w:t>
      </w:r>
      <w:r w:rsidR="00E603EE">
        <w:t xml:space="preserve">. </w:t>
      </w:r>
      <w:r w:rsidRPr="00AF566A">
        <w:t xml:space="preserve"> PODRŠKA INVESTITORIMA U PRED-INVESTICIJSKOJ FAZI I U REALIZACIJI INVESTICIJSKIH PROJEKATA</w:t>
      </w:r>
      <w:bookmarkEnd w:id="60"/>
      <w:bookmarkEnd w:id="61"/>
      <w:r w:rsidRPr="00AF566A">
        <w:t xml:space="preserve"> </w:t>
      </w:r>
    </w:p>
    <w:p w:rsidR="000C1520" w:rsidRPr="00636499" w:rsidRDefault="000C1520" w:rsidP="000D25B3">
      <w:pPr>
        <w:spacing w:after="0" w:line="360" w:lineRule="auto"/>
        <w:jc w:val="both"/>
        <w:rPr>
          <w:rFonts w:cs="Calibri"/>
        </w:rPr>
      </w:pPr>
    </w:p>
    <w:p w:rsidR="000C1520" w:rsidRPr="00636499" w:rsidRDefault="000C1520" w:rsidP="00062D1D">
      <w:pPr>
        <w:spacing w:after="0" w:line="360" w:lineRule="auto"/>
        <w:jc w:val="both"/>
        <w:rPr>
          <w:rFonts w:cs="Calibri"/>
        </w:rPr>
      </w:pPr>
      <w:r w:rsidRPr="00636499">
        <w:rPr>
          <w:rFonts w:cs="Calibri"/>
        </w:rPr>
        <w:t>Poboljšanje suradnje svih tijela uključenih u pred-investicijske, investicijske i post-</w:t>
      </w:r>
      <w:r>
        <w:rPr>
          <w:rFonts w:cs="Calibri"/>
        </w:rPr>
        <w:t>investicijske aktivnosti ključno</w:t>
      </w:r>
      <w:r w:rsidRPr="00636499">
        <w:rPr>
          <w:rFonts w:cs="Calibri"/>
        </w:rPr>
        <w:t xml:space="preserve"> je za uspješnost i rok ostvarenja investicijs</w:t>
      </w:r>
      <w:r>
        <w:rPr>
          <w:rFonts w:cs="Calibri"/>
        </w:rPr>
        <w:t>kih projekata. Samo kooperativan i kontinuiran</w:t>
      </w:r>
      <w:r w:rsidRPr="00636499">
        <w:rPr>
          <w:rFonts w:cs="Calibri"/>
        </w:rPr>
        <w:t xml:space="preserve"> pristup svih institucija uključenih u aktivnosti privlačenja i realizacije investicijskih projekata može rezultirat</w:t>
      </w:r>
      <w:r>
        <w:rPr>
          <w:rFonts w:cs="Calibri"/>
        </w:rPr>
        <w:t>i donošenjem odluke o ulaganju, a</w:t>
      </w:r>
      <w:r w:rsidRPr="00636499">
        <w:rPr>
          <w:rFonts w:cs="Calibri"/>
        </w:rPr>
        <w:t xml:space="preserve"> time </w:t>
      </w:r>
      <w:r>
        <w:rPr>
          <w:rFonts w:cs="Calibri"/>
        </w:rPr>
        <w:t xml:space="preserve">i </w:t>
      </w:r>
      <w:r w:rsidRPr="00636499">
        <w:rPr>
          <w:rFonts w:cs="Calibri"/>
        </w:rPr>
        <w:t xml:space="preserve">povećanjem broja realiziranih izvozno orijentiranih </w:t>
      </w:r>
      <w:proofErr w:type="spellStart"/>
      <w:r w:rsidRPr="00A23478">
        <w:rPr>
          <w:rFonts w:cs="Calibri"/>
          <w:i/>
        </w:rPr>
        <w:t>greenfield</w:t>
      </w:r>
      <w:proofErr w:type="spellEnd"/>
      <w:r w:rsidRPr="00636499">
        <w:rPr>
          <w:rFonts w:cs="Calibri"/>
        </w:rPr>
        <w:t xml:space="preserve"> investicija. </w:t>
      </w:r>
    </w:p>
    <w:p w:rsidR="000C1520" w:rsidRPr="00636499" w:rsidRDefault="000C1520" w:rsidP="00062D1D">
      <w:pPr>
        <w:spacing w:after="0" w:line="360" w:lineRule="auto"/>
        <w:jc w:val="both"/>
        <w:rPr>
          <w:rFonts w:cs="Calibri"/>
        </w:rPr>
      </w:pPr>
      <w:r w:rsidRPr="00636499">
        <w:rPr>
          <w:rFonts w:cs="Calibri"/>
        </w:rPr>
        <w:lastRenderedPageBreak/>
        <w:t>Za svaki pojedini investicijski projekt formirat će s</w:t>
      </w:r>
      <w:r>
        <w:rPr>
          <w:rFonts w:cs="Calibri"/>
        </w:rPr>
        <w:t xml:space="preserve">e tim za podršku </w:t>
      </w:r>
      <w:r w:rsidRPr="00636499">
        <w:rPr>
          <w:rFonts w:cs="Calibri"/>
        </w:rPr>
        <w:t>projektu temeljem Zakon</w:t>
      </w:r>
      <w:r w:rsidR="00B51EC7">
        <w:rPr>
          <w:rFonts w:cs="Calibri"/>
        </w:rPr>
        <w:t>a</w:t>
      </w:r>
      <w:r w:rsidRPr="00636499">
        <w:rPr>
          <w:rFonts w:cs="Calibri"/>
        </w:rPr>
        <w:t xml:space="preserve"> o poticanju investicija i unaprjeđenju investicijskog okruženja. Za potrebe uspješne realizacije</w:t>
      </w:r>
      <w:r>
        <w:rPr>
          <w:rFonts w:cs="Calibri"/>
        </w:rPr>
        <w:t xml:space="preserve"> investicijskog projekta stvorit</w:t>
      </w:r>
      <w:r w:rsidRPr="00636499">
        <w:rPr>
          <w:rFonts w:cs="Calibri"/>
        </w:rPr>
        <w:t xml:space="preserve"> će se podloga za privlačenje investicija sa svim relevantnim podacima za p</w:t>
      </w:r>
      <w:r>
        <w:rPr>
          <w:rFonts w:cs="Calibri"/>
        </w:rPr>
        <w:t xml:space="preserve">otencijalne investitore, a </w:t>
      </w:r>
      <w:r w:rsidRPr="00636499">
        <w:rPr>
          <w:rFonts w:cs="Calibri"/>
        </w:rPr>
        <w:t>poslužit</w:t>
      </w:r>
      <w:r>
        <w:rPr>
          <w:rFonts w:cs="Calibri"/>
        </w:rPr>
        <w:t xml:space="preserve"> će</w:t>
      </w:r>
      <w:r w:rsidRPr="00636499">
        <w:rPr>
          <w:rFonts w:cs="Calibri"/>
        </w:rPr>
        <w:t xml:space="preserve"> kao temelj za pružanje specijalizirane podrške investitorima u</w:t>
      </w:r>
      <w:r>
        <w:rPr>
          <w:rFonts w:cs="Calibri"/>
        </w:rPr>
        <w:t xml:space="preserve"> pred-investicijskoj fazi. Pred-investicijska faza uključuje </w:t>
      </w:r>
      <w:r w:rsidRPr="00636499">
        <w:rPr>
          <w:rFonts w:cs="Calibri"/>
        </w:rPr>
        <w:t>organizaciju koordinacijskih sastanaka sa svim tijelima potrebnim</w:t>
      </w:r>
      <w:r>
        <w:rPr>
          <w:rFonts w:cs="Calibri"/>
        </w:rPr>
        <w:t>a</w:t>
      </w:r>
      <w:r w:rsidRPr="00636499">
        <w:rPr>
          <w:rFonts w:cs="Calibri"/>
        </w:rPr>
        <w:t xml:space="preserve"> za uspješnu real</w:t>
      </w:r>
      <w:r>
        <w:rPr>
          <w:rFonts w:cs="Calibri"/>
        </w:rPr>
        <w:t>izaciju projekta, kao i organizaciju</w:t>
      </w:r>
      <w:r w:rsidRPr="00636499">
        <w:rPr>
          <w:rFonts w:cs="Calibri"/>
        </w:rPr>
        <w:t xml:space="preserve"> posjeta investitora potencijalnim lokacijama. </w:t>
      </w:r>
    </w:p>
    <w:p w:rsidR="000C1520" w:rsidRPr="00636499" w:rsidRDefault="000C1520" w:rsidP="00062D1D">
      <w:pPr>
        <w:spacing w:after="0" w:line="360" w:lineRule="auto"/>
        <w:jc w:val="both"/>
        <w:rPr>
          <w:rFonts w:cs="Calibri"/>
        </w:rPr>
      </w:pPr>
    </w:p>
    <w:p w:rsidR="000C1520" w:rsidRPr="00636499" w:rsidRDefault="000C1520" w:rsidP="00062D1D">
      <w:pPr>
        <w:spacing w:after="0" w:line="360" w:lineRule="auto"/>
        <w:jc w:val="both"/>
        <w:rPr>
          <w:rFonts w:cs="Calibri"/>
        </w:rPr>
      </w:pPr>
      <w:r w:rsidRPr="00636499">
        <w:rPr>
          <w:rFonts w:cs="Calibri"/>
        </w:rPr>
        <w:t>S obzirom da su se investitori do</w:t>
      </w:r>
      <w:r>
        <w:rPr>
          <w:rFonts w:cs="Calibri"/>
        </w:rPr>
        <w:t xml:space="preserve"> </w:t>
      </w:r>
      <w:r w:rsidRPr="00636499">
        <w:rPr>
          <w:rFonts w:cs="Calibri"/>
        </w:rPr>
        <w:t>sada susretali s dugotrajnim administrativnim procedurama d</w:t>
      </w:r>
      <w:r>
        <w:rPr>
          <w:rFonts w:cs="Calibri"/>
        </w:rPr>
        <w:t>obivanja raznih vrsta dozvola i</w:t>
      </w:r>
      <w:r w:rsidRPr="00636499">
        <w:rPr>
          <w:rFonts w:cs="Calibri"/>
        </w:rPr>
        <w:t xml:space="preserve"> ostale neophodne dokumentacije iz nadležnosti državnih institucija, svrha formiranja </w:t>
      </w:r>
      <w:r w:rsidRPr="00D05031">
        <w:rPr>
          <w:rFonts w:cs="Calibri"/>
        </w:rPr>
        <w:t>tima</w:t>
      </w:r>
      <w:r>
        <w:rPr>
          <w:rFonts w:cs="Calibri"/>
          <w:i/>
        </w:rPr>
        <w:t xml:space="preserve"> </w:t>
      </w:r>
      <w:r w:rsidRPr="00636499">
        <w:rPr>
          <w:rFonts w:cs="Calibri"/>
        </w:rPr>
        <w:t>je ola</w:t>
      </w:r>
      <w:r>
        <w:rPr>
          <w:rFonts w:cs="Calibri"/>
        </w:rPr>
        <w:t>kšati ulagačima ubrzanjem procedura</w:t>
      </w:r>
      <w:r w:rsidRPr="00636499">
        <w:rPr>
          <w:rFonts w:cs="Calibri"/>
        </w:rPr>
        <w:t xml:space="preserve"> s kojima </w:t>
      </w:r>
      <w:r>
        <w:rPr>
          <w:rFonts w:cs="Calibri"/>
        </w:rPr>
        <w:t xml:space="preserve">se oni </w:t>
      </w:r>
      <w:r w:rsidRPr="00636499">
        <w:rPr>
          <w:rFonts w:cs="Calibri"/>
        </w:rPr>
        <w:t xml:space="preserve">susreću pri realizaciji projekata. </w:t>
      </w:r>
    </w:p>
    <w:p w:rsidR="000C1520" w:rsidRPr="00636499" w:rsidRDefault="000C1520" w:rsidP="00062D1D">
      <w:pPr>
        <w:spacing w:after="0" w:line="360" w:lineRule="auto"/>
        <w:jc w:val="both"/>
        <w:rPr>
          <w:rFonts w:cs="Calibri"/>
        </w:rPr>
      </w:pPr>
    </w:p>
    <w:p w:rsidR="000C1520" w:rsidRPr="00636499" w:rsidRDefault="000C1520" w:rsidP="00062D1D">
      <w:pPr>
        <w:spacing w:after="0" w:line="360" w:lineRule="auto"/>
        <w:jc w:val="both"/>
        <w:rPr>
          <w:rFonts w:cs="Calibri"/>
        </w:rPr>
      </w:pPr>
      <w:r w:rsidRPr="00636499">
        <w:rPr>
          <w:rFonts w:cs="Calibri"/>
        </w:rPr>
        <w:t xml:space="preserve">U fazi realizacije investicijskog projekta </w:t>
      </w:r>
      <w:r>
        <w:rPr>
          <w:rFonts w:cs="Calibri"/>
        </w:rPr>
        <w:t>t</w:t>
      </w:r>
      <w:r w:rsidRPr="00636499">
        <w:rPr>
          <w:rFonts w:cs="Calibri"/>
        </w:rPr>
        <w:t>im će biti zadužen za provođenje niza aktivnosti odnosno pružanj</w:t>
      </w:r>
      <w:r>
        <w:rPr>
          <w:rFonts w:cs="Calibri"/>
        </w:rPr>
        <w:t>e</w:t>
      </w:r>
      <w:r w:rsidRPr="00636499">
        <w:rPr>
          <w:rFonts w:cs="Calibri"/>
        </w:rPr>
        <w:t xml:space="preserve"> potpore investitoru pri otvaranju tvrtke, rješavanj</w:t>
      </w:r>
      <w:r>
        <w:rPr>
          <w:rFonts w:cs="Calibri"/>
        </w:rPr>
        <w:t>e</w:t>
      </w:r>
      <w:r w:rsidRPr="00636499">
        <w:rPr>
          <w:rFonts w:cs="Calibri"/>
        </w:rPr>
        <w:t xml:space="preserve"> imovinsko-pravnih odnosa, </w:t>
      </w:r>
      <w:proofErr w:type="spellStart"/>
      <w:r w:rsidRPr="00636499">
        <w:rPr>
          <w:rFonts w:cs="Calibri"/>
        </w:rPr>
        <w:t>ishodovanj</w:t>
      </w:r>
      <w:r>
        <w:rPr>
          <w:rFonts w:cs="Calibri"/>
        </w:rPr>
        <w:t>e</w:t>
      </w:r>
      <w:proofErr w:type="spellEnd"/>
      <w:r>
        <w:rPr>
          <w:rFonts w:cs="Calibri"/>
        </w:rPr>
        <w:t xml:space="preserve"> građevinske i uporabne dozvole</w:t>
      </w:r>
      <w:r w:rsidRPr="00636499">
        <w:rPr>
          <w:rFonts w:cs="Calibri"/>
        </w:rPr>
        <w:t>, izdavanj</w:t>
      </w:r>
      <w:r>
        <w:rPr>
          <w:rFonts w:cs="Calibri"/>
        </w:rPr>
        <w:t>e</w:t>
      </w:r>
      <w:r w:rsidRPr="00636499">
        <w:rPr>
          <w:rFonts w:cs="Calibri"/>
        </w:rPr>
        <w:t xml:space="preserve"> potrebnih dozvola za rad i boravak</w:t>
      </w:r>
      <w:r>
        <w:rPr>
          <w:rFonts w:cs="Calibri"/>
        </w:rPr>
        <w:t>, te ostale usluge potrebne</w:t>
      </w:r>
      <w:r w:rsidRPr="00636499">
        <w:rPr>
          <w:rFonts w:cs="Calibri"/>
        </w:rPr>
        <w:t xml:space="preserve"> za uspješnu realizaciju investicijskog projekta. </w:t>
      </w:r>
    </w:p>
    <w:p w:rsidR="000C1520" w:rsidRPr="00636499" w:rsidRDefault="000C1520" w:rsidP="00062D1D">
      <w:pPr>
        <w:spacing w:after="0" w:line="360" w:lineRule="auto"/>
        <w:jc w:val="both"/>
        <w:rPr>
          <w:rFonts w:cs="Calibri"/>
        </w:rPr>
      </w:pPr>
    </w:p>
    <w:p w:rsidR="000C1520" w:rsidRPr="00636499" w:rsidRDefault="000C1520" w:rsidP="00062D1D">
      <w:pPr>
        <w:spacing w:after="0" w:line="360" w:lineRule="auto"/>
        <w:jc w:val="both"/>
        <w:rPr>
          <w:rFonts w:cs="Calibri"/>
        </w:rPr>
      </w:pPr>
      <w:r w:rsidRPr="00636499">
        <w:rPr>
          <w:rFonts w:cs="Calibri"/>
        </w:rPr>
        <w:t xml:space="preserve">Formiranje </w:t>
      </w:r>
      <w:r w:rsidRPr="00D05031">
        <w:rPr>
          <w:rFonts w:cs="Calibri"/>
        </w:rPr>
        <w:t>tima</w:t>
      </w:r>
      <w:r w:rsidRPr="00636499">
        <w:rPr>
          <w:rFonts w:cs="Calibri"/>
          <w:i/>
        </w:rPr>
        <w:t xml:space="preserve"> </w:t>
      </w:r>
      <w:r w:rsidRPr="00636499">
        <w:rPr>
          <w:rFonts w:cs="Calibri"/>
        </w:rPr>
        <w:t>za investicijski projekt od izuzetnog je značaja za uspješnu realizaciju investicijskih projekata zbog pružanja potpune, brze i učinkovite usluge investitorima. Značaj takvog pristupa naglašava i činjenica da nadležne institucije za provedbu investicijskih projekata (AIK i HAMAG</w:t>
      </w:r>
      <w:r>
        <w:rPr>
          <w:rFonts w:cs="Calibri"/>
        </w:rPr>
        <w:t xml:space="preserve"> </w:t>
      </w:r>
      <w:proofErr w:type="spellStart"/>
      <w:r w:rsidRPr="00636499">
        <w:rPr>
          <w:rFonts w:cs="Calibri"/>
        </w:rPr>
        <w:t>Inv</w:t>
      </w:r>
      <w:r>
        <w:rPr>
          <w:rFonts w:cs="Calibri"/>
        </w:rPr>
        <w:t>est</w:t>
      </w:r>
      <w:proofErr w:type="spellEnd"/>
      <w:r>
        <w:rPr>
          <w:rFonts w:cs="Calibri"/>
        </w:rPr>
        <w:t xml:space="preserve">) djeluju u Zagrebu, dok se </w:t>
      </w:r>
      <w:r w:rsidRPr="00636499">
        <w:rPr>
          <w:rFonts w:cs="Calibri"/>
        </w:rPr>
        <w:t xml:space="preserve">projekti realiziraju diljem </w:t>
      </w:r>
      <w:r>
        <w:rPr>
          <w:rFonts w:cs="Calibri"/>
        </w:rPr>
        <w:t xml:space="preserve">RH, a u svrhu </w:t>
      </w:r>
      <w:r w:rsidRPr="00636499">
        <w:rPr>
          <w:rFonts w:cs="Calibri"/>
        </w:rPr>
        <w:t xml:space="preserve">kvalitetnije operativne realizacije projekata jako </w:t>
      </w:r>
      <w:r>
        <w:rPr>
          <w:rFonts w:cs="Calibri"/>
        </w:rPr>
        <w:t xml:space="preserve">je </w:t>
      </w:r>
      <w:r w:rsidRPr="00636499">
        <w:rPr>
          <w:rFonts w:cs="Calibri"/>
        </w:rPr>
        <w:t>važno raditi usuglašeno i koordinirano.</w:t>
      </w:r>
    </w:p>
    <w:p w:rsidR="000C1520" w:rsidRPr="00636499" w:rsidRDefault="000C1520" w:rsidP="00062D1D">
      <w:pPr>
        <w:spacing w:after="0" w:line="360" w:lineRule="auto"/>
        <w:ind w:right="480"/>
        <w:jc w:val="both"/>
        <w:rPr>
          <w:rFonts w:eastAsia="MS Mincho" w:cs="Calibri"/>
          <w:b/>
          <w:lang w:eastAsia="ja-JP"/>
        </w:rPr>
      </w:pPr>
    </w:p>
    <w:p w:rsidR="000C1520" w:rsidRPr="00093249" w:rsidRDefault="000C1520" w:rsidP="00D74ECD">
      <w:pPr>
        <w:pStyle w:val="Heading3"/>
      </w:pPr>
      <w:bookmarkStart w:id="62" w:name="_Toc351127623"/>
      <w:bookmarkStart w:id="63" w:name="_Toc373137879"/>
      <w:r w:rsidRPr="00093249">
        <w:rPr>
          <w:rStyle w:val="Heading3Char"/>
          <w:b/>
          <w:bCs/>
        </w:rPr>
        <w:t>3.4.2 PRAĆENJE INVESTICIJA I POST-INVESTICIJSKA BRIG</w:t>
      </w:r>
      <w:bookmarkEnd w:id="62"/>
      <w:r w:rsidRPr="00093249">
        <w:rPr>
          <w:rStyle w:val="Heading3Char"/>
          <w:b/>
          <w:bCs/>
        </w:rPr>
        <w:t>A</w:t>
      </w:r>
      <w:bookmarkEnd w:id="63"/>
      <w:r w:rsidRPr="00093249">
        <w:t xml:space="preserve"> </w:t>
      </w:r>
    </w:p>
    <w:p w:rsidR="000C1520" w:rsidRPr="00636499" w:rsidRDefault="000C1520" w:rsidP="00062D1D">
      <w:pPr>
        <w:spacing w:after="0" w:line="360" w:lineRule="auto"/>
        <w:ind w:right="480"/>
        <w:jc w:val="both"/>
        <w:rPr>
          <w:rFonts w:eastAsia="MS Mincho" w:cs="Calibri"/>
          <w:b/>
          <w:lang w:eastAsia="ja-JP"/>
        </w:rPr>
      </w:pPr>
    </w:p>
    <w:p w:rsidR="000C1520" w:rsidRDefault="000C1520" w:rsidP="00062D1D">
      <w:pPr>
        <w:autoSpaceDE w:val="0"/>
        <w:autoSpaceDN w:val="0"/>
        <w:adjustRightInd w:val="0"/>
        <w:spacing w:after="0" w:line="360" w:lineRule="auto"/>
        <w:jc w:val="both"/>
        <w:rPr>
          <w:rFonts w:cs="Calibri"/>
        </w:rPr>
      </w:pPr>
      <w:r w:rsidRPr="00636499">
        <w:rPr>
          <w:rFonts w:cs="Calibri"/>
        </w:rPr>
        <w:t>Praće</w:t>
      </w:r>
      <w:r>
        <w:rPr>
          <w:rFonts w:cs="Calibri"/>
        </w:rPr>
        <w:t>nje investicija i post-investicijska briga izdvojene su</w:t>
      </w:r>
      <w:r w:rsidRPr="00636499">
        <w:rPr>
          <w:rFonts w:cs="Calibri"/>
        </w:rPr>
        <w:t xml:space="preserve"> kao p</w:t>
      </w:r>
      <w:r>
        <w:rPr>
          <w:rFonts w:cs="Calibri"/>
        </w:rPr>
        <w:t>osebne</w:t>
      </w:r>
      <w:r w:rsidRPr="00636499">
        <w:rPr>
          <w:rFonts w:cs="Calibri"/>
        </w:rPr>
        <w:t xml:space="preserve"> aktivnost</w:t>
      </w:r>
      <w:r>
        <w:rPr>
          <w:rFonts w:cs="Calibri"/>
        </w:rPr>
        <w:t xml:space="preserve">i budući da je </w:t>
      </w:r>
      <w:r w:rsidRPr="00636499">
        <w:rPr>
          <w:rFonts w:cs="Calibri"/>
        </w:rPr>
        <w:t>investicijski potencijal postojećih tvrtki daleko veći od onog potencijalnog investitora. Primjerice, u razvijenim zemljama 70% ukupnih investicija odnosi se na postojeću bazu investitora u zemlji, a najveći broj strateških projekata upravo je nastao kao posljedica širenja postojećih tvrtki. Također, troškovi provođenja aktivnosti u okviru post-investicijske brige značajno su niži od onih u ciljanom privlačenju investitora.</w:t>
      </w:r>
    </w:p>
    <w:p w:rsidR="000C1520" w:rsidRDefault="000C1520" w:rsidP="00062D1D">
      <w:pPr>
        <w:autoSpaceDE w:val="0"/>
        <w:autoSpaceDN w:val="0"/>
        <w:adjustRightInd w:val="0"/>
        <w:spacing w:after="0" w:line="360" w:lineRule="auto"/>
        <w:jc w:val="both"/>
        <w:rPr>
          <w:rFonts w:cs="Calibri"/>
        </w:rPr>
      </w:pPr>
    </w:p>
    <w:p w:rsidR="000C1520" w:rsidRPr="000D25B3" w:rsidRDefault="000C1520" w:rsidP="000D25B3">
      <w:pPr>
        <w:tabs>
          <w:tab w:val="left" w:pos="9072"/>
        </w:tabs>
        <w:spacing w:after="0" w:line="360" w:lineRule="auto"/>
        <w:jc w:val="both"/>
        <w:rPr>
          <w:rFonts w:eastAsia="MS Mincho" w:cs="Calibri"/>
          <w:lang w:eastAsia="ja-JP"/>
        </w:rPr>
      </w:pPr>
      <w:r w:rsidRPr="00636499">
        <w:rPr>
          <w:rFonts w:eastAsia="MS Mincho" w:cs="Calibri"/>
          <w:lang w:eastAsia="ja-JP"/>
        </w:rPr>
        <w:lastRenderedPageBreak/>
        <w:t>Zahtjevi praćenja investicija i post-investicijs</w:t>
      </w:r>
      <w:r>
        <w:rPr>
          <w:rFonts w:eastAsia="MS Mincho" w:cs="Calibri"/>
          <w:lang w:eastAsia="ja-JP"/>
        </w:rPr>
        <w:t>ka briga uključuju</w:t>
      </w:r>
      <w:r w:rsidRPr="00636499">
        <w:rPr>
          <w:rFonts w:eastAsia="MS Mincho" w:cs="Calibri"/>
          <w:lang w:eastAsia="ja-JP"/>
        </w:rPr>
        <w:t xml:space="preserve"> sveobuhvatan niz aktivnosti od analiz</w:t>
      </w:r>
      <w:r>
        <w:rPr>
          <w:rFonts w:eastAsia="MS Mincho" w:cs="Calibri"/>
          <w:lang w:eastAsia="ja-JP"/>
        </w:rPr>
        <w:t>e</w:t>
      </w:r>
      <w:r w:rsidRPr="00636499">
        <w:rPr>
          <w:rFonts w:eastAsia="MS Mincho" w:cs="Calibri"/>
          <w:lang w:eastAsia="ja-JP"/>
        </w:rPr>
        <w:t xml:space="preserve"> tržišta do segmentirane strategije </w:t>
      </w:r>
      <w:proofErr w:type="spellStart"/>
      <w:r w:rsidRPr="00636499">
        <w:rPr>
          <w:rFonts w:eastAsia="MS Mincho" w:cs="Calibri"/>
          <w:lang w:eastAsia="ja-JP"/>
        </w:rPr>
        <w:t>targetiranja</w:t>
      </w:r>
      <w:proofErr w:type="spellEnd"/>
      <w:r w:rsidRPr="00636499">
        <w:rPr>
          <w:rFonts w:eastAsia="MS Mincho" w:cs="Calibri"/>
          <w:lang w:eastAsia="ja-JP"/>
        </w:rPr>
        <w:t xml:space="preserve">. Učinkovito provođenje navedenih aktivnosti zahtijeva  partnerski pristup temeljen na suradnji svih javnih tijela, ali i privatnog sektora. </w:t>
      </w:r>
      <w:r w:rsidRPr="00636499">
        <w:rPr>
          <w:rFonts w:cs="Calibri"/>
        </w:rPr>
        <w:t>Post-investicijska briga prvenstveno uključuje podršku stranim tvrtkama p</w:t>
      </w:r>
      <w:r>
        <w:rPr>
          <w:rFonts w:cs="Calibri"/>
        </w:rPr>
        <w:t>risutnima u Republici Hrvatskoj</w:t>
      </w:r>
      <w:r w:rsidRPr="00636499">
        <w:rPr>
          <w:rFonts w:cs="Calibri"/>
        </w:rPr>
        <w:t xml:space="preserve"> koje ž</w:t>
      </w:r>
      <w:r>
        <w:rPr>
          <w:rFonts w:cs="Calibri"/>
        </w:rPr>
        <w:t>ele širiti svoje poslovanje, ali</w:t>
      </w:r>
      <w:r w:rsidRPr="00636499">
        <w:rPr>
          <w:rFonts w:cs="Calibri"/>
        </w:rPr>
        <w:t xml:space="preserve"> i podršku domaćim tvrtkama u jačanju aktivnosti na domaćem tržištu. Post-investicijskom brigom bit će obuhvaćene i uspješne nove tvrtke (</w:t>
      </w:r>
      <w:proofErr w:type="spellStart"/>
      <w:r>
        <w:rPr>
          <w:rFonts w:cs="Calibri"/>
        </w:rPr>
        <w:t>eng</w:t>
      </w:r>
      <w:proofErr w:type="spellEnd"/>
      <w:r>
        <w:rPr>
          <w:rFonts w:cs="Calibri"/>
        </w:rPr>
        <w:t xml:space="preserve">. </w:t>
      </w:r>
      <w:r w:rsidRPr="00636499">
        <w:rPr>
          <w:rFonts w:cs="Calibri"/>
        </w:rPr>
        <w:t>start-up</w:t>
      </w:r>
      <w:r>
        <w:rPr>
          <w:rFonts w:cs="Calibri"/>
        </w:rPr>
        <w:t>s</w:t>
      </w:r>
      <w:r w:rsidRPr="00636499">
        <w:rPr>
          <w:rFonts w:cs="Calibri"/>
        </w:rPr>
        <w:t>) kako bi im se osigurala održivost investicije, a</w:t>
      </w:r>
      <w:r>
        <w:rPr>
          <w:rFonts w:cs="Calibri"/>
        </w:rPr>
        <w:t xml:space="preserve">li i omogućio rast poslovanja. </w:t>
      </w:r>
      <w:r w:rsidRPr="00636499">
        <w:rPr>
          <w:rFonts w:cs="Calibri"/>
        </w:rPr>
        <w:t xml:space="preserve">Vođenje baze </w:t>
      </w:r>
      <w:r>
        <w:rPr>
          <w:rFonts w:cs="Calibri"/>
        </w:rPr>
        <w:t>investicijskih projekata i popisa</w:t>
      </w:r>
      <w:r w:rsidRPr="00636499">
        <w:rPr>
          <w:rFonts w:cs="Calibri"/>
        </w:rPr>
        <w:t xml:space="preserve"> postojećih tvrtki u Republici Hrvatsk</w:t>
      </w:r>
      <w:r>
        <w:rPr>
          <w:rFonts w:cs="Calibri"/>
        </w:rPr>
        <w:t>oj ključno je za utvrđivanje</w:t>
      </w:r>
      <w:r w:rsidRPr="00636499">
        <w:rPr>
          <w:rFonts w:cs="Calibri"/>
        </w:rPr>
        <w:t xml:space="preserve"> potencijalnih novih investitora. </w:t>
      </w:r>
    </w:p>
    <w:p w:rsidR="000C1520" w:rsidRDefault="000C1520" w:rsidP="00062D1D">
      <w:pPr>
        <w:spacing w:after="0" w:line="360" w:lineRule="auto"/>
        <w:jc w:val="both"/>
        <w:rPr>
          <w:rFonts w:eastAsia="MS Mincho" w:cs="Calibri"/>
          <w:lang w:eastAsia="ja-JP"/>
        </w:rPr>
      </w:pPr>
      <w:r w:rsidRPr="00636499">
        <w:rPr>
          <w:rFonts w:eastAsia="MS Mincho" w:cs="Calibri"/>
          <w:lang w:eastAsia="ja-JP"/>
        </w:rPr>
        <w:t>Praćenje investicija i post-investicijska briga u</w:t>
      </w:r>
      <w:r>
        <w:rPr>
          <w:rFonts w:eastAsia="MS Mincho" w:cs="Calibri"/>
          <w:lang w:eastAsia="ja-JP"/>
        </w:rPr>
        <w:t>smjerit će se na definiranje</w:t>
      </w:r>
      <w:r w:rsidRPr="00636499">
        <w:rPr>
          <w:rFonts w:eastAsia="MS Mincho" w:cs="Calibri"/>
          <w:lang w:eastAsia="ja-JP"/>
        </w:rPr>
        <w:t xml:space="preserve"> tvrtki u Republici Hrvatskoj koj</w:t>
      </w:r>
      <w:r>
        <w:rPr>
          <w:rFonts w:eastAsia="MS Mincho" w:cs="Calibri"/>
          <w:lang w:eastAsia="ja-JP"/>
        </w:rPr>
        <w:t xml:space="preserve">e žele širiti svoje poslovanje i na </w:t>
      </w:r>
      <w:r w:rsidRPr="00636499">
        <w:rPr>
          <w:rFonts w:eastAsia="MS Mincho" w:cs="Calibri"/>
          <w:lang w:eastAsia="ja-JP"/>
        </w:rPr>
        <w:t xml:space="preserve">izradu pristupa </w:t>
      </w:r>
      <w:r>
        <w:rPr>
          <w:rFonts w:eastAsia="MS Mincho" w:cs="Calibri"/>
          <w:lang w:eastAsia="ja-JP"/>
        </w:rPr>
        <w:t xml:space="preserve">prema </w:t>
      </w:r>
      <w:r w:rsidRPr="00636499">
        <w:rPr>
          <w:rFonts w:eastAsia="MS Mincho" w:cs="Calibri"/>
          <w:lang w:eastAsia="ja-JP"/>
        </w:rPr>
        <w:t>tim tvrtkama koji će uključ</w:t>
      </w:r>
      <w:r>
        <w:rPr>
          <w:rFonts w:eastAsia="MS Mincho" w:cs="Calibri"/>
          <w:lang w:eastAsia="ja-JP"/>
        </w:rPr>
        <w:t>ivati: dodjelu voditelja projekta</w:t>
      </w:r>
      <w:r w:rsidRPr="00636499">
        <w:rPr>
          <w:rFonts w:eastAsia="MS Mincho" w:cs="Calibri"/>
          <w:lang w:eastAsia="ja-JP"/>
        </w:rPr>
        <w:t xml:space="preserve"> za svaku tvrtku, održavanje redovitih kon</w:t>
      </w:r>
      <w:r>
        <w:rPr>
          <w:rFonts w:eastAsia="MS Mincho" w:cs="Calibri"/>
          <w:lang w:eastAsia="ja-JP"/>
        </w:rPr>
        <w:t>takata s upravom tvrtke, pružanje podrške pri</w:t>
      </w:r>
      <w:r w:rsidRPr="00636499">
        <w:rPr>
          <w:rFonts w:eastAsia="MS Mincho" w:cs="Calibri"/>
          <w:lang w:eastAsia="ja-JP"/>
        </w:rPr>
        <w:t xml:space="preserve"> mirnom rješavanju investicijskih sporova, pružanje svih potrebnih informacija, izradu i prezentaciju poslovnog slučaja za moguće širenje te povezivanje uprave tvrtke s javnim tijelima.  </w:t>
      </w:r>
    </w:p>
    <w:p w:rsidR="000C1520" w:rsidRPr="00FE2257" w:rsidRDefault="000C1520" w:rsidP="00FE2257">
      <w:pPr>
        <w:rPr>
          <w:lang w:val="lt-LT" w:eastAsia="lt-LT"/>
        </w:rPr>
      </w:pPr>
      <w:bookmarkStart w:id="64" w:name="_Toc348951840"/>
      <w:bookmarkStart w:id="65" w:name="_Toc351127624"/>
    </w:p>
    <w:p w:rsidR="000C1520" w:rsidRPr="00636499" w:rsidRDefault="000C1520" w:rsidP="00AF566A">
      <w:pPr>
        <w:pStyle w:val="Heading1"/>
        <w:rPr>
          <w:rFonts w:cs="Calibri"/>
        </w:rPr>
      </w:pPr>
      <w:bookmarkStart w:id="66" w:name="_Toc373137880"/>
      <w:r>
        <w:rPr>
          <w:rFonts w:cs="Calibri"/>
        </w:rPr>
        <w:t>4</w:t>
      </w:r>
      <w:r w:rsidRPr="00636499">
        <w:rPr>
          <w:rFonts w:cs="Calibri"/>
        </w:rPr>
        <w:t xml:space="preserve">.  </w:t>
      </w:r>
      <w:r w:rsidRPr="00636499">
        <w:t>FINANCIJSKI OKVIR ZA PROVEDBU STRATEGIJE</w:t>
      </w:r>
      <w:bookmarkEnd w:id="64"/>
      <w:bookmarkEnd w:id="65"/>
      <w:bookmarkEnd w:id="66"/>
    </w:p>
    <w:p w:rsidR="000C1520" w:rsidRPr="00636499" w:rsidRDefault="000C1520" w:rsidP="00062D1D">
      <w:pPr>
        <w:autoSpaceDE w:val="0"/>
        <w:autoSpaceDN w:val="0"/>
        <w:adjustRightInd w:val="0"/>
        <w:spacing w:after="0" w:line="360" w:lineRule="auto"/>
        <w:rPr>
          <w:rFonts w:cs="Calibri"/>
          <w:b/>
        </w:rPr>
      </w:pPr>
    </w:p>
    <w:p w:rsidR="000C1520" w:rsidRPr="00636499" w:rsidRDefault="000C1520" w:rsidP="00062D1D">
      <w:pPr>
        <w:autoSpaceDE w:val="0"/>
        <w:autoSpaceDN w:val="0"/>
        <w:adjustRightInd w:val="0"/>
        <w:spacing w:after="0" w:line="360" w:lineRule="auto"/>
        <w:jc w:val="both"/>
        <w:rPr>
          <w:rFonts w:eastAsia="TTE22ACBD0t00" w:cs="Calibri"/>
          <w:color w:val="000000"/>
        </w:rPr>
      </w:pPr>
      <w:r w:rsidRPr="00636499">
        <w:rPr>
          <w:rFonts w:eastAsia="TTE22ACBD0t00" w:cs="Calibri"/>
          <w:color w:val="000000"/>
        </w:rPr>
        <w:t>Kad</w:t>
      </w:r>
      <w:r>
        <w:rPr>
          <w:rFonts w:eastAsia="TTE22ACBD0t00" w:cs="Calibri"/>
          <w:color w:val="000000"/>
        </w:rPr>
        <w:t>a</w:t>
      </w:r>
      <w:r w:rsidRPr="00636499">
        <w:rPr>
          <w:rFonts w:eastAsia="TTE22ACBD0t00" w:cs="Calibri"/>
          <w:color w:val="000000"/>
        </w:rPr>
        <w:t xml:space="preserve"> se govori o provedbi aktivnosti u okviru prioritetnih područja Strategije poticanja investicija</w:t>
      </w:r>
      <w:r>
        <w:rPr>
          <w:rFonts w:eastAsia="TTE22ACBD0t00" w:cs="Calibri"/>
          <w:color w:val="000000"/>
        </w:rPr>
        <w:t>,</w:t>
      </w:r>
      <w:r w:rsidRPr="00636499">
        <w:rPr>
          <w:rFonts w:eastAsia="TTE22ACBD0t00" w:cs="Calibri"/>
          <w:color w:val="000000"/>
        </w:rPr>
        <w:t xml:space="preserve">  nužno je definirati i osnovne izvore financiranja. B</w:t>
      </w:r>
      <w:r>
        <w:rPr>
          <w:rFonts w:eastAsia="TTE22ACBD0t00" w:cs="Calibri"/>
          <w:color w:val="000000"/>
        </w:rPr>
        <w:t>udući da su investicije, domaće i strane, definirane</w:t>
      </w:r>
      <w:r w:rsidRPr="00636499">
        <w:rPr>
          <w:rFonts w:eastAsia="TTE22ACBD0t00" w:cs="Calibri"/>
          <w:color w:val="000000"/>
        </w:rPr>
        <w:t xml:space="preserve"> kao ključan čimbenik ekonomskog rasta, cilj je da se unutar instituc</w:t>
      </w:r>
      <w:r>
        <w:rPr>
          <w:rFonts w:eastAsia="TTE22ACBD0t00" w:cs="Calibri"/>
          <w:color w:val="000000"/>
        </w:rPr>
        <w:t>ionalnog okvira razrađenim više</w:t>
      </w:r>
      <w:r w:rsidRPr="00636499">
        <w:rPr>
          <w:rFonts w:eastAsia="TTE22ACBD0t00" w:cs="Calibri"/>
          <w:color w:val="000000"/>
        </w:rPr>
        <w:t>disciplinarnim mjerama stvori u Republici Hrvatskoj poticajno okruženje za investitore te podigne investicijski potencijal Hrvatske na višu razinu. S obzirom da je Strate</w:t>
      </w:r>
      <w:r>
        <w:rPr>
          <w:rFonts w:eastAsia="TTE22ACBD0t00" w:cs="Calibri"/>
          <w:color w:val="000000"/>
        </w:rPr>
        <w:t>gija poticanja investicija više</w:t>
      </w:r>
      <w:r w:rsidRPr="00636499">
        <w:rPr>
          <w:rFonts w:eastAsia="TTE22ACBD0t00" w:cs="Calibri"/>
          <w:color w:val="000000"/>
        </w:rPr>
        <w:t>-sektorska (u nje</w:t>
      </w:r>
      <w:r>
        <w:rPr>
          <w:rFonts w:eastAsia="TTE22ACBD0t00" w:cs="Calibri"/>
          <w:color w:val="000000"/>
        </w:rPr>
        <w:t>zi</w:t>
      </w:r>
      <w:r w:rsidRPr="00636499">
        <w:rPr>
          <w:rFonts w:eastAsia="TTE22ACBD0t00" w:cs="Calibri"/>
          <w:color w:val="000000"/>
        </w:rPr>
        <w:t xml:space="preserve">nu </w:t>
      </w:r>
      <w:r>
        <w:rPr>
          <w:rFonts w:eastAsia="TTE22ACBD0t00" w:cs="Calibri"/>
          <w:color w:val="000000"/>
        </w:rPr>
        <w:t xml:space="preserve">se realizaciju trebaju </w:t>
      </w:r>
      <w:r w:rsidRPr="00636499">
        <w:rPr>
          <w:rFonts w:eastAsia="TTE22ACBD0t00" w:cs="Calibri"/>
          <w:color w:val="000000"/>
        </w:rPr>
        <w:t>uključiti resorna tijela državne uprave, relevantne nacionalne i regionalne agencije, partnerske institucije, područna (regionalna) i lokalna samouprava)</w:t>
      </w:r>
      <w:r>
        <w:rPr>
          <w:rFonts w:eastAsia="TTE22ACBD0t00" w:cs="Calibri"/>
          <w:color w:val="000000"/>
        </w:rPr>
        <w:t>,</w:t>
      </w:r>
      <w:r w:rsidRPr="00636499">
        <w:rPr>
          <w:rFonts w:eastAsia="TTE22ACBD0t00" w:cs="Calibri"/>
          <w:color w:val="000000"/>
        </w:rPr>
        <w:t xml:space="preserve"> temeljni izvor financiranja provedbe S</w:t>
      </w:r>
      <w:r>
        <w:rPr>
          <w:rFonts w:eastAsia="TTE22ACBD0t00" w:cs="Calibri"/>
          <w:color w:val="000000"/>
        </w:rPr>
        <w:t xml:space="preserve">trategije </w:t>
      </w:r>
      <w:r w:rsidRPr="00636499">
        <w:rPr>
          <w:rFonts w:eastAsia="TTE22ACBD0t00" w:cs="Calibri"/>
          <w:color w:val="000000"/>
        </w:rPr>
        <w:t xml:space="preserve">bit će proračun resornih tijela državne uprave i pripadajućih agencija, županijski i lokalni proračuni, proračuni partnerskih institucija, </w:t>
      </w:r>
      <w:r w:rsidR="00E15764">
        <w:rPr>
          <w:rFonts w:eastAsia="TTE22ACBD0t00" w:cs="Calibri"/>
          <w:color w:val="000000"/>
        </w:rPr>
        <w:t xml:space="preserve">te </w:t>
      </w:r>
      <w:r w:rsidRPr="00636499">
        <w:rPr>
          <w:rFonts w:eastAsia="TTE22ACBD0t00" w:cs="Calibri"/>
          <w:color w:val="000000"/>
        </w:rPr>
        <w:t>fondovi E</w:t>
      </w:r>
      <w:r>
        <w:rPr>
          <w:rFonts w:eastAsia="TTE22ACBD0t00" w:cs="Calibri"/>
          <w:color w:val="000000"/>
        </w:rPr>
        <w:t>uropske u</w:t>
      </w:r>
      <w:r w:rsidRPr="00636499">
        <w:rPr>
          <w:rFonts w:eastAsia="TTE22ACBD0t00" w:cs="Calibri"/>
          <w:color w:val="000000"/>
        </w:rPr>
        <w:t xml:space="preserve">nije. </w:t>
      </w:r>
    </w:p>
    <w:p w:rsidR="000C1520" w:rsidRPr="00636499" w:rsidRDefault="000C1520" w:rsidP="00062D1D">
      <w:pPr>
        <w:autoSpaceDE w:val="0"/>
        <w:autoSpaceDN w:val="0"/>
        <w:adjustRightInd w:val="0"/>
        <w:spacing w:after="0" w:line="360" w:lineRule="auto"/>
        <w:jc w:val="both"/>
        <w:rPr>
          <w:rFonts w:eastAsia="TTE22ACBD0t00" w:cs="Calibri"/>
          <w:color w:val="000000"/>
        </w:rPr>
      </w:pPr>
    </w:p>
    <w:p w:rsidR="000C1520" w:rsidRPr="005F07EA" w:rsidRDefault="000C1520" w:rsidP="00062D1D">
      <w:pPr>
        <w:autoSpaceDE w:val="0"/>
        <w:autoSpaceDN w:val="0"/>
        <w:adjustRightInd w:val="0"/>
        <w:spacing w:after="0" w:line="360" w:lineRule="auto"/>
        <w:jc w:val="both"/>
        <w:rPr>
          <w:rFonts w:eastAsia="TTE22ACBD0t00" w:cs="Calibri"/>
        </w:rPr>
      </w:pPr>
      <w:r w:rsidRPr="005F07EA">
        <w:rPr>
          <w:rFonts w:eastAsia="TTE22ACBD0t00" w:cs="Calibri"/>
        </w:rPr>
        <w:t>Ulaskom u Europsku uniju Hrvatsk</w:t>
      </w:r>
      <w:r w:rsidR="00E15764" w:rsidRPr="005F07EA">
        <w:rPr>
          <w:rFonts w:eastAsia="TTE22ACBD0t00" w:cs="Calibri"/>
        </w:rPr>
        <w:t xml:space="preserve">a ima na raspolaganju </w:t>
      </w:r>
      <w:r w:rsidRPr="005F07EA">
        <w:rPr>
          <w:rFonts w:eastAsia="TTE22ACBD0t00" w:cs="Calibri"/>
        </w:rPr>
        <w:t xml:space="preserve">korištenje strukturnih instrumenata Kohezijske politike EU-a. Određene aktivnosti unutar prioritetnih područja Strategije poticanja investicija moguće je </w:t>
      </w:r>
      <w:r w:rsidR="00E15764" w:rsidRPr="005F07EA">
        <w:rPr>
          <w:rFonts w:eastAsia="TTE22ACBD0t00" w:cs="Calibri"/>
        </w:rPr>
        <w:t>su</w:t>
      </w:r>
      <w:r w:rsidRPr="005F07EA">
        <w:rPr>
          <w:rFonts w:eastAsia="TTE22ACBD0t00" w:cs="Calibri"/>
        </w:rPr>
        <w:t xml:space="preserve">financirati </w:t>
      </w:r>
      <w:r w:rsidR="00E15764" w:rsidRPr="005F07EA">
        <w:rPr>
          <w:rFonts w:eastAsia="TTE22ACBD0t00" w:cs="Calibri"/>
        </w:rPr>
        <w:t>i financirati iz fondova i programa Europske unije</w:t>
      </w:r>
      <w:r w:rsidRPr="005F07EA">
        <w:rPr>
          <w:rFonts w:eastAsia="TTE22ACBD0t00" w:cs="Calibri"/>
        </w:rPr>
        <w:t xml:space="preserve"> </w:t>
      </w:r>
      <w:r w:rsidR="00E15764" w:rsidRPr="005F07EA">
        <w:rPr>
          <w:rFonts w:eastAsia="TTE22ACBD0t00" w:cs="Calibri"/>
        </w:rPr>
        <w:t>(</w:t>
      </w:r>
      <w:r w:rsidRPr="005F07EA">
        <w:rPr>
          <w:rFonts w:eastAsia="TTE22ACBD0t00" w:cs="Calibri"/>
        </w:rPr>
        <w:t>strukturni instrumenti Kohezijske politike EU-a, Europski poljoprivredni fond za ruralni razvoj i Europski fond za pomorstvo i ribarstvo</w:t>
      </w:r>
      <w:r w:rsidR="00E15764" w:rsidRPr="005F07EA">
        <w:rPr>
          <w:rFonts w:eastAsia="TTE22ACBD0t00" w:cs="Calibri"/>
        </w:rPr>
        <w:t>)</w:t>
      </w:r>
      <w:r w:rsidRPr="005F07EA">
        <w:rPr>
          <w:rFonts w:eastAsia="TTE22ACBD0t00" w:cs="Calibri"/>
        </w:rPr>
        <w:t xml:space="preserve">. Pri korištenju fondova Europske unije bit će potrebno voditi brigu o pravilima </w:t>
      </w:r>
      <w:r w:rsidRPr="005F07EA">
        <w:rPr>
          <w:rFonts w:eastAsia="TTE22ACBD0t00" w:cs="Calibri"/>
        </w:rPr>
        <w:lastRenderedPageBreak/>
        <w:t>vezanima uz zaštitu tržišnog natjecanja (usklađenost  dodjele bespovratnih sredstava s horizontalnim potporama EU-a - Regionalne potpore i Potpore za istraživanje, razvoj i inovacije).</w:t>
      </w:r>
    </w:p>
    <w:p w:rsidR="000C1520" w:rsidRPr="005F07EA" w:rsidRDefault="000C1520" w:rsidP="00062D1D">
      <w:pPr>
        <w:autoSpaceDE w:val="0"/>
        <w:autoSpaceDN w:val="0"/>
        <w:adjustRightInd w:val="0"/>
        <w:spacing w:after="0" w:line="360" w:lineRule="auto"/>
        <w:jc w:val="both"/>
        <w:rPr>
          <w:rFonts w:eastAsia="TTE22ACBD0t00" w:cs="Calibri"/>
        </w:rPr>
      </w:pPr>
    </w:p>
    <w:p w:rsidR="000C1520" w:rsidRPr="005F07EA" w:rsidRDefault="000C1520" w:rsidP="009D7CBD">
      <w:pPr>
        <w:autoSpaceDE w:val="0"/>
        <w:autoSpaceDN w:val="0"/>
        <w:adjustRightInd w:val="0"/>
        <w:spacing w:after="0" w:line="360" w:lineRule="auto"/>
        <w:jc w:val="both"/>
        <w:rPr>
          <w:rFonts w:eastAsia="TTE22ACBD0t00" w:cs="Calibri"/>
        </w:rPr>
      </w:pPr>
      <w:r w:rsidRPr="005F07EA">
        <w:rPr>
          <w:rFonts w:eastAsia="TTE22ACBD0t00" w:cs="Calibri"/>
        </w:rPr>
        <w:t xml:space="preserve">Također postoji i niz drugih izvora financiranja kao što su programi Zajednice </w:t>
      </w:r>
      <w:r w:rsidR="00E15764" w:rsidRPr="005F07EA">
        <w:rPr>
          <w:rFonts w:eastAsia="TTE22ACBD0t00" w:cs="Calibri"/>
        </w:rPr>
        <w:t xml:space="preserve">koji su </w:t>
      </w:r>
      <w:r w:rsidRPr="005F07EA">
        <w:rPr>
          <w:rFonts w:eastAsia="TTE22ACBD0t00" w:cs="Calibri"/>
        </w:rPr>
        <w:t>Republici Hrvatskoj dostupni, a</w:t>
      </w:r>
      <w:r w:rsidR="00E15764" w:rsidRPr="005F07EA">
        <w:rPr>
          <w:rFonts w:eastAsia="TTE22ACBD0t00" w:cs="Calibri"/>
        </w:rPr>
        <w:t xml:space="preserve"> koji će</w:t>
      </w:r>
      <w:r w:rsidRPr="005F07EA">
        <w:rPr>
          <w:rFonts w:eastAsia="TTE22ACBD0t00" w:cs="Calibri"/>
        </w:rPr>
        <w:t xml:space="preserve"> </w:t>
      </w:r>
      <w:r w:rsidR="00E15764" w:rsidRPr="005F07EA">
        <w:rPr>
          <w:rFonts w:eastAsia="TTE22ACBD0t00" w:cs="Calibri"/>
        </w:rPr>
        <w:t>također</w:t>
      </w:r>
      <w:r w:rsidRPr="005F07EA">
        <w:rPr>
          <w:rFonts w:eastAsia="TTE22ACBD0t00" w:cs="Calibri"/>
        </w:rPr>
        <w:t xml:space="preserve"> pomoći u realizaciji prioritetnih područja i pripadajućih mjera kako bi se stvorili uvjeti za povećani priljev investicija.</w:t>
      </w:r>
      <w:bookmarkStart w:id="67" w:name="_Toc348951841"/>
      <w:bookmarkStart w:id="68" w:name="_Toc351127625"/>
    </w:p>
    <w:p w:rsidR="000C1520" w:rsidRPr="005F07EA" w:rsidRDefault="000C1520" w:rsidP="00FE2257">
      <w:pPr>
        <w:rPr>
          <w:lang w:val="lt-LT" w:eastAsia="lt-LT"/>
        </w:rPr>
      </w:pPr>
    </w:p>
    <w:p w:rsidR="000C1520" w:rsidRPr="00AF566A" w:rsidRDefault="000C1520" w:rsidP="00AF566A">
      <w:pPr>
        <w:pStyle w:val="Heading1"/>
      </w:pPr>
      <w:bookmarkStart w:id="69" w:name="_Toc373137881"/>
      <w:r w:rsidRPr="00AF566A">
        <w:t>5. PRAĆENJE I VREDNOVANJE STRATEGIJE</w:t>
      </w:r>
      <w:bookmarkEnd w:id="67"/>
      <w:bookmarkEnd w:id="68"/>
      <w:bookmarkEnd w:id="69"/>
    </w:p>
    <w:p w:rsidR="000C1520" w:rsidRPr="00636499" w:rsidRDefault="000C1520" w:rsidP="00062D1D">
      <w:pPr>
        <w:autoSpaceDE w:val="0"/>
        <w:autoSpaceDN w:val="0"/>
        <w:adjustRightInd w:val="0"/>
        <w:spacing w:after="0" w:line="360" w:lineRule="auto"/>
        <w:rPr>
          <w:rFonts w:cs="Calibri"/>
          <w:b/>
        </w:rPr>
      </w:pPr>
    </w:p>
    <w:p w:rsidR="000C1520" w:rsidRPr="00636499" w:rsidRDefault="000C1520" w:rsidP="00062D1D">
      <w:pPr>
        <w:autoSpaceDE w:val="0"/>
        <w:autoSpaceDN w:val="0"/>
        <w:adjustRightInd w:val="0"/>
        <w:spacing w:after="0" w:line="360" w:lineRule="auto"/>
        <w:jc w:val="both"/>
        <w:rPr>
          <w:rFonts w:eastAsia="TTE22ACBD0t00" w:cs="Calibri"/>
          <w:color w:val="000000"/>
        </w:rPr>
      </w:pPr>
      <w:r>
        <w:rPr>
          <w:rFonts w:eastAsia="TTE22ACBD0t00" w:cs="Calibri"/>
          <w:color w:val="000000"/>
        </w:rPr>
        <w:t>Bez primjerenog</w:t>
      </w:r>
      <w:r w:rsidRPr="00636499">
        <w:rPr>
          <w:rFonts w:eastAsia="TTE22ACBD0t00" w:cs="Calibri"/>
          <w:color w:val="000000"/>
        </w:rPr>
        <w:t xml:space="preserve"> praćenja i vrednovanja nije moguće pratiti učinke provedbe politike poticanja investicija u Republici Hrvatskoj i osigurati sustav odgovornosti za predviđene mjere.</w:t>
      </w:r>
    </w:p>
    <w:p w:rsidR="000C1520" w:rsidRPr="00636499" w:rsidRDefault="000C1520" w:rsidP="00062D1D">
      <w:pPr>
        <w:autoSpaceDE w:val="0"/>
        <w:autoSpaceDN w:val="0"/>
        <w:adjustRightInd w:val="0"/>
        <w:spacing w:after="0" w:line="360" w:lineRule="auto"/>
        <w:jc w:val="both"/>
        <w:rPr>
          <w:rFonts w:eastAsia="TTE22ACBD0t00" w:cs="Calibri"/>
          <w:color w:val="000000"/>
        </w:rPr>
      </w:pPr>
    </w:p>
    <w:p w:rsidR="000C1520" w:rsidRPr="00636499" w:rsidRDefault="000C1520" w:rsidP="00062D1D">
      <w:pPr>
        <w:autoSpaceDE w:val="0"/>
        <w:autoSpaceDN w:val="0"/>
        <w:adjustRightInd w:val="0"/>
        <w:spacing w:after="0" w:line="360" w:lineRule="auto"/>
        <w:jc w:val="both"/>
        <w:rPr>
          <w:rFonts w:eastAsia="TTE22ACBD0t00" w:cs="Calibri"/>
          <w:color w:val="000000"/>
        </w:rPr>
      </w:pPr>
      <w:r>
        <w:rPr>
          <w:rFonts w:eastAsia="TTE22ACBD0t00" w:cs="Calibri"/>
          <w:color w:val="000000"/>
        </w:rPr>
        <w:t>U Dodatku 2. navedeni</w:t>
      </w:r>
      <w:r w:rsidRPr="00636499">
        <w:rPr>
          <w:rFonts w:eastAsia="TTE22ACBD0t00" w:cs="Calibri"/>
          <w:color w:val="000000"/>
        </w:rPr>
        <w:t xml:space="preserve"> su glavni pokazatelji kojima se prati uspješna provedba mjera u okviru prioritetnih područja i glavnog strateškog cilja Strategije poticanja investicija.</w:t>
      </w:r>
    </w:p>
    <w:p w:rsidR="000C1520" w:rsidRPr="00636499" w:rsidRDefault="000C1520" w:rsidP="00062D1D">
      <w:pPr>
        <w:autoSpaceDE w:val="0"/>
        <w:autoSpaceDN w:val="0"/>
        <w:adjustRightInd w:val="0"/>
        <w:spacing w:after="0" w:line="360" w:lineRule="auto"/>
        <w:jc w:val="both"/>
        <w:rPr>
          <w:rFonts w:eastAsia="TTE22ACBD0t00" w:cs="Calibri"/>
          <w:color w:val="000000"/>
        </w:rPr>
      </w:pPr>
    </w:p>
    <w:p w:rsidR="000C1520" w:rsidRPr="00636499" w:rsidRDefault="000C1520" w:rsidP="00062D1D">
      <w:pPr>
        <w:autoSpaceDE w:val="0"/>
        <w:autoSpaceDN w:val="0"/>
        <w:adjustRightInd w:val="0"/>
        <w:spacing w:after="0" w:line="360" w:lineRule="auto"/>
        <w:jc w:val="both"/>
        <w:rPr>
          <w:rFonts w:eastAsia="TTE22ACBD0t00" w:cs="Calibri"/>
          <w:color w:val="000000"/>
        </w:rPr>
      </w:pPr>
      <w:r w:rsidRPr="00636499">
        <w:rPr>
          <w:rFonts w:eastAsia="TTE22ACBD0t00" w:cs="Calibri"/>
          <w:color w:val="000000"/>
        </w:rPr>
        <w:t>Ministarstvo gospodarstva</w:t>
      </w:r>
      <w:r>
        <w:rPr>
          <w:rFonts w:eastAsia="TTE22ACBD0t00" w:cs="Calibri"/>
          <w:color w:val="000000"/>
        </w:rPr>
        <w:t xml:space="preserve"> </w:t>
      </w:r>
      <w:r w:rsidRPr="00636499">
        <w:rPr>
          <w:rFonts w:eastAsia="TTE22ACBD0t00" w:cs="Calibri"/>
          <w:color w:val="000000"/>
        </w:rPr>
        <w:t>zaduženo je za praćenje i vrednovanje Strategije poticanja investicija. S obzirom da se radi o strateškom dokumentu za čiju je provedbu potrebna koordinacija više resornih tijela državne uprave</w:t>
      </w:r>
      <w:r>
        <w:rPr>
          <w:rFonts w:eastAsia="TTE22ACBD0t00" w:cs="Calibri"/>
          <w:color w:val="000000"/>
        </w:rPr>
        <w:t>,</w:t>
      </w:r>
      <w:r w:rsidRPr="00636499">
        <w:rPr>
          <w:rFonts w:eastAsia="TTE22ACBD0t00" w:cs="Calibri"/>
          <w:color w:val="000000"/>
        </w:rPr>
        <w:t xml:space="preserve"> ona imaju obvezu podnošenja godišnjeg izvješća o učincima provedbe mjera </w:t>
      </w:r>
      <w:r>
        <w:rPr>
          <w:rFonts w:eastAsia="TTE22ACBD0t00" w:cs="Calibri"/>
          <w:color w:val="000000"/>
        </w:rPr>
        <w:t>utvrđenih</w:t>
      </w:r>
      <w:r w:rsidRPr="00636499">
        <w:rPr>
          <w:rFonts w:eastAsia="TTE22ACBD0t00" w:cs="Calibri"/>
          <w:color w:val="000000"/>
        </w:rPr>
        <w:t xml:space="preserve"> u okviru Strategije poticanja investicija Ministarstvu gospodarstva najkasnije do 31. ožujka teku</w:t>
      </w:r>
      <w:r>
        <w:rPr>
          <w:rFonts w:eastAsia="TTE22ACBD0t00" w:cs="Calibri"/>
          <w:color w:val="000000"/>
        </w:rPr>
        <w:t xml:space="preserve">će godine za prethodnu godinu, dok ga Ministarstvo gospodarstva </w:t>
      </w:r>
      <w:r w:rsidRPr="00636499">
        <w:rPr>
          <w:rFonts w:eastAsia="TTE22ACBD0t00" w:cs="Calibri"/>
          <w:color w:val="000000"/>
        </w:rPr>
        <w:t>podnosi Vladi najkasnije do 30. travnja tekuće godine.</w:t>
      </w:r>
    </w:p>
    <w:p w:rsidR="000C1520" w:rsidRDefault="000C1520" w:rsidP="00303E67">
      <w:pPr>
        <w:autoSpaceDE w:val="0"/>
        <w:autoSpaceDN w:val="0"/>
        <w:adjustRightInd w:val="0"/>
        <w:spacing w:after="0" w:line="360" w:lineRule="auto"/>
        <w:jc w:val="both"/>
        <w:rPr>
          <w:rFonts w:eastAsia="TTE22ACBD0t00" w:cs="Calibri"/>
          <w:color w:val="000000"/>
        </w:rPr>
      </w:pPr>
      <w:bookmarkStart w:id="70" w:name="_Toc348951842"/>
      <w:bookmarkStart w:id="71" w:name="_Toc351127626"/>
    </w:p>
    <w:p w:rsidR="000C1520" w:rsidRPr="00303E67" w:rsidRDefault="000C1520" w:rsidP="00AF566A">
      <w:pPr>
        <w:pStyle w:val="Heading1"/>
        <w:rPr>
          <w:rFonts w:eastAsia="TTE22ACBD0t00" w:cs="Calibri"/>
          <w:color w:val="000000"/>
        </w:rPr>
      </w:pPr>
      <w:bookmarkStart w:id="72" w:name="_Toc373137882"/>
      <w:r>
        <w:t>6.</w:t>
      </w:r>
      <w:r w:rsidRPr="00303E67">
        <w:t xml:space="preserve">  AKCIJSKI PLAN ZA PROVEDBU STRATEGIJE</w:t>
      </w:r>
      <w:bookmarkEnd w:id="70"/>
      <w:bookmarkEnd w:id="71"/>
      <w:bookmarkEnd w:id="72"/>
      <w:r w:rsidRPr="00303E67">
        <w:t xml:space="preserve"> </w:t>
      </w:r>
    </w:p>
    <w:p w:rsidR="000C1520" w:rsidRPr="00636499" w:rsidRDefault="000C1520" w:rsidP="00DD3B5A">
      <w:pPr>
        <w:rPr>
          <w:lang w:eastAsia="lt-LT"/>
        </w:rPr>
      </w:pPr>
    </w:p>
    <w:p w:rsidR="000C1520" w:rsidRPr="00636499" w:rsidRDefault="000C1520" w:rsidP="00062D1D">
      <w:pPr>
        <w:autoSpaceDE w:val="0"/>
        <w:autoSpaceDN w:val="0"/>
        <w:adjustRightInd w:val="0"/>
        <w:spacing w:after="0" w:line="360" w:lineRule="auto"/>
        <w:jc w:val="both"/>
        <w:rPr>
          <w:rFonts w:cs="Calibri"/>
          <w:color w:val="000000"/>
        </w:rPr>
      </w:pPr>
      <w:r w:rsidRPr="00636499">
        <w:rPr>
          <w:rFonts w:cs="Calibri"/>
          <w:color w:val="000000"/>
        </w:rPr>
        <w:t xml:space="preserve">Mjere u funkciji poticanja investicija usmjerene su ponajviše na unaprjeđenje investicijskog okruženja i promociju </w:t>
      </w:r>
      <w:r>
        <w:rPr>
          <w:rFonts w:cs="Calibri"/>
          <w:color w:val="000000"/>
        </w:rPr>
        <w:t xml:space="preserve">RH </w:t>
      </w:r>
      <w:r w:rsidRPr="00636499">
        <w:rPr>
          <w:rFonts w:cs="Calibri"/>
          <w:color w:val="000000"/>
        </w:rPr>
        <w:t>k</w:t>
      </w:r>
      <w:r>
        <w:rPr>
          <w:rFonts w:cs="Calibri"/>
          <w:color w:val="000000"/>
        </w:rPr>
        <w:t>a</w:t>
      </w:r>
      <w:r w:rsidRPr="00636499">
        <w:rPr>
          <w:rFonts w:cs="Calibri"/>
          <w:color w:val="000000"/>
        </w:rPr>
        <w:t xml:space="preserve">o atraktivne investicijske destinacije. No, značajnije povećanje investicija u </w:t>
      </w:r>
      <w:r>
        <w:rPr>
          <w:rFonts w:cs="Calibri"/>
          <w:color w:val="000000"/>
        </w:rPr>
        <w:t xml:space="preserve">RH nije moguće </w:t>
      </w:r>
      <w:r w:rsidRPr="00636499">
        <w:rPr>
          <w:rFonts w:cs="Calibri"/>
          <w:color w:val="000000"/>
        </w:rPr>
        <w:t>bez mjera za ciljano privlačenje investicija i spe</w:t>
      </w:r>
      <w:r>
        <w:rPr>
          <w:rFonts w:cs="Calibri"/>
          <w:color w:val="000000"/>
        </w:rPr>
        <w:t>cijaliziranu podršku u ostvarenju</w:t>
      </w:r>
      <w:r w:rsidRPr="00636499">
        <w:rPr>
          <w:rFonts w:cs="Calibri"/>
          <w:color w:val="000000"/>
        </w:rPr>
        <w:t xml:space="preserve"> investicijskih projekata. </w:t>
      </w:r>
    </w:p>
    <w:p w:rsidR="000C1520" w:rsidRDefault="000C1520" w:rsidP="008508AD">
      <w:pPr>
        <w:autoSpaceDE w:val="0"/>
        <w:autoSpaceDN w:val="0"/>
        <w:adjustRightInd w:val="0"/>
        <w:spacing w:after="0" w:line="360" w:lineRule="auto"/>
        <w:jc w:val="both"/>
        <w:rPr>
          <w:rFonts w:cs="Calibri"/>
          <w:color w:val="000000"/>
        </w:rPr>
      </w:pPr>
      <w:r w:rsidRPr="00F94A4B">
        <w:rPr>
          <w:rFonts w:cs="Calibri"/>
          <w:color w:val="000000"/>
        </w:rPr>
        <w:t xml:space="preserve">Sukladno tome, prepoznato je </w:t>
      </w:r>
      <w:r>
        <w:rPr>
          <w:rFonts w:cs="Calibri"/>
          <w:color w:val="000000"/>
        </w:rPr>
        <w:t>16</w:t>
      </w:r>
      <w:r w:rsidRPr="00F94A4B">
        <w:rPr>
          <w:rFonts w:cs="Calibri"/>
          <w:color w:val="000000"/>
        </w:rPr>
        <w:t xml:space="preserve"> prioritetnih mjera investicijske politike koje će zajednički provoditi </w:t>
      </w:r>
      <w:r w:rsidRPr="00767D53">
        <w:rPr>
          <w:rFonts w:cs="Calibri"/>
        </w:rPr>
        <w:t>resorna</w:t>
      </w:r>
      <w:r w:rsidRPr="00767D53">
        <w:t xml:space="preserve"> središnja tijela državne uprave</w:t>
      </w:r>
      <w:r w:rsidRPr="00767D53">
        <w:rPr>
          <w:rFonts w:cs="Calibri"/>
        </w:rPr>
        <w:t xml:space="preserve"> i provedbene državne agencije, </w:t>
      </w:r>
      <w:r w:rsidRPr="00767D53">
        <w:rPr>
          <w:szCs w:val="24"/>
        </w:rPr>
        <w:t>jedinice lokalne i područne (regionalne) samouprave</w:t>
      </w:r>
      <w:r w:rsidRPr="00767D53">
        <w:rPr>
          <w:rFonts w:cs="Calibri"/>
        </w:rPr>
        <w:t xml:space="preserve"> i partnerske institucije</w:t>
      </w:r>
      <w:r w:rsidRPr="00F94A4B">
        <w:rPr>
          <w:rFonts w:cs="Calibri"/>
          <w:color w:val="000000"/>
        </w:rPr>
        <w:t xml:space="preserve"> relevantne za poticanje investicija u RH.</w:t>
      </w:r>
    </w:p>
    <w:p w:rsidR="000C1520" w:rsidRDefault="000C1520" w:rsidP="008508AD">
      <w:pPr>
        <w:autoSpaceDE w:val="0"/>
        <w:autoSpaceDN w:val="0"/>
        <w:adjustRightInd w:val="0"/>
        <w:spacing w:after="0" w:line="360" w:lineRule="auto"/>
        <w:jc w:val="both"/>
        <w:rPr>
          <w:rFonts w:cs="Calibri"/>
          <w:color w:val="000000"/>
        </w:rPr>
      </w:pPr>
    </w:p>
    <w:p w:rsidR="000C1520" w:rsidRPr="00636499" w:rsidRDefault="000C1520" w:rsidP="0030500A">
      <w:pPr>
        <w:autoSpaceDE w:val="0"/>
        <w:autoSpaceDN w:val="0"/>
        <w:adjustRightInd w:val="0"/>
        <w:spacing w:after="0" w:line="360" w:lineRule="auto"/>
        <w:jc w:val="both"/>
        <w:rPr>
          <w:rFonts w:cs="Calibri"/>
          <w:color w:val="000000"/>
        </w:rPr>
        <w:sectPr w:rsidR="000C1520" w:rsidRPr="00636499" w:rsidSect="000D3F7F">
          <w:headerReference w:type="default" r:id="rId42"/>
          <w:footerReference w:type="default" r:id="rId43"/>
          <w:footerReference w:type="first" r:id="rId44"/>
          <w:pgSz w:w="11906" w:h="16838"/>
          <w:pgMar w:top="1134" w:right="1417" w:bottom="851" w:left="1417" w:header="708" w:footer="708" w:gutter="0"/>
          <w:cols w:space="708"/>
          <w:titlePg/>
          <w:rtlGutter/>
          <w:docGrid w:linePitch="360"/>
        </w:sectPr>
      </w:pPr>
    </w:p>
    <w:p w:rsidR="00671FBC" w:rsidRPr="00843EDC" w:rsidRDefault="00671FBC" w:rsidP="00671FBC">
      <w:pPr>
        <w:autoSpaceDE w:val="0"/>
        <w:autoSpaceDN w:val="0"/>
        <w:adjustRightInd w:val="0"/>
        <w:spacing w:after="0" w:line="360" w:lineRule="auto"/>
        <w:jc w:val="both"/>
        <w:rPr>
          <w:rFonts w:cs="Calibri"/>
          <w:color w:val="000000"/>
          <w:sz w:val="20"/>
          <w:szCs w:val="20"/>
        </w:rPr>
      </w:pPr>
      <w:r w:rsidRPr="00843EDC">
        <w:rPr>
          <w:rFonts w:cs="Calibri"/>
          <w:b/>
          <w:color w:val="000000"/>
          <w:sz w:val="20"/>
          <w:szCs w:val="20"/>
        </w:rPr>
        <w:lastRenderedPageBreak/>
        <w:t>Dodatak 1.</w:t>
      </w:r>
      <w:r w:rsidRPr="00843EDC">
        <w:rPr>
          <w:rFonts w:cs="Calibri"/>
          <w:color w:val="000000"/>
          <w:sz w:val="20"/>
          <w:szCs w:val="20"/>
        </w:rPr>
        <w:t xml:space="preserve"> Akcijski plan </w:t>
      </w:r>
      <w:proofErr w:type="spellStart"/>
      <w:r w:rsidRPr="00843EDC">
        <w:rPr>
          <w:rFonts w:cs="Calibri"/>
          <w:color w:val="000000"/>
          <w:sz w:val="20"/>
          <w:szCs w:val="20"/>
          <w:lang w:val="en-GB"/>
        </w:rPr>
        <w:t>Strategije</w:t>
      </w:r>
      <w:proofErr w:type="spellEnd"/>
      <w:r w:rsidRPr="00843EDC">
        <w:rPr>
          <w:rFonts w:cs="Calibri"/>
          <w:color w:val="000000"/>
          <w:sz w:val="20"/>
          <w:szCs w:val="20"/>
          <w:lang w:val="en-GB"/>
        </w:rPr>
        <w:t xml:space="preserve"> </w:t>
      </w:r>
      <w:proofErr w:type="spellStart"/>
      <w:r w:rsidRPr="00843EDC">
        <w:rPr>
          <w:rFonts w:cs="Calibri"/>
          <w:color w:val="000000"/>
          <w:sz w:val="20"/>
          <w:szCs w:val="20"/>
          <w:lang w:val="en-GB"/>
        </w:rPr>
        <w:t>poticanja</w:t>
      </w:r>
      <w:proofErr w:type="spellEnd"/>
      <w:r w:rsidRPr="00843EDC">
        <w:rPr>
          <w:rFonts w:cs="Calibri"/>
          <w:color w:val="000000"/>
          <w:sz w:val="20"/>
          <w:szCs w:val="20"/>
          <w:lang w:val="en-GB"/>
        </w:rPr>
        <w:t xml:space="preserve"> </w:t>
      </w:r>
      <w:proofErr w:type="spellStart"/>
      <w:r w:rsidRPr="00843EDC">
        <w:rPr>
          <w:rFonts w:cs="Calibri"/>
          <w:color w:val="000000"/>
          <w:sz w:val="20"/>
          <w:szCs w:val="20"/>
          <w:lang w:val="en-GB"/>
        </w:rPr>
        <w:t>investicija</w:t>
      </w:r>
      <w:proofErr w:type="spellEnd"/>
      <w:r w:rsidRPr="00843EDC">
        <w:rPr>
          <w:rFonts w:cs="Calibri"/>
          <w:color w:val="000000"/>
          <w:sz w:val="20"/>
          <w:szCs w:val="20"/>
          <w:lang w:val="en-GB"/>
        </w:rPr>
        <w:t xml:space="preserve"> </w:t>
      </w:r>
      <w:proofErr w:type="spellStart"/>
      <w:r w:rsidRPr="00843EDC">
        <w:rPr>
          <w:rFonts w:cs="Calibri"/>
          <w:color w:val="000000"/>
          <w:sz w:val="20"/>
          <w:szCs w:val="20"/>
          <w:lang w:val="en-GB"/>
        </w:rPr>
        <w:t>Republike</w:t>
      </w:r>
      <w:proofErr w:type="spellEnd"/>
      <w:r w:rsidRPr="00843EDC">
        <w:rPr>
          <w:rFonts w:cs="Calibri"/>
          <w:color w:val="000000"/>
          <w:sz w:val="20"/>
          <w:szCs w:val="20"/>
          <w:lang w:val="en-GB"/>
        </w:rPr>
        <w:t xml:space="preserve"> </w:t>
      </w:r>
      <w:proofErr w:type="spellStart"/>
      <w:r w:rsidRPr="00843EDC">
        <w:rPr>
          <w:rFonts w:cs="Calibri"/>
          <w:color w:val="000000"/>
          <w:sz w:val="20"/>
          <w:szCs w:val="20"/>
          <w:lang w:val="en-GB"/>
        </w:rPr>
        <w:t>Hrvatske</w:t>
      </w:r>
      <w:proofErr w:type="spellEnd"/>
    </w:p>
    <w:tbl>
      <w:tblPr>
        <w:tblStyle w:val="LightList-Accent1111"/>
        <w:tblpPr w:leftFromText="180" w:rightFromText="180" w:vertAnchor="text" w:horzAnchor="margin" w:tblpY="571"/>
        <w:tblW w:w="14715" w:type="dxa"/>
        <w:tblLayout w:type="fixed"/>
        <w:tblLook w:val="00A0" w:firstRow="1" w:lastRow="0" w:firstColumn="1" w:lastColumn="0" w:noHBand="0" w:noVBand="0"/>
      </w:tblPr>
      <w:tblGrid>
        <w:gridCol w:w="3028"/>
        <w:gridCol w:w="6261"/>
        <w:gridCol w:w="35"/>
        <w:gridCol w:w="1078"/>
        <w:gridCol w:w="56"/>
        <w:gridCol w:w="2727"/>
        <w:gridCol w:w="1530"/>
      </w:tblGrid>
      <w:tr w:rsidR="00671FBC" w:rsidRPr="00843EDC" w:rsidTr="00671FBC">
        <w:trPr>
          <w:cnfStyle w:val="100000000000" w:firstRow="1" w:lastRow="0" w:firstColumn="0" w:lastColumn="0" w:oddVBand="0" w:evenVBand="0" w:oddHBand="0"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3027" w:type="dxa"/>
            <w:tcBorders>
              <w:top w:val="single" w:sz="4" w:space="0" w:color="auto"/>
              <w:left w:val="single" w:sz="4" w:space="0" w:color="auto"/>
              <w:bottom w:val="single" w:sz="4" w:space="0" w:color="auto"/>
              <w:right w:val="single" w:sz="4" w:space="0" w:color="auto"/>
            </w:tcBorders>
            <w:vAlign w:val="center"/>
            <w:hideMark/>
          </w:tcPr>
          <w:p w:rsidR="00671FBC" w:rsidRPr="00843EDC" w:rsidRDefault="00671FBC" w:rsidP="00671FBC">
            <w:pPr>
              <w:spacing w:line="288" w:lineRule="auto"/>
              <w:jc w:val="center"/>
              <w:rPr>
                <w:rFonts w:cs="Calibri"/>
                <w:color w:val="000000" w:themeColor="text1"/>
                <w:sz w:val="20"/>
                <w:szCs w:val="20"/>
              </w:rPr>
            </w:pPr>
            <w:r w:rsidRPr="00843EDC">
              <w:rPr>
                <w:rFonts w:cs="Calibri"/>
                <w:color w:val="000000" w:themeColor="text1"/>
                <w:sz w:val="20"/>
                <w:szCs w:val="20"/>
              </w:rPr>
              <w:t>Prioritetno područje / mjera</w:t>
            </w:r>
          </w:p>
        </w:tc>
        <w:tc>
          <w:tcPr>
            <w:cnfStyle w:val="000010000000" w:firstRow="0" w:lastRow="0" w:firstColumn="0" w:lastColumn="0" w:oddVBand="1" w:evenVBand="0" w:oddHBand="0" w:evenHBand="0" w:firstRowFirstColumn="0" w:firstRowLastColumn="0" w:lastRowFirstColumn="0" w:lastRowLastColumn="0"/>
            <w:tcW w:w="6295" w:type="dxa"/>
            <w:gridSpan w:val="2"/>
            <w:tcBorders>
              <w:top w:val="single" w:sz="4" w:space="0" w:color="auto"/>
              <w:left w:val="single" w:sz="4" w:space="0" w:color="auto"/>
              <w:bottom w:val="single" w:sz="4" w:space="0" w:color="auto"/>
              <w:right w:val="single" w:sz="4" w:space="0" w:color="auto"/>
            </w:tcBorders>
            <w:vAlign w:val="center"/>
            <w:hideMark/>
          </w:tcPr>
          <w:p w:rsidR="00671FBC" w:rsidRPr="00843EDC" w:rsidRDefault="00671FBC" w:rsidP="00671FBC">
            <w:pPr>
              <w:spacing w:line="288" w:lineRule="auto"/>
              <w:jc w:val="center"/>
              <w:rPr>
                <w:rFonts w:cs="Calibri"/>
                <w:color w:val="000000" w:themeColor="text1"/>
                <w:sz w:val="20"/>
                <w:szCs w:val="20"/>
              </w:rPr>
            </w:pPr>
            <w:r w:rsidRPr="00843EDC">
              <w:rPr>
                <w:rFonts w:cs="Calibri"/>
                <w:color w:val="000000" w:themeColor="text1"/>
                <w:sz w:val="20"/>
                <w:szCs w:val="20"/>
              </w:rPr>
              <w:t>Opis mjera/aktivnosti</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671FBC" w:rsidRPr="00843EDC" w:rsidRDefault="00671FBC" w:rsidP="00671FBC">
            <w:pPr>
              <w:spacing w:line="288" w:lineRule="auto"/>
              <w:jc w:val="center"/>
              <w:cnfStyle w:val="100000000000" w:firstRow="1" w:lastRow="0" w:firstColumn="0" w:lastColumn="0" w:oddVBand="0" w:evenVBand="0" w:oddHBand="0" w:evenHBand="0" w:firstRowFirstColumn="0" w:firstRowLastColumn="0" w:lastRowFirstColumn="0" w:lastRowLastColumn="0"/>
              <w:rPr>
                <w:rFonts w:cs="Calibri"/>
                <w:color w:val="000000" w:themeColor="text1"/>
                <w:sz w:val="20"/>
                <w:szCs w:val="20"/>
              </w:rPr>
            </w:pPr>
            <w:r w:rsidRPr="00843EDC">
              <w:rPr>
                <w:rFonts w:cs="Calibri"/>
                <w:color w:val="000000" w:themeColor="text1"/>
                <w:sz w:val="20"/>
                <w:szCs w:val="20"/>
              </w:rPr>
              <w:t>Nositelj prioritetne mjere</w:t>
            </w:r>
          </w:p>
        </w:tc>
        <w:tc>
          <w:tcPr>
            <w:cnfStyle w:val="000010000000" w:firstRow="0" w:lastRow="0" w:firstColumn="0" w:lastColumn="0" w:oddVBand="1" w:evenVBand="0" w:oddHBand="0" w:evenHBand="0" w:firstRowFirstColumn="0" w:firstRowLastColumn="0" w:lastRowFirstColumn="0" w:lastRowLastColumn="0"/>
            <w:tcW w:w="2726" w:type="dxa"/>
            <w:tcBorders>
              <w:top w:val="single" w:sz="4" w:space="0" w:color="auto"/>
              <w:left w:val="single" w:sz="4" w:space="0" w:color="auto"/>
              <w:bottom w:val="single" w:sz="4" w:space="0" w:color="auto"/>
              <w:right w:val="single" w:sz="4" w:space="0" w:color="auto"/>
            </w:tcBorders>
            <w:vAlign w:val="center"/>
            <w:hideMark/>
          </w:tcPr>
          <w:p w:rsidR="00671FBC" w:rsidRPr="00843EDC" w:rsidRDefault="00671FBC" w:rsidP="00671FBC">
            <w:pPr>
              <w:spacing w:line="288" w:lineRule="auto"/>
              <w:jc w:val="center"/>
              <w:rPr>
                <w:rFonts w:cs="Calibri"/>
                <w:color w:val="000000" w:themeColor="text1"/>
                <w:sz w:val="20"/>
                <w:szCs w:val="20"/>
              </w:rPr>
            </w:pPr>
            <w:r w:rsidRPr="00843EDC">
              <w:rPr>
                <w:rFonts w:cs="Calibri"/>
                <w:color w:val="000000" w:themeColor="text1"/>
                <w:sz w:val="20"/>
                <w:szCs w:val="20"/>
              </w:rPr>
              <w:t>Partnerske institucije</w:t>
            </w:r>
          </w:p>
        </w:tc>
        <w:tc>
          <w:tcPr>
            <w:tcW w:w="1530" w:type="dxa"/>
            <w:tcBorders>
              <w:top w:val="single" w:sz="4" w:space="0" w:color="auto"/>
              <w:left w:val="single" w:sz="4" w:space="0" w:color="auto"/>
              <w:bottom w:val="single" w:sz="4" w:space="0" w:color="auto"/>
              <w:right w:val="single" w:sz="4" w:space="0" w:color="auto"/>
            </w:tcBorders>
            <w:vAlign w:val="center"/>
            <w:hideMark/>
          </w:tcPr>
          <w:p w:rsidR="00671FBC" w:rsidRPr="00843EDC" w:rsidRDefault="00671FBC" w:rsidP="00671FBC">
            <w:pPr>
              <w:spacing w:line="288" w:lineRule="auto"/>
              <w:jc w:val="center"/>
              <w:cnfStyle w:val="100000000000" w:firstRow="1" w:lastRow="0" w:firstColumn="0" w:lastColumn="0" w:oddVBand="0" w:evenVBand="0" w:oddHBand="0" w:evenHBand="0" w:firstRowFirstColumn="0" w:firstRowLastColumn="0" w:lastRowFirstColumn="0" w:lastRowLastColumn="0"/>
              <w:rPr>
                <w:rFonts w:cs="Calibri"/>
                <w:color w:val="000000" w:themeColor="text1"/>
                <w:sz w:val="20"/>
                <w:szCs w:val="20"/>
              </w:rPr>
            </w:pPr>
            <w:r w:rsidRPr="00843EDC">
              <w:rPr>
                <w:rFonts w:cs="Calibri"/>
                <w:color w:val="000000" w:themeColor="text1"/>
                <w:sz w:val="20"/>
                <w:szCs w:val="20"/>
              </w:rPr>
              <w:t>Rok za provedbu</w:t>
            </w:r>
          </w:p>
        </w:tc>
      </w:tr>
      <w:tr w:rsidR="00671FBC" w:rsidRPr="00843EDC" w:rsidTr="00671FBC">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027" w:type="dxa"/>
            <w:vMerge w:val="restart"/>
            <w:tcBorders>
              <w:top w:val="single" w:sz="4" w:space="0" w:color="auto"/>
              <w:right w:val="nil"/>
            </w:tcBorders>
            <w:shd w:val="clear" w:color="auto" w:fill="DBE5F1" w:themeFill="accent1" w:themeFillTint="33"/>
          </w:tcPr>
          <w:p w:rsidR="00671FBC" w:rsidRPr="00843EDC" w:rsidRDefault="00671FBC" w:rsidP="00671FBC">
            <w:pPr>
              <w:spacing w:line="264" w:lineRule="auto"/>
              <w:ind w:right="480"/>
              <w:rPr>
                <w:rFonts w:eastAsia="MS Mincho" w:cs="Calibri"/>
                <w:sz w:val="16"/>
                <w:szCs w:val="16"/>
                <w:lang w:eastAsia="ja-JP"/>
              </w:rPr>
            </w:pPr>
            <w:r w:rsidRPr="00843EDC">
              <w:rPr>
                <w:rFonts w:eastAsia="MS Mincho" w:cs="Calibri"/>
                <w:sz w:val="16"/>
                <w:szCs w:val="16"/>
                <w:lang w:eastAsia="ja-JP"/>
              </w:rPr>
              <w:t xml:space="preserve">Prioritet 1. Unaprjeđenje investicijskog okruženja </w:t>
            </w:r>
          </w:p>
          <w:p w:rsidR="00671FBC" w:rsidRPr="00843EDC" w:rsidRDefault="00671FBC" w:rsidP="00671FBC">
            <w:pPr>
              <w:spacing w:line="264" w:lineRule="auto"/>
              <w:ind w:right="480"/>
              <w:rPr>
                <w:rFonts w:eastAsia="MS Mincho" w:cs="Calibri"/>
                <w:sz w:val="16"/>
                <w:szCs w:val="16"/>
                <w:lang w:eastAsia="ja-JP"/>
              </w:rPr>
            </w:pPr>
          </w:p>
        </w:tc>
        <w:tc>
          <w:tcPr>
            <w:cnfStyle w:val="000010000000" w:firstRow="0" w:lastRow="0" w:firstColumn="0" w:lastColumn="0" w:oddVBand="1" w:evenVBand="0" w:oddHBand="0" w:evenHBand="0" w:firstRowFirstColumn="0" w:firstRowLastColumn="0" w:lastRowFirstColumn="0" w:lastRowLastColumn="0"/>
            <w:tcW w:w="6260" w:type="dxa"/>
            <w:tcBorders>
              <w:top w:val="single" w:sz="4" w:space="0" w:color="4F81BD" w:themeColor="accent1"/>
            </w:tcBorders>
            <w:shd w:val="clear" w:color="auto" w:fill="DBE5F1" w:themeFill="accent1" w:themeFillTint="33"/>
            <w:hideMark/>
          </w:tcPr>
          <w:p w:rsidR="00671FBC" w:rsidRPr="00843EDC" w:rsidRDefault="00671FBC" w:rsidP="00671FBC">
            <w:pPr>
              <w:spacing w:line="264" w:lineRule="auto"/>
              <w:ind w:right="480"/>
              <w:rPr>
                <w:rFonts w:cs="Calibri"/>
                <w:b/>
                <w:sz w:val="16"/>
                <w:szCs w:val="16"/>
              </w:rPr>
            </w:pPr>
            <w:r w:rsidRPr="00843EDC">
              <w:rPr>
                <w:rFonts w:eastAsia="MS Mincho" w:cs="Calibri"/>
                <w:sz w:val="16"/>
                <w:szCs w:val="16"/>
                <w:lang w:eastAsia="ja-JP"/>
              </w:rPr>
              <w:t>Unaprjeđenje zakonodavnog i institucionalnog okvira i  uklanjanje administrativnih barijera za investicije</w:t>
            </w:r>
          </w:p>
        </w:tc>
        <w:tc>
          <w:tcPr>
            <w:tcW w:w="1113" w:type="dxa"/>
            <w:gridSpan w:val="2"/>
            <w:vMerge w:val="restart"/>
            <w:tcBorders>
              <w:top w:val="single" w:sz="4" w:space="0" w:color="auto"/>
              <w:left w:val="nil"/>
              <w:right w:val="nil"/>
            </w:tcBorders>
            <w:shd w:val="clear" w:color="auto" w:fill="DBE5F1" w:themeFill="accent1" w:themeFillTint="33"/>
            <w:hideMark/>
          </w:tcPr>
          <w:p w:rsidR="00671FBC" w:rsidRPr="00843EDC" w:rsidRDefault="00671FBC" w:rsidP="00671FBC">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843EDC">
              <w:rPr>
                <w:rFonts w:cs="Calibri"/>
                <w:sz w:val="16"/>
                <w:szCs w:val="16"/>
              </w:rPr>
              <w:t>MINGO, MZOS, MINPO, MRMS</w:t>
            </w:r>
          </w:p>
        </w:tc>
        <w:tc>
          <w:tcPr>
            <w:cnfStyle w:val="000010000000" w:firstRow="0" w:lastRow="0" w:firstColumn="0" w:lastColumn="0" w:oddVBand="1" w:evenVBand="0" w:oddHBand="0" w:evenHBand="0" w:firstRowFirstColumn="0" w:firstRowLastColumn="0" w:lastRowFirstColumn="0" w:lastRowLastColumn="0"/>
            <w:tcW w:w="2782" w:type="dxa"/>
            <w:gridSpan w:val="2"/>
            <w:vMerge w:val="restart"/>
            <w:tcBorders>
              <w:top w:val="single" w:sz="4" w:space="0" w:color="4F81BD" w:themeColor="accent1"/>
            </w:tcBorders>
            <w:shd w:val="clear" w:color="auto" w:fill="DBE5F1" w:themeFill="accent1" w:themeFillTint="33"/>
            <w:hideMark/>
          </w:tcPr>
          <w:p w:rsidR="00671FBC" w:rsidRPr="00843EDC" w:rsidRDefault="00671FBC" w:rsidP="00671FBC">
            <w:pPr>
              <w:spacing w:line="288" w:lineRule="auto"/>
              <w:rPr>
                <w:rFonts w:cs="Calibri"/>
                <w:sz w:val="16"/>
                <w:szCs w:val="16"/>
              </w:rPr>
            </w:pPr>
            <w:r w:rsidRPr="00843EDC">
              <w:rPr>
                <w:rFonts w:cs="Calibri"/>
                <w:sz w:val="16"/>
                <w:szCs w:val="16"/>
              </w:rPr>
              <w:t>Resorna središnja tijela državne uprave, Provedbene državne agencije,</w:t>
            </w:r>
            <w:r w:rsidRPr="00843EDC">
              <w:rPr>
                <w:sz w:val="16"/>
                <w:szCs w:val="16"/>
              </w:rPr>
              <w:t xml:space="preserve"> Jedinice lokalne i područne (regionalne) samouprave</w:t>
            </w:r>
            <w:r w:rsidRPr="00843EDC">
              <w:rPr>
                <w:rFonts w:cs="Calibri"/>
                <w:sz w:val="16"/>
                <w:szCs w:val="16"/>
              </w:rPr>
              <w:t xml:space="preserve"> , Županijske razvojne agencije, HGK, HUP</w:t>
            </w:r>
          </w:p>
        </w:tc>
        <w:tc>
          <w:tcPr>
            <w:tcW w:w="1530" w:type="dxa"/>
            <w:vMerge w:val="restart"/>
            <w:tcBorders>
              <w:top w:val="single" w:sz="4" w:space="0" w:color="auto"/>
              <w:left w:val="nil"/>
            </w:tcBorders>
            <w:shd w:val="clear" w:color="auto" w:fill="DBE5F1" w:themeFill="accent1" w:themeFillTint="33"/>
            <w:hideMark/>
          </w:tcPr>
          <w:p w:rsidR="00671FBC" w:rsidRPr="00843EDC" w:rsidRDefault="00671FBC" w:rsidP="00671FBC">
            <w:pPr>
              <w:spacing w:line="288" w:lineRule="auto"/>
              <w:jc w:val="both"/>
              <w:cnfStyle w:val="000000100000" w:firstRow="0" w:lastRow="0" w:firstColumn="0" w:lastColumn="0" w:oddVBand="0" w:evenVBand="0" w:oddHBand="1" w:evenHBand="0" w:firstRowFirstColumn="0" w:firstRowLastColumn="0" w:lastRowFirstColumn="0" w:lastRowLastColumn="0"/>
              <w:rPr>
                <w:rFonts w:cs="Calibri"/>
                <w:sz w:val="16"/>
                <w:szCs w:val="16"/>
              </w:rPr>
            </w:pPr>
            <w:r w:rsidRPr="00843EDC">
              <w:rPr>
                <w:rFonts w:cs="Calibri"/>
                <w:sz w:val="16"/>
                <w:szCs w:val="16"/>
              </w:rPr>
              <w:t>Kontinuirano</w:t>
            </w:r>
          </w:p>
        </w:tc>
      </w:tr>
      <w:tr w:rsidR="00671FBC" w:rsidRPr="00843EDC" w:rsidTr="00671FBC">
        <w:trPr>
          <w:trHeight w:val="412"/>
        </w:trPr>
        <w:tc>
          <w:tcPr>
            <w:cnfStyle w:val="001000000000" w:firstRow="0" w:lastRow="0" w:firstColumn="1" w:lastColumn="0" w:oddVBand="0" w:evenVBand="0" w:oddHBand="0" w:evenHBand="0" w:firstRowFirstColumn="0" w:firstRowLastColumn="0" w:lastRowFirstColumn="0" w:lastRowLastColumn="0"/>
            <w:tcW w:w="3027" w:type="dxa"/>
            <w:vMerge/>
            <w:tcBorders>
              <w:top w:val="single" w:sz="4" w:space="0" w:color="auto"/>
              <w:left w:val="single" w:sz="8" w:space="0" w:color="4F81BD" w:themeColor="accent1"/>
              <w:bottom w:val="single" w:sz="8" w:space="0" w:color="4F81BD" w:themeColor="accent1"/>
              <w:right w:val="nil"/>
            </w:tcBorders>
            <w:vAlign w:val="center"/>
            <w:hideMark/>
          </w:tcPr>
          <w:p w:rsidR="00671FBC" w:rsidRPr="00843EDC" w:rsidRDefault="00671FBC" w:rsidP="00671FBC">
            <w:pPr>
              <w:spacing w:after="0" w:line="240" w:lineRule="auto"/>
              <w:rPr>
                <w:rFonts w:eastAsia="MS Mincho" w:cs="Calibri"/>
                <w:sz w:val="16"/>
                <w:szCs w:val="16"/>
                <w:lang w:eastAsia="ja-JP"/>
              </w:rPr>
            </w:pPr>
          </w:p>
        </w:tc>
        <w:tc>
          <w:tcPr>
            <w:cnfStyle w:val="000010000000" w:firstRow="0" w:lastRow="0" w:firstColumn="0" w:lastColumn="0" w:oddVBand="1" w:evenVBand="0" w:oddHBand="0" w:evenHBand="0" w:firstRowFirstColumn="0" w:firstRowLastColumn="0" w:lastRowFirstColumn="0" w:lastRowLastColumn="0"/>
            <w:tcW w:w="6260" w:type="dxa"/>
            <w:tcBorders>
              <w:top w:val="single" w:sz="8" w:space="0" w:color="4F81BD" w:themeColor="accent1"/>
              <w:bottom w:val="single" w:sz="8" w:space="0" w:color="4F81BD" w:themeColor="accent1"/>
            </w:tcBorders>
            <w:shd w:val="clear" w:color="auto" w:fill="DBE5F1" w:themeFill="accent1" w:themeFillTint="33"/>
            <w:hideMark/>
          </w:tcPr>
          <w:p w:rsidR="00671FBC" w:rsidRPr="00843EDC" w:rsidRDefault="00671FBC" w:rsidP="00671FBC">
            <w:pPr>
              <w:autoSpaceDE w:val="0"/>
              <w:autoSpaceDN w:val="0"/>
              <w:adjustRightInd w:val="0"/>
              <w:rPr>
                <w:rFonts w:eastAsia="MS Mincho" w:cs="Calibri"/>
                <w:sz w:val="16"/>
                <w:szCs w:val="16"/>
                <w:lang w:eastAsia="ja-JP"/>
              </w:rPr>
            </w:pPr>
            <w:r w:rsidRPr="00843EDC">
              <w:rPr>
                <w:rFonts w:eastAsia="MS Mincho" w:cs="Calibri"/>
                <w:sz w:val="16"/>
                <w:szCs w:val="16"/>
                <w:lang w:eastAsia="ja-JP"/>
              </w:rPr>
              <w:t>Jačanje investicijskog potencijala sektora malog i srednjeg poduzetništva i uključivanje u globalne lance vrijednosti</w:t>
            </w:r>
          </w:p>
        </w:tc>
        <w:tc>
          <w:tcPr>
            <w:tcW w:w="2247" w:type="dxa"/>
            <w:gridSpan w:val="2"/>
            <w:vMerge/>
            <w:tcBorders>
              <w:top w:val="single" w:sz="8" w:space="0" w:color="4F81BD" w:themeColor="accent1"/>
              <w:left w:val="single" w:sz="8" w:space="0" w:color="4F81BD" w:themeColor="accent1"/>
              <w:bottom w:val="single" w:sz="8" w:space="0" w:color="4F81BD" w:themeColor="accent1"/>
            </w:tcBorders>
            <w:vAlign w:val="center"/>
            <w:hideMark/>
          </w:tcPr>
          <w:p w:rsidR="00671FBC" w:rsidRPr="00843EDC" w:rsidRDefault="00671FBC" w:rsidP="00671FBC">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16"/>
                <w:szCs w:val="16"/>
              </w:rPr>
            </w:pPr>
          </w:p>
        </w:tc>
        <w:tc>
          <w:tcPr>
            <w:cnfStyle w:val="000010000000" w:firstRow="0" w:lastRow="0" w:firstColumn="0" w:lastColumn="0" w:oddVBand="1" w:evenVBand="0" w:oddHBand="0" w:evenHBand="0" w:firstRowFirstColumn="0" w:firstRowLastColumn="0" w:lastRowFirstColumn="0" w:lastRowLastColumn="0"/>
            <w:tcW w:w="5508" w:type="dxa"/>
            <w:gridSpan w:val="2"/>
            <w:vMerge/>
            <w:tcBorders>
              <w:top w:val="single" w:sz="8" w:space="0" w:color="4F81BD" w:themeColor="accent1"/>
              <w:bottom w:val="single" w:sz="8" w:space="0" w:color="4F81BD" w:themeColor="accent1"/>
            </w:tcBorders>
            <w:vAlign w:val="center"/>
            <w:hideMark/>
          </w:tcPr>
          <w:p w:rsidR="00671FBC" w:rsidRPr="00843EDC" w:rsidRDefault="00671FBC" w:rsidP="00671FBC">
            <w:pPr>
              <w:spacing w:after="0" w:line="240" w:lineRule="auto"/>
              <w:rPr>
                <w:rFonts w:cs="Calibri"/>
                <w:sz w:val="16"/>
                <w:szCs w:val="16"/>
              </w:rPr>
            </w:pPr>
          </w:p>
        </w:tc>
        <w:tc>
          <w:tcPr>
            <w:tcW w:w="1530" w:type="dxa"/>
            <w:vMerge/>
            <w:tcBorders>
              <w:top w:val="single" w:sz="4" w:space="0" w:color="auto"/>
              <w:left w:val="nil"/>
              <w:bottom w:val="single" w:sz="8" w:space="0" w:color="4F81BD" w:themeColor="accent1"/>
              <w:right w:val="single" w:sz="8" w:space="0" w:color="4F81BD" w:themeColor="accent1"/>
            </w:tcBorders>
            <w:vAlign w:val="center"/>
            <w:hideMark/>
          </w:tcPr>
          <w:p w:rsidR="00671FBC" w:rsidRPr="00843EDC" w:rsidRDefault="00671FBC" w:rsidP="00671FBC">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16"/>
                <w:szCs w:val="16"/>
              </w:rPr>
            </w:pPr>
          </w:p>
        </w:tc>
      </w:tr>
      <w:tr w:rsidR="00671FBC" w:rsidRPr="00843EDC" w:rsidTr="00671FBC">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3027" w:type="dxa"/>
            <w:vMerge/>
            <w:tcBorders>
              <w:top w:val="single" w:sz="4" w:space="0" w:color="auto"/>
              <w:right w:val="nil"/>
            </w:tcBorders>
            <w:vAlign w:val="center"/>
            <w:hideMark/>
          </w:tcPr>
          <w:p w:rsidR="00671FBC" w:rsidRPr="00843EDC" w:rsidRDefault="00671FBC" w:rsidP="00671FBC">
            <w:pPr>
              <w:spacing w:after="0" w:line="240" w:lineRule="auto"/>
              <w:rPr>
                <w:rFonts w:eastAsia="MS Mincho" w:cs="Calibri"/>
                <w:sz w:val="16"/>
                <w:szCs w:val="16"/>
                <w:lang w:eastAsia="ja-JP"/>
              </w:rPr>
            </w:pPr>
          </w:p>
        </w:tc>
        <w:tc>
          <w:tcPr>
            <w:cnfStyle w:val="000010000000" w:firstRow="0" w:lastRow="0" w:firstColumn="0" w:lastColumn="0" w:oddVBand="1" w:evenVBand="0" w:oddHBand="0" w:evenHBand="0" w:firstRowFirstColumn="0" w:firstRowLastColumn="0" w:lastRowFirstColumn="0" w:lastRowLastColumn="0"/>
            <w:tcW w:w="6260" w:type="dxa"/>
            <w:shd w:val="clear" w:color="auto" w:fill="DBE5F1" w:themeFill="accent1" w:themeFillTint="33"/>
            <w:hideMark/>
          </w:tcPr>
          <w:p w:rsidR="00671FBC" w:rsidRPr="00843EDC" w:rsidRDefault="00671FBC" w:rsidP="00671FBC">
            <w:pPr>
              <w:autoSpaceDE w:val="0"/>
              <w:autoSpaceDN w:val="0"/>
              <w:adjustRightInd w:val="0"/>
              <w:rPr>
                <w:rFonts w:eastAsia="MS Mincho" w:cs="Calibri"/>
                <w:sz w:val="16"/>
                <w:szCs w:val="16"/>
                <w:lang w:eastAsia="ja-JP"/>
              </w:rPr>
            </w:pPr>
            <w:r w:rsidRPr="00843EDC">
              <w:rPr>
                <w:rFonts w:eastAsia="MS Mincho" w:cs="Calibri"/>
                <w:sz w:val="16"/>
                <w:szCs w:val="16"/>
                <w:lang w:eastAsia="ja-JP"/>
              </w:rPr>
              <w:t>Prilagodba obrazovnog sustava i tržišta rada potrebama investitora</w:t>
            </w:r>
          </w:p>
        </w:tc>
        <w:tc>
          <w:tcPr>
            <w:tcW w:w="2247" w:type="dxa"/>
            <w:gridSpan w:val="2"/>
            <w:vMerge/>
            <w:tcBorders>
              <w:left w:val="single" w:sz="8" w:space="0" w:color="4F81BD" w:themeColor="accent1"/>
            </w:tcBorders>
            <w:vAlign w:val="center"/>
            <w:hideMark/>
          </w:tcPr>
          <w:p w:rsidR="00671FBC" w:rsidRPr="00843EDC" w:rsidRDefault="00671FBC" w:rsidP="00671FBC">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cnfStyle w:val="000010000000" w:firstRow="0" w:lastRow="0" w:firstColumn="0" w:lastColumn="0" w:oddVBand="1" w:evenVBand="0" w:oddHBand="0" w:evenHBand="0" w:firstRowFirstColumn="0" w:firstRowLastColumn="0" w:lastRowFirstColumn="0" w:lastRowLastColumn="0"/>
            <w:tcW w:w="5508" w:type="dxa"/>
            <w:gridSpan w:val="2"/>
            <w:vMerge/>
            <w:vAlign w:val="center"/>
            <w:hideMark/>
          </w:tcPr>
          <w:p w:rsidR="00671FBC" w:rsidRPr="00843EDC" w:rsidRDefault="00671FBC" w:rsidP="00671FBC">
            <w:pPr>
              <w:spacing w:after="0" w:line="240" w:lineRule="auto"/>
              <w:rPr>
                <w:rFonts w:cs="Calibri"/>
                <w:sz w:val="16"/>
                <w:szCs w:val="16"/>
              </w:rPr>
            </w:pPr>
          </w:p>
        </w:tc>
        <w:tc>
          <w:tcPr>
            <w:tcW w:w="1530" w:type="dxa"/>
            <w:vMerge/>
            <w:tcBorders>
              <w:top w:val="single" w:sz="4" w:space="0" w:color="auto"/>
              <w:left w:val="nil"/>
            </w:tcBorders>
            <w:vAlign w:val="center"/>
            <w:hideMark/>
          </w:tcPr>
          <w:p w:rsidR="00671FBC" w:rsidRPr="00843EDC" w:rsidRDefault="00671FBC" w:rsidP="00671FBC">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16"/>
                <w:szCs w:val="16"/>
              </w:rPr>
            </w:pPr>
          </w:p>
        </w:tc>
      </w:tr>
      <w:tr w:rsidR="00671FBC" w:rsidRPr="00843EDC" w:rsidTr="00671FBC">
        <w:trPr>
          <w:trHeight w:val="412"/>
        </w:trPr>
        <w:tc>
          <w:tcPr>
            <w:cnfStyle w:val="001000000000" w:firstRow="0" w:lastRow="0" w:firstColumn="1" w:lastColumn="0" w:oddVBand="0" w:evenVBand="0" w:oddHBand="0" w:evenHBand="0" w:firstRowFirstColumn="0" w:firstRowLastColumn="0" w:lastRowFirstColumn="0" w:lastRowLastColumn="0"/>
            <w:tcW w:w="3027" w:type="dxa"/>
            <w:vMerge/>
            <w:tcBorders>
              <w:top w:val="single" w:sz="4" w:space="0" w:color="auto"/>
              <w:left w:val="single" w:sz="8" w:space="0" w:color="4F81BD" w:themeColor="accent1"/>
              <w:bottom w:val="single" w:sz="8" w:space="0" w:color="4F81BD" w:themeColor="accent1"/>
              <w:right w:val="nil"/>
            </w:tcBorders>
            <w:vAlign w:val="center"/>
            <w:hideMark/>
          </w:tcPr>
          <w:p w:rsidR="00671FBC" w:rsidRPr="00843EDC" w:rsidRDefault="00671FBC" w:rsidP="00671FBC">
            <w:pPr>
              <w:spacing w:after="0" w:line="240" w:lineRule="auto"/>
              <w:rPr>
                <w:rFonts w:eastAsia="MS Mincho" w:cs="Calibri"/>
                <w:sz w:val="16"/>
                <w:szCs w:val="16"/>
                <w:lang w:eastAsia="ja-JP"/>
              </w:rPr>
            </w:pPr>
          </w:p>
        </w:tc>
        <w:tc>
          <w:tcPr>
            <w:cnfStyle w:val="000010000000" w:firstRow="0" w:lastRow="0" w:firstColumn="0" w:lastColumn="0" w:oddVBand="1" w:evenVBand="0" w:oddHBand="0" w:evenHBand="0" w:firstRowFirstColumn="0" w:firstRowLastColumn="0" w:lastRowFirstColumn="0" w:lastRowLastColumn="0"/>
            <w:tcW w:w="6260" w:type="dxa"/>
            <w:tcBorders>
              <w:top w:val="single" w:sz="8" w:space="0" w:color="4F81BD" w:themeColor="accent1"/>
              <w:bottom w:val="single" w:sz="8" w:space="0" w:color="4F81BD" w:themeColor="accent1"/>
            </w:tcBorders>
            <w:shd w:val="clear" w:color="auto" w:fill="DBE5F1" w:themeFill="accent1" w:themeFillTint="33"/>
            <w:hideMark/>
          </w:tcPr>
          <w:p w:rsidR="00671FBC" w:rsidRPr="00843EDC" w:rsidRDefault="00671FBC" w:rsidP="00671FBC">
            <w:pPr>
              <w:spacing w:beforeLines="20" w:before="48"/>
              <w:rPr>
                <w:rFonts w:cs="Calibri"/>
                <w:sz w:val="16"/>
                <w:szCs w:val="16"/>
              </w:rPr>
            </w:pPr>
            <w:r w:rsidRPr="00843EDC">
              <w:rPr>
                <w:rFonts w:cs="Calibri"/>
                <w:sz w:val="16"/>
                <w:szCs w:val="16"/>
              </w:rPr>
              <w:t>Stvaranje poticajnog okruženja za investicije u istraživanje, razvoj, inovacije i KET tehnologije</w:t>
            </w:r>
          </w:p>
        </w:tc>
        <w:tc>
          <w:tcPr>
            <w:tcW w:w="2247" w:type="dxa"/>
            <w:gridSpan w:val="2"/>
            <w:vMerge/>
            <w:tcBorders>
              <w:top w:val="single" w:sz="8" w:space="0" w:color="4F81BD" w:themeColor="accent1"/>
              <w:left w:val="single" w:sz="8" w:space="0" w:color="4F81BD" w:themeColor="accent1"/>
              <w:bottom w:val="single" w:sz="8" w:space="0" w:color="4F81BD" w:themeColor="accent1"/>
            </w:tcBorders>
            <w:vAlign w:val="center"/>
            <w:hideMark/>
          </w:tcPr>
          <w:p w:rsidR="00671FBC" w:rsidRPr="00843EDC" w:rsidRDefault="00671FBC" w:rsidP="00671FBC">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16"/>
                <w:szCs w:val="16"/>
              </w:rPr>
            </w:pPr>
          </w:p>
        </w:tc>
        <w:tc>
          <w:tcPr>
            <w:cnfStyle w:val="000010000000" w:firstRow="0" w:lastRow="0" w:firstColumn="0" w:lastColumn="0" w:oddVBand="1" w:evenVBand="0" w:oddHBand="0" w:evenHBand="0" w:firstRowFirstColumn="0" w:firstRowLastColumn="0" w:lastRowFirstColumn="0" w:lastRowLastColumn="0"/>
            <w:tcW w:w="5508" w:type="dxa"/>
            <w:gridSpan w:val="2"/>
            <w:vMerge/>
            <w:tcBorders>
              <w:top w:val="single" w:sz="8" w:space="0" w:color="4F81BD" w:themeColor="accent1"/>
              <w:bottom w:val="single" w:sz="8" w:space="0" w:color="4F81BD" w:themeColor="accent1"/>
            </w:tcBorders>
            <w:vAlign w:val="center"/>
            <w:hideMark/>
          </w:tcPr>
          <w:p w:rsidR="00671FBC" w:rsidRPr="00843EDC" w:rsidRDefault="00671FBC" w:rsidP="00671FBC">
            <w:pPr>
              <w:spacing w:after="0" w:line="240" w:lineRule="auto"/>
              <w:rPr>
                <w:rFonts w:cs="Calibri"/>
                <w:sz w:val="16"/>
                <w:szCs w:val="16"/>
              </w:rPr>
            </w:pPr>
          </w:p>
        </w:tc>
        <w:tc>
          <w:tcPr>
            <w:tcW w:w="1530" w:type="dxa"/>
            <w:vMerge/>
            <w:tcBorders>
              <w:top w:val="single" w:sz="4" w:space="0" w:color="auto"/>
              <w:left w:val="nil"/>
              <w:bottom w:val="single" w:sz="8" w:space="0" w:color="4F81BD" w:themeColor="accent1"/>
              <w:right w:val="single" w:sz="8" w:space="0" w:color="4F81BD" w:themeColor="accent1"/>
            </w:tcBorders>
            <w:vAlign w:val="center"/>
            <w:hideMark/>
          </w:tcPr>
          <w:p w:rsidR="00671FBC" w:rsidRPr="00843EDC" w:rsidRDefault="00671FBC" w:rsidP="00671FBC">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16"/>
                <w:szCs w:val="16"/>
              </w:rPr>
            </w:pPr>
          </w:p>
        </w:tc>
      </w:tr>
      <w:tr w:rsidR="00671FBC" w:rsidRPr="00843EDC" w:rsidTr="00671FBC">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3027" w:type="dxa"/>
            <w:vMerge/>
            <w:tcBorders>
              <w:top w:val="single" w:sz="4" w:space="0" w:color="auto"/>
              <w:right w:val="nil"/>
            </w:tcBorders>
            <w:vAlign w:val="center"/>
            <w:hideMark/>
          </w:tcPr>
          <w:p w:rsidR="00671FBC" w:rsidRPr="00843EDC" w:rsidRDefault="00671FBC" w:rsidP="00671FBC">
            <w:pPr>
              <w:spacing w:after="0" w:line="240" w:lineRule="auto"/>
              <w:rPr>
                <w:rFonts w:eastAsia="MS Mincho" w:cs="Calibri"/>
                <w:sz w:val="16"/>
                <w:szCs w:val="16"/>
                <w:lang w:eastAsia="ja-JP"/>
              </w:rPr>
            </w:pPr>
          </w:p>
        </w:tc>
        <w:tc>
          <w:tcPr>
            <w:cnfStyle w:val="000010000000" w:firstRow="0" w:lastRow="0" w:firstColumn="0" w:lastColumn="0" w:oddVBand="1" w:evenVBand="0" w:oddHBand="0" w:evenHBand="0" w:firstRowFirstColumn="0" w:firstRowLastColumn="0" w:lastRowFirstColumn="0" w:lastRowLastColumn="0"/>
            <w:tcW w:w="6260" w:type="dxa"/>
            <w:shd w:val="clear" w:color="auto" w:fill="DBE5F1" w:themeFill="accent1" w:themeFillTint="33"/>
            <w:hideMark/>
          </w:tcPr>
          <w:p w:rsidR="00671FBC" w:rsidRPr="00843EDC" w:rsidRDefault="00671FBC" w:rsidP="00671FBC">
            <w:pPr>
              <w:spacing w:beforeLines="20" w:before="48"/>
              <w:rPr>
                <w:rFonts w:cs="Calibri"/>
                <w:sz w:val="16"/>
                <w:szCs w:val="16"/>
              </w:rPr>
            </w:pPr>
            <w:r w:rsidRPr="00843EDC">
              <w:rPr>
                <w:rFonts w:cs="Calibri"/>
                <w:sz w:val="16"/>
                <w:szCs w:val="16"/>
              </w:rPr>
              <w:t>Jačanje investicijskog potencijala turizma</w:t>
            </w:r>
          </w:p>
        </w:tc>
        <w:tc>
          <w:tcPr>
            <w:tcW w:w="2247" w:type="dxa"/>
            <w:gridSpan w:val="2"/>
            <w:vMerge/>
            <w:tcBorders>
              <w:left w:val="single" w:sz="8" w:space="0" w:color="4F81BD" w:themeColor="accent1"/>
            </w:tcBorders>
            <w:vAlign w:val="center"/>
            <w:hideMark/>
          </w:tcPr>
          <w:p w:rsidR="00671FBC" w:rsidRPr="00843EDC" w:rsidRDefault="00671FBC" w:rsidP="00671FBC">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cnfStyle w:val="000010000000" w:firstRow="0" w:lastRow="0" w:firstColumn="0" w:lastColumn="0" w:oddVBand="1" w:evenVBand="0" w:oddHBand="0" w:evenHBand="0" w:firstRowFirstColumn="0" w:firstRowLastColumn="0" w:lastRowFirstColumn="0" w:lastRowLastColumn="0"/>
            <w:tcW w:w="5508" w:type="dxa"/>
            <w:gridSpan w:val="2"/>
            <w:vMerge/>
            <w:vAlign w:val="center"/>
            <w:hideMark/>
          </w:tcPr>
          <w:p w:rsidR="00671FBC" w:rsidRPr="00843EDC" w:rsidRDefault="00671FBC" w:rsidP="00671FBC">
            <w:pPr>
              <w:spacing w:after="0" w:line="240" w:lineRule="auto"/>
              <w:rPr>
                <w:rFonts w:cs="Calibri"/>
                <w:sz w:val="16"/>
                <w:szCs w:val="16"/>
              </w:rPr>
            </w:pPr>
          </w:p>
        </w:tc>
        <w:tc>
          <w:tcPr>
            <w:tcW w:w="1530" w:type="dxa"/>
            <w:vMerge/>
            <w:tcBorders>
              <w:top w:val="single" w:sz="4" w:space="0" w:color="auto"/>
              <w:left w:val="nil"/>
            </w:tcBorders>
            <w:vAlign w:val="center"/>
            <w:hideMark/>
          </w:tcPr>
          <w:p w:rsidR="00671FBC" w:rsidRPr="00843EDC" w:rsidRDefault="00671FBC" w:rsidP="00671FBC">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16"/>
                <w:szCs w:val="16"/>
              </w:rPr>
            </w:pPr>
          </w:p>
        </w:tc>
      </w:tr>
      <w:tr w:rsidR="00671FBC" w:rsidRPr="00843EDC" w:rsidTr="00671FBC">
        <w:trPr>
          <w:trHeight w:val="412"/>
        </w:trPr>
        <w:tc>
          <w:tcPr>
            <w:cnfStyle w:val="001000000000" w:firstRow="0" w:lastRow="0" w:firstColumn="1" w:lastColumn="0" w:oddVBand="0" w:evenVBand="0" w:oddHBand="0" w:evenHBand="0" w:firstRowFirstColumn="0" w:firstRowLastColumn="0" w:lastRowFirstColumn="0" w:lastRowLastColumn="0"/>
            <w:tcW w:w="3027" w:type="dxa"/>
            <w:vMerge/>
            <w:tcBorders>
              <w:top w:val="single" w:sz="4" w:space="0" w:color="auto"/>
              <w:left w:val="single" w:sz="8" w:space="0" w:color="4F81BD" w:themeColor="accent1"/>
              <w:bottom w:val="single" w:sz="8" w:space="0" w:color="4F81BD" w:themeColor="accent1"/>
              <w:right w:val="nil"/>
            </w:tcBorders>
            <w:vAlign w:val="center"/>
            <w:hideMark/>
          </w:tcPr>
          <w:p w:rsidR="00671FBC" w:rsidRPr="00843EDC" w:rsidRDefault="00671FBC" w:rsidP="00671FBC">
            <w:pPr>
              <w:spacing w:after="0" w:line="240" w:lineRule="auto"/>
              <w:rPr>
                <w:rFonts w:eastAsia="MS Mincho" w:cs="Calibri"/>
                <w:sz w:val="16"/>
                <w:szCs w:val="16"/>
                <w:lang w:eastAsia="ja-JP"/>
              </w:rPr>
            </w:pPr>
          </w:p>
        </w:tc>
        <w:tc>
          <w:tcPr>
            <w:cnfStyle w:val="000010000000" w:firstRow="0" w:lastRow="0" w:firstColumn="0" w:lastColumn="0" w:oddVBand="1" w:evenVBand="0" w:oddHBand="0" w:evenHBand="0" w:firstRowFirstColumn="0" w:firstRowLastColumn="0" w:lastRowFirstColumn="0" w:lastRowLastColumn="0"/>
            <w:tcW w:w="6260" w:type="dxa"/>
            <w:tcBorders>
              <w:top w:val="single" w:sz="8" w:space="0" w:color="4F81BD" w:themeColor="accent1"/>
              <w:bottom w:val="single" w:sz="8" w:space="0" w:color="4F81BD" w:themeColor="accent1"/>
            </w:tcBorders>
            <w:shd w:val="clear" w:color="auto" w:fill="DBE5F1" w:themeFill="accent1" w:themeFillTint="33"/>
            <w:hideMark/>
          </w:tcPr>
          <w:p w:rsidR="00671FBC" w:rsidRPr="00843EDC" w:rsidRDefault="00671FBC" w:rsidP="00671FBC">
            <w:pPr>
              <w:spacing w:line="264" w:lineRule="auto"/>
              <w:ind w:right="480"/>
              <w:rPr>
                <w:rFonts w:eastAsia="MS Mincho" w:cs="Calibri"/>
                <w:sz w:val="16"/>
                <w:szCs w:val="16"/>
                <w:lang w:eastAsia="ja-JP"/>
              </w:rPr>
            </w:pPr>
            <w:r w:rsidRPr="00843EDC">
              <w:rPr>
                <w:bCs/>
                <w:sz w:val="16"/>
                <w:szCs w:val="16"/>
              </w:rPr>
              <w:t>Razvoj, unaprjeđenje i stavljanje u funkciju investitora regionalne infrastrukture</w:t>
            </w:r>
          </w:p>
        </w:tc>
        <w:tc>
          <w:tcPr>
            <w:tcW w:w="2247" w:type="dxa"/>
            <w:gridSpan w:val="2"/>
            <w:vMerge/>
            <w:tcBorders>
              <w:top w:val="single" w:sz="8" w:space="0" w:color="4F81BD" w:themeColor="accent1"/>
              <w:left w:val="single" w:sz="8" w:space="0" w:color="4F81BD" w:themeColor="accent1"/>
              <w:bottom w:val="single" w:sz="8" w:space="0" w:color="4F81BD" w:themeColor="accent1"/>
            </w:tcBorders>
            <w:vAlign w:val="center"/>
            <w:hideMark/>
          </w:tcPr>
          <w:p w:rsidR="00671FBC" w:rsidRPr="00843EDC" w:rsidRDefault="00671FBC" w:rsidP="00671FBC">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16"/>
                <w:szCs w:val="16"/>
              </w:rPr>
            </w:pPr>
          </w:p>
        </w:tc>
        <w:tc>
          <w:tcPr>
            <w:cnfStyle w:val="000010000000" w:firstRow="0" w:lastRow="0" w:firstColumn="0" w:lastColumn="0" w:oddVBand="1" w:evenVBand="0" w:oddHBand="0" w:evenHBand="0" w:firstRowFirstColumn="0" w:firstRowLastColumn="0" w:lastRowFirstColumn="0" w:lastRowLastColumn="0"/>
            <w:tcW w:w="5508" w:type="dxa"/>
            <w:gridSpan w:val="2"/>
            <w:vMerge/>
            <w:tcBorders>
              <w:top w:val="single" w:sz="8" w:space="0" w:color="4F81BD" w:themeColor="accent1"/>
              <w:bottom w:val="single" w:sz="8" w:space="0" w:color="4F81BD" w:themeColor="accent1"/>
            </w:tcBorders>
            <w:vAlign w:val="center"/>
            <w:hideMark/>
          </w:tcPr>
          <w:p w:rsidR="00671FBC" w:rsidRPr="00843EDC" w:rsidRDefault="00671FBC" w:rsidP="00671FBC">
            <w:pPr>
              <w:spacing w:after="0" w:line="240" w:lineRule="auto"/>
              <w:rPr>
                <w:rFonts w:cs="Calibri"/>
                <w:sz w:val="16"/>
                <w:szCs w:val="16"/>
              </w:rPr>
            </w:pPr>
          </w:p>
        </w:tc>
        <w:tc>
          <w:tcPr>
            <w:tcW w:w="1530" w:type="dxa"/>
            <w:vMerge/>
            <w:tcBorders>
              <w:top w:val="single" w:sz="4" w:space="0" w:color="auto"/>
              <w:left w:val="nil"/>
              <w:bottom w:val="single" w:sz="8" w:space="0" w:color="4F81BD" w:themeColor="accent1"/>
              <w:right w:val="single" w:sz="8" w:space="0" w:color="4F81BD" w:themeColor="accent1"/>
            </w:tcBorders>
            <w:vAlign w:val="center"/>
            <w:hideMark/>
          </w:tcPr>
          <w:p w:rsidR="00671FBC" w:rsidRPr="00843EDC" w:rsidRDefault="00671FBC" w:rsidP="00671FBC">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16"/>
                <w:szCs w:val="16"/>
              </w:rPr>
            </w:pPr>
          </w:p>
        </w:tc>
      </w:tr>
      <w:tr w:rsidR="00671FBC" w:rsidRPr="00843EDC" w:rsidTr="00671FBC">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3027" w:type="dxa"/>
            <w:vMerge w:val="restart"/>
            <w:tcBorders>
              <w:right w:val="nil"/>
            </w:tcBorders>
          </w:tcPr>
          <w:p w:rsidR="00671FBC" w:rsidRPr="00843EDC" w:rsidRDefault="00671FBC" w:rsidP="00671FBC">
            <w:pPr>
              <w:spacing w:line="264" w:lineRule="auto"/>
              <w:ind w:right="480"/>
              <w:rPr>
                <w:rFonts w:cs="Calibri"/>
                <w:sz w:val="16"/>
                <w:szCs w:val="16"/>
              </w:rPr>
            </w:pPr>
            <w:r w:rsidRPr="00843EDC">
              <w:rPr>
                <w:rFonts w:eastAsia="MS Mincho" w:cs="Calibri"/>
                <w:sz w:val="16"/>
                <w:szCs w:val="16"/>
                <w:lang w:eastAsia="ja-JP"/>
              </w:rPr>
              <w:t xml:space="preserve">1.1. Unapređenje zakonodavnog </w:t>
            </w:r>
            <w:r w:rsidR="00C91A1D">
              <w:rPr>
                <w:rFonts w:eastAsia="MS Mincho" w:cs="Calibri"/>
                <w:sz w:val="16"/>
                <w:szCs w:val="16"/>
                <w:lang w:eastAsia="ja-JP"/>
              </w:rPr>
              <w:t xml:space="preserve"> </w:t>
            </w:r>
            <w:r w:rsidRPr="00843EDC">
              <w:rPr>
                <w:rFonts w:eastAsia="MS Mincho" w:cs="Calibri"/>
                <w:sz w:val="16"/>
                <w:szCs w:val="16"/>
                <w:lang w:eastAsia="ja-JP"/>
              </w:rPr>
              <w:t>i institucionalnog okvira i  uklanjanje administrativnih barijera za investicije</w:t>
            </w:r>
          </w:p>
          <w:p w:rsidR="00671FBC" w:rsidRPr="00843EDC" w:rsidRDefault="00671FBC" w:rsidP="00671FBC">
            <w:pPr>
              <w:tabs>
                <w:tab w:val="left" w:pos="9072"/>
              </w:tabs>
              <w:spacing w:line="288" w:lineRule="auto"/>
              <w:jc w:val="both"/>
              <w:rPr>
                <w:rFonts w:eastAsia="MS Mincho" w:cs="Calibri"/>
                <w:sz w:val="16"/>
                <w:szCs w:val="16"/>
                <w:lang w:eastAsia="ja-JP"/>
              </w:rPr>
            </w:pPr>
          </w:p>
        </w:tc>
        <w:tc>
          <w:tcPr>
            <w:cnfStyle w:val="000010000000" w:firstRow="0" w:lastRow="0" w:firstColumn="0" w:lastColumn="0" w:oddVBand="1" w:evenVBand="0" w:oddHBand="0" w:evenHBand="0" w:firstRowFirstColumn="0" w:firstRowLastColumn="0" w:lastRowFirstColumn="0" w:lastRowLastColumn="0"/>
            <w:tcW w:w="6260" w:type="dxa"/>
            <w:hideMark/>
          </w:tcPr>
          <w:p w:rsidR="00671FBC" w:rsidRPr="00843EDC" w:rsidRDefault="00671FBC" w:rsidP="00671FBC">
            <w:pPr>
              <w:autoSpaceDE w:val="0"/>
              <w:autoSpaceDN w:val="0"/>
              <w:adjustRightInd w:val="0"/>
              <w:jc w:val="both"/>
              <w:rPr>
                <w:rFonts w:cs="Calibri"/>
                <w:b/>
                <w:sz w:val="16"/>
                <w:szCs w:val="16"/>
              </w:rPr>
            </w:pPr>
            <w:r w:rsidRPr="00843EDC">
              <w:rPr>
                <w:rFonts w:cs="Calibri"/>
                <w:sz w:val="16"/>
                <w:szCs w:val="16"/>
              </w:rPr>
              <w:t>Analizirati i identificirati ključne odrednice i prioritete unaprjeđivanja poslovne i</w:t>
            </w:r>
            <w:r w:rsidRPr="00843EDC">
              <w:rPr>
                <w:rFonts w:cs="Calibri"/>
                <w:b/>
                <w:sz w:val="16"/>
                <w:szCs w:val="16"/>
              </w:rPr>
              <w:t xml:space="preserve"> </w:t>
            </w:r>
            <w:r w:rsidRPr="00843EDC">
              <w:rPr>
                <w:rFonts w:cs="Calibri"/>
                <w:sz w:val="16"/>
                <w:szCs w:val="16"/>
              </w:rPr>
              <w:t>investicijske klime u RH</w:t>
            </w:r>
          </w:p>
        </w:tc>
        <w:tc>
          <w:tcPr>
            <w:tcW w:w="1113" w:type="dxa"/>
            <w:gridSpan w:val="2"/>
            <w:vMerge w:val="restart"/>
            <w:tcBorders>
              <w:left w:val="nil"/>
              <w:right w:val="nil"/>
            </w:tcBorders>
            <w:shd w:val="clear" w:color="auto" w:fill="FFFFFF" w:themeFill="background1"/>
            <w:hideMark/>
          </w:tcPr>
          <w:p w:rsidR="00671FBC" w:rsidRPr="00843EDC" w:rsidRDefault="00671FBC" w:rsidP="00671FBC">
            <w:pPr>
              <w:cnfStyle w:val="000000100000" w:firstRow="0" w:lastRow="0" w:firstColumn="0" w:lastColumn="0" w:oddVBand="0" w:evenVBand="0" w:oddHBand="1" w:evenHBand="0" w:firstRowFirstColumn="0" w:firstRowLastColumn="0" w:lastRowFirstColumn="0" w:lastRowLastColumn="0"/>
              <w:rPr>
                <w:rFonts w:cs="Calibri"/>
                <w:sz w:val="16"/>
                <w:szCs w:val="16"/>
              </w:rPr>
            </w:pPr>
            <w:r w:rsidRPr="00843EDC">
              <w:rPr>
                <w:rFonts w:cs="Calibri"/>
                <w:sz w:val="16"/>
                <w:szCs w:val="16"/>
              </w:rPr>
              <w:t>MINGO, MINPO</w:t>
            </w:r>
          </w:p>
        </w:tc>
        <w:tc>
          <w:tcPr>
            <w:cnfStyle w:val="000010000000" w:firstRow="0" w:lastRow="0" w:firstColumn="0" w:lastColumn="0" w:oddVBand="1" w:evenVBand="0" w:oddHBand="0" w:evenHBand="0" w:firstRowFirstColumn="0" w:firstRowLastColumn="0" w:lastRowFirstColumn="0" w:lastRowLastColumn="0"/>
            <w:tcW w:w="2782" w:type="dxa"/>
            <w:gridSpan w:val="2"/>
            <w:vMerge w:val="restart"/>
            <w:hideMark/>
          </w:tcPr>
          <w:p w:rsidR="00671FBC" w:rsidRPr="00843EDC" w:rsidRDefault="00671FBC" w:rsidP="00C91A1D">
            <w:pPr>
              <w:spacing w:line="288" w:lineRule="auto"/>
              <w:rPr>
                <w:rFonts w:cs="Calibri"/>
                <w:sz w:val="16"/>
                <w:szCs w:val="16"/>
              </w:rPr>
            </w:pPr>
            <w:r w:rsidRPr="00843EDC">
              <w:rPr>
                <w:rFonts w:cs="Calibri"/>
                <w:sz w:val="16"/>
                <w:szCs w:val="16"/>
              </w:rPr>
              <w:t xml:space="preserve">AIK, HAMAG </w:t>
            </w:r>
            <w:r w:rsidR="00C91A1D">
              <w:rPr>
                <w:rFonts w:cs="Calibri"/>
                <w:sz w:val="16"/>
                <w:szCs w:val="16"/>
              </w:rPr>
              <w:t>- BICRO</w:t>
            </w:r>
            <w:r w:rsidRPr="00843EDC">
              <w:rPr>
                <w:rFonts w:cs="Calibri"/>
                <w:sz w:val="16"/>
                <w:szCs w:val="16"/>
              </w:rPr>
              <w:t xml:space="preserve">, Resorna središnja tijela državne uprave , </w:t>
            </w:r>
            <w:r w:rsidRPr="00843EDC">
              <w:rPr>
                <w:sz w:val="16"/>
                <w:szCs w:val="16"/>
              </w:rPr>
              <w:t xml:space="preserve"> Jedinice lokalne i područne (regionalne) samouprave</w:t>
            </w:r>
            <w:r w:rsidRPr="00843EDC">
              <w:rPr>
                <w:rFonts w:cs="Calibri"/>
                <w:sz w:val="16"/>
                <w:szCs w:val="16"/>
              </w:rPr>
              <w:t>, Županijske razvojne agencije, HGK, HUP</w:t>
            </w:r>
          </w:p>
        </w:tc>
        <w:tc>
          <w:tcPr>
            <w:tcW w:w="1530" w:type="dxa"/>
            <w:vMerge w:val="restart"/>
            <w:tcBorders>
              <w:left w:val="nil"/>
            </w:tcBorders>
            <w:hideMark/>
          </w:tcPr>
          <w:p w:rsidR="00671FBC" w:rsidRPr="00843EDC" w:rsidRDefault="00671FBC" w:rsidP="00671FBC">
            <w:pPr>
              <w:spacing w:line="288" w:lineRule="auto"/>
              <w:jc w:val="both"/>
              <w:cnfStyle w:val="000000100000" w:firstRow="0" w:lastRow="0" w:firstColumn="0" w:lastColumn="0" w:oddVBand="0" w:evenVBand="0" w:oddHBand="1" w:evenHBand="0" w:firstRowFirstColumn="0" w:firstRowLastColumn="0" w:lastRowFirstColumn="0" w:lastRowLastColumn="0"/>
              <w:rPr>
                <w:rFonts w:cs="Calibri"/>
                <w:sz w:val="16"/>
                <w:szCs w:val="16"/>
              </w:rPr>
            </w:pPr>
            <w:r w:rsidRPr="00843EDC">
              <w:rPr>
                <w:rFonts w:cs="Calibri"/>
                <w:sz w:val="16"/>
                <w:szCs w:val="16"/>
              </w:rPr>
              <w:t>Kontinuirano</w:t>
            </w:r>
          </w:p>
        </w:tc>
      </w:tr>
      <w:tr w:rsidR="00671FBC" w:rsidRPr="00843EDC" w:rsidTr="00671FBC">
        <w:trPr>
          <w:trHeight w:val="997"/>
        </w:trPr>
        <w:tc>
          <w:tcPr>
            <w:cnfStyle w:val="001000000000" w:firstRow="0" w:lastRow="0" w:firstColumn="1" w:lastColumn="0" w:oddVBand="0" w:evenVBand="0" w:oddHBand="0" w:evenHBand="0" w:firstRowFirstColumn="0" w:firstRowLastColumn="0" w:lastRowFirstColumn="0" w:lastRowLastColumn="0"/>
            <w:tcW w:w="3027" w:type="dxa"/>
            <w:vMerge/>
            <w:tcBorders>
              <w:top w:val="single" w:sz="8" w:space="0" w:color="4F81BD" w:themeColor="accent1"/>
              <w:left w:val="single" w:sz="8" w:space="0" w:color="4F81BD" w:themeColor="accent1"/>
              <w:bottom w:val="single" w:sz="8" w:space="0" w:color="4F81BD" w:themeColor="accent1"/>
              <w:right w:val="nil"/>
            </w:tcBorders>
            <w:vAlign w:val="center"/>
            <w:hideMark/>
          </w:tcPr>
          <w:p w:rsidR="00671FBC" w:rsidRPr="00843EDC" w:rsidRDefault="00671FBC" w:rsidP="00671FBC">
            <w:pPr>
              <w:spacing w:after="0" w:line="240" w:lineRule="auto"/>
              <w:rPr>
                <w:rFonts w:eastAsia="MS Mincho" w:cs="Calibri"/>
                <w:sz w:val="16"/>
                <w:szCs w:val="16"/>
                <w:lang w:eastAsia="ja-JP"/>
              </w:rPr>
            </w:pPr>
          </w:p>
        </w:tc>
        <w:tc>
          <w:tcPr>
            <w:cnfStyle w:val="000010000000" w:firstRow="0" w:lastRow="0" w:firstColumn="0" w:lastColumn="0" w:oddVBand="1" w:evenVBand="0" w:oddHBand="0" w:evenHBand="0" w:firstRowFirstColumn="0" w:firstRowLastColumn="0" w:lastRowFirstColumn="0" w:lastRowLastColumn="0"/>
            <w:tcW w:w="6260" w:type="dxa"/>
            <w:tcBorders>
              <w:top w:val="single" w:sz="8" w:space="0" w:color="4F81BD" w:themeColor="accent1"/>
              <w:bottom w:val="single" w:sz="8" w:space="0" w:color="4F81BD" w:themeColor="accent1"/>
            </w:tcBorders>
            <w:hideMark/>
          </w:tcPr>
          <w:p w:rsidR="00671FBC" w:rsidRPr="00843EDC" w:rsidRDefault="00671FBC" w:rsidP="00671FBC">
            <w:pPr>
              <w:autoSpaceDE w:val="0"/>
              <w:autoSpaceDN w:val="0"/>
              <w:adjustRightInd w:val="0"/>
              <w:jc w:val="both"/>
              <w:rPr>
                <w:rFonts w:cs="Calibri"/>
                <w:b/>
                <w:sz w:val="16"/>
                <w:szCs w:val="16"/>
              </w:rPr>
            </w:pPr>
            <w:r w:rsidRPr="00843EDC">
              <w:rPr>
                <w:rFonts w:cs="Calibri"/>
                <w:sz w:val="16"/>
                <w:szCs w:val="16"/>
              </w:rPr>
              <w:t>Predlagati Vladi RH zakonska i druga rješenja kojima će se omogućiti poboljšanje</w:t>
            </w:r>
            <w:r w:rsidRPr="00843EDC">
              <w:rPr>
                <w:rFonts w:cs="Calibri"/>
                <w:b/>
                <w:sz w:val="16"/>
                <w:szCs w:val="16"/>
              </w:rPr>
              <w:t xml:space="preserve"> </w:t>
            </w:r>
            <w:r w:rsidRPr="00843EDC">
              <w:rPr>
                <w:rFonts w:cs="Calibri"/>
                <w:sz w:val="16"/>
                <w:szCs w:val="16"/>
              </w:rPr>
              <w:t>poslovne i investicijske klime u RH, osobito kroz uklanjanje</w:t>
            </w:r>
            <w:r w:rsidRPr="00843EDC">
              <w:rPr>
                <w:rFonts w:cs="Calibri"/>
                <w:b/>
                <w:sz w:val="16"/>
                <w:szCs w:val="16"/>
              </w:rPr>
              <w:t xml:space="preserve"> </w:t>
            </w:r>
            <w:r w:rsidRPr="00843EDC">
              <w:rPr>
                <w:rFonts w:cs="Calibri"/>
                <w:sz w:val="16"/>
                <w:szCs w:val="16"/>
              </w:rPr>
              <w:t>administrativnih i regulatornih prepreka</w:t>
            </w:r>
          </w:p>
        </w:tc>
        <w:tc>
          <w:tcPr>
            <w:tcW w:w="2247" w:type="dxa"/>
            <w:gridSpan w:val="2"/>
            <w:vMerge/>
            <w:tcBorders>
              <w:top w:val="single" w:sz="8" w:space="0" w:color="4F81BD" w:themeColor="accent1"/>
              <w:left w:val="single" w:sz="8" w:space="0" w:color="4F81BD" w:themeColor="accent1"/>
              <w:bottom w:val="single" w:sz="8" w:space="0" w:color="4F81BD" w:themeColor="accent1"/>
            </w:tcBorders>
            <w:vAlign w:val="center"/>
            <w:hideMark/>
          </w:tcPr>
          <w:p w:rsidR="00671FBC" w:rsidRPr="00843EDC" w:rsidRDefault="00671FBC" w:rsidP="00671FBC">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16"/>
                <w:szCs w:val="16"/>
              </w:rPr>
            </w:pPr>
          </w:p>
        </w:tc>
        <w:tc>
          <w:tcPr>
            <w:cnfStyle w:val="000010000000" w:firstRow="0" w:lastRow="0" w:firstColumn="0" w:lastColumn="0" w:oddVBand="1" w:evenVBand="0" w:oddHBand="0" w:evenHBand="0" w:firstRowFirstColumn="0" w:firstRowLastColumn="0" w:lastRowFirstColumn="0" w:lastRowLastColumn="0"/>
            <w:tcW w:w="5508" w:type="dxa"/>
            <w:gridSpan w:val="2"/>
            <w:vMerge/>
            <w:tcBorders>
              <w:top w:val="single" w:sz="8" w:space="0" w:color="4F81BD" w:themeColor="accent1"/>
              <w:bottom w:val="single" w:sz="8" w:space="0" w:color="4F81BD" w:themeColor="accent1"/>
            </w:tcBorders>
            <w:vAlign w:val="center"/>
            <w:hideMark/>
          </w:tcPr>
          <w:p w:rsidR="00671FBC" w:rsidRPr="00843EDC" w:rsidRDefault="00671FBC" w:rsidP="00671FBC">
            <w:pPr>
              <w:spacing w:after="0" w:line="240" w:lineRule="auto"/>
              <w:rPr>
                <w:rFonts w:cs="Calibri"/>
                <w:sz w:val="16"/>
                <w:szCs w:val="16"/>
              </w:rPr>
            </w:pPr>
          </w:p>
        </w:tc>
        <w:tc>
          <w:tcPr>
            <w:tcW w:w="1530" w:type="dxa"/>
            <w:vMerge/>
            <w:tcBorders>
              <w:top w:val="single" w:sz="8" w:space="0" w:color="4F81BD" w:themeColor="accent1"/>
              <w:left w:val="nil"/>
              <w:bottom w:val="single" w:sz="8" w:space="0" w:color="4F81BD" w:themeColor="accent1"/>
              <w:right w:val="single" w:sz="8" w:space="0" w:color="4F81BD" w:themeColor="accent1"/>
            </w:tcBorders>
            <w:vAlign w:val="center"/>
            <w:hideMark/>
          </w:tcPr>
          <w:p w:rsidR="00671FBC" w:rsidRPr="00843EDC" w:rsidRDefault="00671FBC" w:rsidP="00671FBC">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16"/>
                <w:szCs w:val="16"/>
              </w:rPr>
            </w:pPr>
          </w:p>
        </w:tc>
      </w:tr>
      <w:tr w:rsidR="00671FBC" w:rsidRPr="00843EDC" w:rsidTr="00671FBC">
        <w:trPr>
          <w:cnfStyle w:val="000000100000" w:firstRow="0" w:lastRow="0" w:firstColumn="0" w:lastColumn="0" w:oddVBand="0" w:evenVBand="0" w:oddHBand="1"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3027" w:type="dxa"/>
            <w:vMerge/>
            <w:tcBorders>
              <w:right w:val="nil"/>
            </w:tcBorders>
            <w:vAlign w:val="center"/>
            <w:hideMark/>
          </w:tcPr>
          <w:p w:rsidR="00671FBC" w:rsidRPr="00843EDC" w:rsidRDefault="00671FBC" w:rsidP="00671FBC">
            <w:pPr>
              <w:spacing w:after="0" w:line="240" w:lineRule="auto"/>
              <w:rPr>
                <w:rFonts w:eastAsia="MS Mincho" w:cs="Calibri"/>
                <w:sz w:val="16"/>
                <w:szCs w:val="16"/>
                <w:lang w:eastAsia="ja-JP"/>
              </w:rPr>
            </w:pPr>
          </w:p>
        </w:tc>
        <w:tc>
          <w:tcPr>
            <w:cnfStyle w:val="000010000000" w:firstRow="0" w:lastRow="0" w:firstColumn="0" w:lastColumn="0" w:oddVBand="1" w:evenVBand="0" w:oddHBand="0" w:evenHBand="0" w:firstRowFirstColumn="0" w:firstRowLastColumn="0" w:lastRowFirstColumn="0" w:lastRowLastColumn="0"/>
            <w:tcW w:w="6260" w:type="dxa"/>
            <w:hideMark/>
          </w:tcPr>
          <w:p w:rsidR="00671FBC" w:rsidRPr="00843EDC" w:rsidRDefault="00671FBC" w:rsidP="00671FBC">
            <w:pPr>
              <w:autoSpaceDE w:val="0"/>
              <w:autoSpaceDN w:val="0"/>
              <w:adjustRightInd w:val="0"/>
              <w:jc w:val="both"/>
              <w:rPr>
                <w:rFonts w:cs="Calibri"/>
                <w:sz w:val="16"/>
                <w:szCs w:val="16"/>
              </w:rPr>
            </w:pPr>
            <w:r w:rsidRPr="00843EDC">
              <w:rPr>
                <w:rFonts w:cs="Calibri"/>
                <w:sz w:val="16"/>
                <w:szCs w:val="16"/>
              </w:rPr>
              <w:t>Kontinuirano pratiti rad javnih tijela koja sudjeluju u procesu privlačenja i provedbe investicija te podršci izvozu</w:t>
            </w:r>
          </w:p>
        </w:tc>
        <w:tc>
          <w:tcPr>
            <w:tcW w:w="2247" w:type="dxa"/>
            <w:gridSpan w:val="2"/>
            <w:vMerge/>
            <w:tcBorders>
              <w:left w:val="single" w:sz="8" w:space="0" w:color="4F81BD" w:themeColor="accent1"/>
            </w:tcBorders>
            <w:vAlign w:val="center"/>
            <w:hideMark/>
          </w:tcPr>
          <w:p w:rsidR="00671FBC" w:rsidRPr="00843EDC" w:rsidRDefault="00671FBC" w:rsidP="00671FBC">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cnfStyle w:val="000010000000" w:firstRow="0" w:lastRow="0" w:firstColumn="0" w:lastColumn="0" w:oddVBand="1" w:evenVBand="0" w:oddHBand="0" w:evenHBand="0" w:firstRowFirstColumn="0" w:firstRowLastColumn="0" w:lastRowFirstColumn="0" w:lastRowLastColumn="0"/>
            <w:tcW w:w="5508" w:type="dxa"/>
            <w:gridSpan w:val="2"/>
            <w:vMerge/>
            <w:vAlign w:val="center"/>
            <w:hideMark/>
          </w:tcPr>
          <w:p w:rsidR="00671FBC" w:rsidRPr="00843EDC" w:rsidRDefault="00671FBC" w:rsidP="00671FBC">
            <w:pPr>
              <w:spacing w:after="0" w:line="240" w:lineRule="auto"/>
              <w:rPr>
                <w:rFonts w:cs="Calibri"/>
                <w:sz w:val="16"/>
                <w:szCs w:val="16"/>
              </w:rPr>
            </w:pPr>
          </w:p>
        </w:tc>
        <w:tc>
          <w:tcPr>
            <w:tcW w:w="1530" w:type="dxa"/>
            <w:vMerge/>
            <w:tcBorders>
              <w:left w:val="nil"/>
            </w:tcBorders>
            <w:vAlign w:val="center"/>
            <w:hideMark/>
          </w:tcPr>
          <w:p w:rsidR="00671FBC" w:rsidRPr="00843EDC" w:rsidRDefault="00671FBC" w:rsidP="00671FBC">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16"/>
                <w:szCs w:val="16"/>
              </w:rPr>
            </w:pPr>
          </w:p>
        </w:tc>
      </w:tr>
      <w:tr w:rsidR="00671FBC" w:rsidRPr="00843EDC" w:rsidTr="00671FBC">
        <w:trPr>
          <w:trHeight w:val="593"/>
        </w:trPr>
        <w:tc>
          <w:tcPr>
            <w:cnfStyle w:val="001000000000" w:firstRow="0" w:lastRow="0" w:firstColumn="1" w:lastColumn="0" w:oddVBand="0" w:evenVBand="0" w:oddHBand="0" w:evenHBand="0" w:firstRowFirstColumn="0" w:firstRowLastColumn="0" w:lastRowFirstColumn="0" w:lastRowLastColumn="0"/>
            <w:tcW w:w="3027" w:type="dxa"/>
            <w:vMerge/>
            <w:tcBorders>
              <w:top w:val="single" w:sz="8" w:space="0" w:color="4F81BD" w:themeColor="accent1"/>
              <w:left w:val="single" w:sz="8" w:space="0" w:color="4F81BD" w:themeColor="accent1"/>
              <w:bottom w:val="single" w:sz="8" w:space="0" w:color="4F81BD" w:themeColor="accent1"/>
              <w:right w:val="nil"/>
            </w:tcBorders>
            <w:vAlign w:val="center"/>
            <w:hideMark/>
          </w:tcPr>
          <w:p w:rsidR="00671FBC" w:rsidRPr="00843EDC" w:rsidRDefault="00671FBC" w:rsidP="00671FBC">
            <w:pPr>
              <w:spacing w:after="0" w:line="240" w:lineRule="auto"/>
              <w:rPr>
                <w:rFonts w:eastAsia="MS Mincho" w:cs="Calibri"/>
                <w:sz w:val="16"/>
                <w:szCs w:val="16"/>
                <w:lang w:eastAsia="ja-JP"/>
              </w:rPr>
            </w:pPr>
          </w:p>
        </w:tc>
        <w:tc>
          <w:tcPr>
            <w:cnfStyle w:val="000010000000" w:firstRow="0" w:lastRow="0" w:firstColumn="0" w:lastColumn="0" w:oddVBand="1" w:evenVBand="0" w:oddHBand="0" w:evenHBand="0" w:firstRowFirstColumn="0" w:firstRowLastColumn="0" w:lastRowFirstColumn="0" w:lastRowLastColumn="0"/>
            <w:tcW w:w="6260" w:type="dxa"/>
            <w:tcBorders>
              <w:top w:val="single" w:sz="8" w:space="0" w:color="4F81BD" w:themeColor="accent1"/>
              <w:bottom w:val="single" w:sz="8" w:space="0" w:color="4F81BD" w:themeColor="accent1"/>
            </w:tcBorders>
            <w:hideMark/>
          </w:tcPr>
          <w:p w:rsidR="00671FBC" w:rsidRPr="00843EDC" w:rsidRDefault="00671FBC" w:rsidP="00671FBC">
            <w:pPr>
              <w:autoSpaceDE w:val="0"/>
              <w:autoSpaceDN w:val="0"/>
              <w:adjustRightInd w:val="0"/>
              <w:jc w:val="both"/>
              <w:rPr>
                <w:rFonts w:cs="Calibri"/>
                <w:b/>
                <w:sz w:val="16"/>
                <w:szCs w:val="16"/>
              </w:rPr>
            </w:pPr>
            <w:r w:rsidRPr="00843EDC">
              <w:rPr>
                <w:rFonts w:cs="Calibri"/>
                <w:sz w:val="16"/>
                <w:szCs w:val="16"/>
              </w:rPr>
              <w:t>Sustavno pratiti pripremu i provedbu investicijskih projekata, s naglaskom na</w:t>
            </w:r>
            <w:r w:rsidRPr="00843EDC">
              <w:rPr>
                <w:rFonts w:cs="Calibri"/>
                <w:b/>
                <w:sz w:val="16"/>
                <w:szCs w:val="16"/>
              </w:rPr>
              <w:t xml:space="preserve"> </w:t>
            </w:r>
            <w:r w:rsidRPr="00843EDC">
              <w:rPr>
                <w:rFonts w:cs="Calibri"/>
                <w:sz w:val="16"/>
                <w:szCs w:val="16"/>
              </w:rPr>
              <w:t>otklanjanje poteškoća za provedbu većih privatnih investicija</w:t>
            </w:r>
          </w:p>
        </w:tc>
        <w:tc>
          <w:tcPr>
            <w:tcW w:w="2247" w:type="dxa"/>
            <w:gridSpan w:val="2"/>
            <w:vMerge/>
            <w:tcBorders>
              <w:top w:val="single" w:sz="8" w:space="0" w:color="4F81BD" w:themeColor="accent1"/>
              <w:left w:val="single" w:sz="8" w:space="0" w:color="4F81BD" w:themeColor="accent1"/>
              <w:bottom w:val="single" w:sz="8" w:space="0" w:color="4F81BD" w:themeColor="accent1"/>
            </w:tcBorders>
            <w:vAlign w:val="center"/>
            <w:hideMark/>
          </w:tcPr>
          <w:p w:rsidR="00671FBC" w:rsidRPr="00843EDC" w:rsidRDefault="00671FBC" w:rsidP="00671FBC">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16"/>
                <w:szCs w:val="16"/>
              </w:rPr>
            </w:pPr>
          </w:p>
        </w:tc>
        <w:tc>
          <w:tcPr>
            <w:cnfStyle w:val="000010000000" w:firstRow="0" w:lastRow="0" w:firstColumn="0" w:lastColumn="0" w:oddVBand="1" w:evenVBand="0" w:oddHBand="0" w:evenHBand="0" w:firstRowFirstColumn="0" w:firstRowLastColumn="0" w:lastRowFirstColumn="0" w:lastRowLastColumn="0"/>
            <w:tcW w:w="5508" w:type="dxa"/>
            <w:gridSpan w:val="2"/>
            <w:vMerge/>
            <w:tcBorders>
              <w:top w:val="single" w:sz="8" w:space="0" w:color="4F81BD" w:themeColor="accent1"/>
              <w:bottom w:val="single" w:sz="8" w:space="0" w:color="4F81BD" w:themeColor="accent1"/>
            </w:tcBorders>
            <w:vAlign w:val="center"/>
            <w:hideMark/>
          </w:tcPr>
          <w:p w:rsidR="00671FBC" w:rsidRPr="00843EDC" w:rsidRDefault="00671FBC" w:rsidP="00671FBC">
            <w:pPr>
              <w:spacing w:after="0" w:line="240" w:lineRule="auto"/>
              <w:rPr>
                <w:rFonts w:cs="Calibri"/>
                <w:sz w:val="16"/>
                <w:szCs w:val="16"/>
              </w:rPr>
            </w:pPr>
          </w:p>
        </w:tc>
        <w:tc>
          <w:tcPr>
            <w:tcW w:w="1530" w:type="dxa"/>
            <w:vMerge/>
            <w:tcBorders>
              <w:top w:val="single" w:sz="8" w:space="0" w:color="4F81BD" w:themeColor="accent1"/>
              <w:left w:val="nil"/>
              <w:bottom w:val="single" w:sz="8" w:space="0" w:color="4F81BD" w:themeColor="accent1"/>
              <w:right w:val="single" w:sz="8" w:space="0" w:color="4F81BD" w:themeColor="accent1"/>
            </w:tcBorders>
            <w:vAlign w:val="center"/>
            <w:hideMark/>
          </w:tcPr>
          <w:p w:rsidR="00671FBC" w:rsidRPr="00843EDC" w:rsidRDefault="00671FBC" w:rsidP="00671FBC">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16"/>
                <w:szCs w:val="16"/>
              </w:rPr>
            </w:pPr>
          </w:p>
        </w:tc>
      </w:tr>
      <w:tr w:rsidR="00671FBC" w:rsidRPr="00843EDC" w:rsidTr="00671FBC">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027" w:type="dxa"/>
            <w:vMerge w:val="restart"/>
            <w:tcBorders>
              <w:right w:val="nil"/>
            </w:tcBorders>
            <w:hideMark/>
          </w:tcPr>
          <w:p w:rsidR="00671FBC" w:rsidRPr="00843EDC" w:rsidRDefault="00671FBC" w:rsidP="00671FBC">
            <w:pPr>
              <w:jc w:val="both"/>
              <w:rPr>
                <w:rFonts w:eastAsia="MS Mincho" w:cs="Calibri"/>
                <w:sz w:val="16"/>
                <w:szCs w:val="16"/>
                <w:lang w:eastAsia="ja-JP"/>
              </w:rPr>
            </w:pPr>
            <w:r w:rsidRPr="00843EDC">
              <w:rPr>
                <w:rFonts w:eastAsia="MS Mincho" w:cs="Calibri"/>
                <w:sz w:val="16"/>
                <w:szCs w:val="16"/>
                <w:lang w:eastAsia="ja-JP"/>
              </w:rPr>
              <w:t xml:space="preserve">1.2 Jačanje investicijskog potencijala </w:t>
            </w:r>
            <w:r w:rsidRPr="00843EDC">
              <w:rPr>
                <w:rFonts w:eastAsia="MS Mincho" w:cs="Calibri"/>
                <w:sz w:val="16"/>
                <w:szCs w:val="16"/>
                <w:lang w:eastAsia="ja-JP"/>
              </w:rPr>
              <w:lastRenderedPageBreak/>
              <w:t>sektora malog i srednjeg poduzetništva</w:t>
            </w:r>
          </w:p>
        </w:tc>
        <w:tc>
          <w:tcPr>
            <w:cnfStyle w:val="000010000000" w:firstRow="0" w:lastRow="0" w:firstColumn="0" w:lastColumn="0" w:oddVBand="1" w:evenVBand="0" w:oddHBand="0" w:evenHBand="0" w:firstRowFirstColumn="0" w:firstRowLastColumn="0" w:lastRowFirstColumn="0" w:lastRowLastColumn="0"/>
            <w:tcW w:w="6260" w:type="dxa"/>
          </w:tcPr>
          <w:p w:rsidR="00671FBC" w:rsidRPr="00843EDC" w:rsidRDefault="00671FBC" w:rsidP="00671FBC">
            <w:pPr>
              <w:spacing w:beforeLines="20" w:before="48"/>
              <w:jc w:val="both"/>
              <w:rPr>
                <w:rFonts w:eastAsia="Calibri" w:cs="Calibri"/>
                <w:sz w:val="16"/>
                <w:szCs w:val="16"/>
              </w:rPr>
            </w:pPr>
            <w:r w:rsidRPr="00843EDC">
              <w:rPr>
                <w:rFonts w:eastAsia="Calibri" w:cs="Calibri"/>
                <w:sz w:val="16"/>
                <w:szCs w:val="16"/>
              </w:rPr>
              <w:lastRenderedPageBreak/>
              <w:t xml:space="preserve">Razvoj financijskog tržišta i tržišta rizičnog kapitala </w:t>
            </w:r>
          </w:p>
          <w:p w:rsidR="00671FBC" w:rsidRPr="00843EDC" w:rsidRDefault="00671FBC" w:rsidP="00671FBC">
            <w:pPr>
              <w:jc w:val="both"/>
              <w:rPr>
                <w:rFonts w:cs="Calibri"/>
                <w:sz w:val="16"/>
                <w:szCs w:val="16"/>
              </w:rPr>
            </w:pPr>
          </w:p>
        </w:tc>
        <w:tc>
          <w:tcPr>
            <w:tcW w:w="1113" w:type="dxa"/>
            <w:gridSpan w:val="2"/>
            <w:vMerge w:val="restart"/>
            <w:tcBorders>
              <w:left w:val="nil"/>
              <w:right w:val="nil"/>
            </w:tcBorders>
            <w:hideMark/>
          </w:tcPr>
          <w:p w:rsidR="00671FBC" w:rsidRPr="00843EDC" w:rsidRDefault="00671FBC" w:rsidP="00671FBC">
            <w:pPr>
              <w:jc w:val="both"/>
              <w:cnfStyle w:val="000000100000" w:firstRow="0" w:lastRow="0" w:firstColumn="0" w:lastColumn="0" w:oddVBand="0" w:evenVBand="0" w:oddHBand="1" w:evenHBand="0" w:firstRowFirstColumn="0" w:firstRowLastColumn="0" w:lastRowFirstColumn="0" w:lastRowLastColumn="0"/>
              <w:rPr>
                <w:rFonts w:cs="Calibri"/>
                <w:sz w:val="16"/>
                <w:szCs w:val="16"/>
              </w:rPr>
            </w:pPr>
            <w:r w:rsidRPr="00843EDC">
              <w:rPr>
                <w:rFonts w:cs="Calibri"/>
                <w:sz w:val="16"/>
                <w:szCs w:val="16"/>
              </w:rPr>
              <w:lastRenderedPageBreak/>
              <w:t>MINPO</w:t>
            </w:r>
          </w:p>
        </w:tc>
        <w:tc>
          <w:tcPr>
            <w:cnfStyle w:val="000010000000" w:firstRow="0" w:lastRow="0" w:firstColumn="0" w:lastColumn="0" w:oddVBand="1" w:evenVBand="0" w:oddHBand="0" w:evenHBand="0" w:firstRowFirstColumn="0" w:firstRowLastColumn="0" w:lastRowFirstColumn="0" w:lastRowLastColumn="0"/>
            <w:tcW w:w="2782" w:type="dxa"/>
            <w:gridSpan w:val="2"/>
            <w:vMerge w:val="restart"/>
            <w:hideMark/>
          </w:tcPr>
          <w:p w:rsidR="00671FBC" w:rsidRPr="00843EDC" w:rsidRDefault="00671FBC" w:rsidP="00C91A1D">
            <w:pPr>
              <w:rPr>
                <w:rFonts w:cs="Calibri"/>
                <w:sz w:val="16"/>
                <w:szCs w:val="16"/>
              </w:rPr>
            </w:pPr>
            <w:r w:rsidRPr="00843EDC">
              <w:rPr>
                <w:rFonts w:cs="Calibri"/>
                <w:sz w:val="16"/>
                <w:szCs w:val="16"/>
              </w:rPr>
              <w:t xml:space="preserve">Resorna središnja tijela državne uprave, HAMAG </w:t>
            </w:r>
            <w:r w:rsidR="00C91A1D">
              <w:rPr>
                <w:rFonts w:cs="Calibri"/>
                <w:sz w:val="16"/>
                <w:szCs w:val="16"/>
              </w:rPr>
              <w:t>-</w:t>
            </w:r>
            <w:r w:rsidRPr="00843EDC">
              <w:rPr>
                <w:rFonts w:cs="Calibri"/>
                <w:sz w:val="16"/>
                <w:szCs w:val="16"/>
              </w:rPr>
              <w:t xml:space="preserve">  BICRO, Županijske </w:t>
            </w:r>
            <w:r w:rsidRPr="00843EDC">
              <w:rPr>
                <w:rFonts w:cs="Calibri"/>
                <w:sz w:val="16"/>
                <w:szCs w:val="16"/>
              </w:rPr>
              <w:lastRenderedPageBreak/>
              <w:t>razvojne agencije</w:t>
            </w:r>
          </w:p>
        </w:tc>
        <w:tc>
          <w:tcPr>
            <w:tcW w:w="1530" w:type="dxa"/>
            <w:vMerge w:val="restart"/>
            <w:tcBorders>
              <w:left w:val="nil"/>
            </w:tcBorders>
            <w:hideMark/>
          </w:tcPr>
          <w:p w:rsidR="00671FBC" w:rsidRPr="00843EDC" w:rsidRDefault="00671FBC" w:rsidP="00671FBC">
            <w:pPr>
              <w:jc w:val="both"/>
              <w:cnfStyle w:val="000000100000" w:firstRow="0" w:lastRow="0" w:firstColumn="0" w:lastColumn="0" w:oddVBand="0" w:evenVBand="0" w:oddHBand="1" w:evenHBand="0" w:firstRowFirstColumn="0" w:firstRowLastColumn="0" w:lastRowFirstColumn="0" w:lastRowLastColumn="0"/>
              <w:rPr>
                <w:rFonts w:cs="Calibri"/>
                <w:sz w:val="16"/>
                <w:szCs w:val="16"/>
              </w:rPr>
            </w:pPr>
            <w:r w:rsidRPr="00843EDC">
              <w:rPr>
                <w:rFonts w:cs="Calibri"/>
                <w:sz w:val="16"/>
                <w:szCs w:val="16"/>
              </w:rPr>
              <w:lastRenderedPageBreak/>
              <w:t>Kontinuirano</w:t>
            </w:r>
          </w:p>
        </w:tc>
      </w:tr>
      <w:tr w:rsidR="00671FBC" w:rsidRPr="00843EDC" w:rsidTr="00671FBC">
        <w:trPr>
          <w:trHeight w:val="337"/>
        </w:trPr>
        <w:tc>
          <w:tcPr>
            <w:cnfStyle w:val="001000000000" w:firstRow="0" w:lastRow="0" w:firstColumn="1" w:lastColumn="0" w:oddVBand="0" w:evenVBand="0" w:oddHBand="0" w:evenHBand="0" w:firstRowFirstColumn="0" w:firstRowLastColumn="0" w:lastRowFirstColumn="0" w:lastRowLastColumn="0"/>
            <w:tcW w:w="3027" w:type="dxa"/>
            <w:vMerge/>
            <w:tcBorders>
              <w:top w:val="single" w:sz="8" w:space="0" w:color="4F81BD" w:themeColor="accent1"/>
              <w:left w:val="single" w:sz="8" w:space="0" w:color="4F81BD" w:themeColor="accent1"/>
              <w:bottom w:val="single" w:sz="8" w:space="0" w:color="4F81BD" w:themeColor="accent1"/>
              <w:right w:val="nil"/>
            </w:tcBorders>
            <w:vAlign w:val="center"/>
            <w:hideMark/>
          </w:tcPr>
          <w:p w:rsidR="00671FBC" w:rsidRPr="00843EDC" w:rsidRDefault="00671FBC" w:rsidP="00671FBC">
            <w:pPr>
              <w:spacing w:after="0" w:line="240" w:lineRule="auto"/>
              <w:rPr>
                <w:rFonts w:eastAsia="MS Mincho" w:cs="Calibri"/>
                <w:sz w:val="16"/>
                <w:szCs w:val="16"/>
                <w:lang w:eastAsia="ja-JP"/>
              </w:rPr>
            </w:pPr>
          </w:p>
        </w:tc>
        <w:tc>
          <w:tcPr>
            <w:cnfStyle w:val="000010000000" w:firstRow="0" w:lastRow="0" w:firstColumn="0" w:lastColumn="0" w:oddVBand="1" w:evenVBand="0" w:oddHBand="0" w:evenHBand="0" w:firstRowFirstColumn="0" w:firstRowLastColumn="0" w:lastRowFirstColumn="0" w:lastRowLastColumn="0"/>
            <w:tcW w:w="6260" w:type="dxa"/>
            <w:tcBorders>
              <w:top w:val="single" w:sz="8" w:space="0" w:color="4F81BD" w:themeColor="accent1"/>
              <w:bottom w:val="single" w:sz="4" w:space="0" w:color="auto"/>
            </w:tcBorders>
            <w:hideMark/>
          </w:tcPr>
          <w:p w:rsidR="00671FBC" w:rsidRPr="00843EDC" w:rsidRDefault="00671FBC" w:rsidP="00671FBC">
            <w:pPr>
              <w:spacing w:beforeLines="20" w:before="48"/>
              <w:jc w:val="both"/>
              <w:rPr>
                <w:rFonts w:eastAsia="Calibri" w:cs="Calibri"/>
                <w:sz w:val="16"/>
                <w:szCs w:val="16"/>
              </w:rPr>
            </w:pPr>
            <w:r w:rsidRPr="00843EDC">
              <w:rPr>
                <w:rFonts w:eastAsia="Calibri" w:cs="Calibri"/>
                <w:sz w:val="16"/>
                <w:szCs w:val="16"/>
              </w:rPr>
              <w:t>Uključivanje u globalne lance  vrijednosti i lance nabave stranih investitora u RH</w:t>
            </w:r>
          </w:p>
        </w:tc>
        <w:tc>
          <w:tcPr>
            <w:tcW w:w="2247" w:type="dxa"/>
            <w:gridSpan w:val="2"/>
            <w:vMerge/>
            <w:tcBorders>
              <w:top w:val="single" w:sz="8" w:space="0" w:color="4F81BD" w:themeColor="accent1"/>
              <w:left w:val="single" w:sz="8" w:space="0" w:color="4F81BD" w:themeColor="accent1"/>
              <w:bottom w:val="single" w:sz="8" w:space="0" w:color="4F81BD" w:themeColor="accent1"/>
            </w:tcBorders>
            <w:vAlign w:val="center"/>
            <w:hideMark/>
          </w:tcPr>
          <w:p w:rsidR="00671FBC" w:rsidRPr="00843EDC" w:rsidRDefault="00671FBC" w:rsidP="00671FBC">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16"/>
                <w:szCs w:val="16"/>
              </w:rPr>
            </w:pPr>
          </w:p>
        </w:tc>
        <w:tc>
          <w:tcPr>
            <w:cnfStyle w:val="000010000000" w:firstRow="0" w:lastRow="0" w:firstColumn="0" w:lastColumn="0" w:oddVBand="1" w:evenVBand="0" w:oddHBand="0" w:evenHBand="0" w:firstRowFirstColumn="0" w:firstRowLastColumn="0" w:lastRowFirstColumn="0" w:lastRowLastColumn="0"/>
            <w:tcW w:w="5508" w:type="dxa"/>
            <w:gridSpan w:val="2"/>
            <w:vMerge/>
            <w:tcBorders>
              <w:top w:val="single" w:sz="8" w:space="0" w:color="4F81BD" w:themeColor="accent1"/>
              <w:bottom w:val="single" w:sz="8" w:space="0" w:color="4F81BD" w:themeColor="accent1"/>
            </w:tcBorders>
            <w:vAlign w:val="center"/>
            <w:hideMark/>
          </w:tcPr>
          <w:p w:rsidR="00671FBC" w:rsidRPr="00843EDC" w:rsidRDefault="00671FBC" w:rsidP="00671FBC">
            <w:pPr>
              <w:spacing w:after="0" w:line="240" w:lineRule="auto"/>
              <w:rPr>
                <w:rFonts w:cs="Calibri"/>
                <w:sz w:val="16"/>
                <w:szCs w:val="16"/>
              </w:rPr>
            </w:pPr>
          </w:p>
        </w:tc>
        <w:tc>
          <w:tcPr>
            <w:tcW w:w="1530" w:type="dxa"/>
            <w:vMerge/>
            <w:tcBorders>
              <w:top w:val="single" w:sz="8" w:space="0" w:color="4F81BD" w:themeColor="accent1"/>
              <w:left w:val="nil"/>
              <w:bottom w:val="single" w:sz="8" w:space="0" w:color="4F81BD" w:themeColor="accent1"/>
              <w:right w:val="single" w:sz="8" w:space="0" w:color="4F81BD" w:themeColor="accent1"/>
            </w:tcBorders>
            <w:vAlign w:val="center"/>
            <w:hideMark/>
          </w:tcPr>
          <w:p w:rsidR="00671FBC" w:rsidRPr="00843EDC" w:rsidRDefault="00671FBC" w:rsidP="00671FBC">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16"/>
                <w:szCs w:val="16"/>
              </w:rPr>
            </w:pPr>
          </w:p>
        </w:tc>
      </w:tr>
      <w:tr w:rsidR="00671FBC" w:rsidRPr="00843EDC" w:rsidTr="00671FBC">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027" w:type="dxa"/>
            <w:vMerge w:val="restart"/>
            <w:tcBorders>
              <w:bottom w:val="nil"/>
              <w:right w:val="single" w:sz="4" w:space="0" w:color="auto"/>
            </w:tcBorders>
          </w:tcPr>
          <w:p w:rsidR="00671FBC" w:rsidRPr="00843EDC" w:rsidRDefault="00671FBC" w:rsidP="00671FBC">
            <w:pPr>
              <w:ind w:right="480"/>
              <w:jc w:val="both"/>
              <w:rPr>
                <w:rFonts w:cs="Calibri"/>
                <w:sz w:val="16"/>
                <w:szCs w:val="16"/>
              </w:rPr>
            </w:pPr>
            <w:r w:rsidRPr="00843EDC">
              <w:rPr>
                <w:rFonts w:cs="Calibri"/>
                <w:sz w:val="16"/>
                <w:szCs w:val="16"/>
              </w:rPr>
              <w:t xml:space="preserve">1.3 </w:t>
            </w:r>
            <w:r w:rsidRPr="00843EDC">
              <w:rPr>
                <w:rFonts w:eastAsia="MS Mincho" w:cs="Calibri"/>
                <w:sz w:val="16"/>
                <w:szCs w:val="16"/>
                <w:lang w:eastAsia="ja-JP"/>
              </w:rPr>
              <w:t>Prilagodba obrazovnog sustava i tržišta rada potrebama gospodarstva</w:t>
            </w:r>
          </w:p>
          <w:p w:rsidR="00671FBC" w:rsidRPr="00843EDC" w:rsidRDefault="00671FBC" w:rsidP="00671FBC">
            <w:pPr>
              <w:jc w:val="both"/>
              <w:rPr>
                <w:rFonts w:cs="Calibri"/>
                <w:sz w:val="16"/>
                <w:szCs w:val="16"/>
              </w:rPr>
            </w:pPr>
          </w:p>
        </w:tc>
        <w:tc>
          <w:tcPr>
            <w:cnfStyle w:val="000010000000" w:firstRow="0" w:lastRow="0" w:firstColumn="0" w:lastColumn="0" w:oddVBand="1" w:evenVBand="0" w:oddHBand="0" w:evenHBand="0" w:firstRowFirstColumn="0" w:firstRowLastColumn="0" w:lastRowFirstColumn="0" w:lastRowLastColumn="0"/>
            <w:tcW w:w="6260" w:type="dxa"/>
            <w:tcBorders>
              <w:top w:val="single" w:sz="4" w:space="0" w:color="auto"/>
              <w:left w:val="single" w:sz="4" w:space="0" w:color="auto"/>
              <w:bottom w:val="nil"/>
              <w:right w:val="single" w:sz="4" w:space="0" w:color="auto"/>
            </w:tcBorders>
            <w:hideMark/>
          </w:tcPr>
          <w:p w:rsidR="00671FBC" w:rsidRPr="00843EDC" w:rsidRDefault="00671FBC" w:rsidP="00671FBC">
            <w:pPr>
              <w:autoSpaceDE w:val="0"/>
              <w:autoSpaceDN w:val="0"/>
              <w:adjustRightInd w:val="0"/>
              <w:jc w:val="both"/>
              <w:rPr>
                <w:rFonts w:cs="Calibri"/>
                <w:color w:val="000000"/>
                <w:sz w:val="16"/>
                <w:szCs w:val="16"/>
              </w:rPr>
            </w:pPr>
            <w:r w:rsidRPr="00843EDC">
              <w:rPr>
                <w:rFonts w:cs="Calibri"/>
                <w:color w:val="000000"/>
                <w:sz w:val="16"/>
                <w:szCs w:val="16"/>
              </w:rPr>
              <w:t>Utvrditi potrebe za radnom snagom u okviru  gospodarskih sektora u određenim područjima unutar RH</w:t>
            </w:r>
          </w:p>
        </w:tc>
        <w:tc>
          <w:tcPr>
            <w:tcW w:w="1113" w:type="dxa"/>
            <w:gridSpan w:val="2"/>
            <w:vMerge w:val="restart"/>
            <w:tcBorders>
              <w:left w:val="single" w:sz="4" w:space="0" w:color="auto"/>
              <w:bottom w:val="nil"/>
              <w:right w:val="nil"/>
            </w:tcBorders>
            <w:hideMark/>
          </w:tcPr>
          <w:p w:rsidR="00671FBC" w:rsidRPr="00843EDC" w:rsidRDefault="00671FBC" w:rsidP="00671FBC">
            <w:pPr>
              <w:jc w:val="both"/>
              <w:cnfStyle w:val="000000100000" w:firstRow="0" w:lastRow="0" w:firstColumn="0" w:lastColumn="0" w:oddVBand="0" w:evenVBand="0" w:oddHBand="1" w:evenHBand="0" w:firstRowFirstColumn="0" w:firstRowLastColumn="0" w:lastRowFirstColumn="0" w:lastRowLastColumn="0"/>
              <w:rPr>
                <w:rFonts w:cs="Calibri"/>
                <w:sz w:val="16"/>
                <w:szCs w:val="16"/>
              </w:rPr>
            </w:pPr>
            <w:r w:rsidRPr="00843EDC">
              <w:rPr>
                <w:rFonts w:cs="Calibri"/>
                <w:sz w:val="16"/>
                <w:szCs w:val="16"/>
              </w:rPr>
              <w:t>MRMS, MZOS, MINGO</w:t>
            </w:r>
          </w:p>
        </w:tc>
        <w:tc>
          <w:tcPr>
            <w:cnfStyle w:val="000010000000" w:firstRow="0" w:lastRow="0" w:firstColumn="0" w:lastColumn="0" w:oddVBand="1" w:evenVBand="0" w:oddHBand="0" w:evenHBand="0" w:firstRowFirstColumn="0" w:firstRowLastColumn="0" w:lastRowFirstColumn="0" w:lastRowLastColumn="0"/>
            <w:tcW w:w="2782" w:type="dxa"/>
            <w:gridSpan w:val="2"/>
            <w:vMerge w:val="restart"/>
            <w:tcBorders>
              <w:bottom w:val="nil"/>
            </w:tcBorders>
            <w:hideMark/>
          </w:tcPr>
          <w:p w:rsidR="00671FBC" w:rsidRPr="00843EDC" w:rsidRDefault="00671FBC" w:rsidP="00671FBC">
            <w:pPr>
              <w:jc w:val="both"/>
              <w:rPr>
                <w:rFonts w:cs="Calibri"/>
                <w:sz w:val="16"/>
                <w:szCs w:val="16"/>
              </w:rPr>
            </w:pPr>
            <w:r w:rsidRPr="00843EDC">
              <w:rPr>
                <w:rFonts w:cs="Calibri"/>
                <w:sz w:val="16"/>
                <w:szCs w:val="16"/>
              </w:rPr>
              <w:t xml:space="preserve">HZZ, ASOO, HGK, HOK,  </w:t>
            </w:r>
            <w:r w:rsidRPr="00843EDC">
              <w:rPr>
                <w:sz w:val="16"/>
                <w:szCs w:val="16"/>
              </w:rPr>
              <w:t xml:space="preserve"> Jedinice lokalne i područne (regionalne) samouprave</w:t>
            </w:r>
            <w:r w:rsidRPr="00843EDC">
              <w:rPr>
                <w:rFonts w:cs="Calibri"/>
                <w:sz w:val="16"/>
                <w:szCs w:val="16"/>
              </w:rPr>
              <w:t>, Županijske razvojne agencije</w:t>
            </w:r>
          </w:p>
        </w:tc>
        <w:tc>
          <w:tcPr>
            <w:tcW w:w="1530" w:type="dxa"/>
            <w:vMerge w:val="restart"/>
            <w:tcBorders>
              <w:left w:val="nil"/>
              <w:bottom w:val="nil"/>
            </w:tcBorders>
            <w:hideMark/>
          </w:tcPr>
          <w:p w:rsidR="00671FBC" w:rsidRPr="00843EDC" w:rsidRDefault="00671FBC" w:rsidP="00671FBC">
            <w:pPr>
              <w:jc w:val="both"/>
              <w:cnfStyle w:val="000000100000" w:firstRow="0" w:lastRow="0" w:firstColumn="0" w:lastColumn="0" w:oddVBand="0" w:evenVBand="0" w:oddHBand="1" w:evenHBand="0" w:firstRowFirstColumn="0" w:firstRowLastColumn="0" w:lastRowFirstColumn="0" w:lastRowLastColumn="0"/>
              <w:rPr>
                <w:rFonts w:cs="Calibri"/>
                <w:sz w:val="16"/>
                <w:szCs w:val="16"/>
              </w:rPr>
            </w:pPr>
            <w:r w:rsidRPr="00843EDC">
              <w:rPr>
                <w:rFonts w:cs="Calibri"/>
                <w:sz w:val="16"/>
                <w:szCs w:val="16"/>
              </w:rPr>
              <w:t>Kontinuirano</w:t>
            </w:r>
          </w:p>
        </w:tc>
      </w:tr>
      <w:tr w:rsidR="00671FBC" w:rsidRPr="00843EDC" w:rsidTr="00671FBC">
        <w:trPr>
          <w:trHeight w:val="397"/>
        </w:trPr>
        <w:tc>
          <w:tcPr>
            <w:cnfStyle w:val="001000000000" w:firstRow="0" w:lastRow="0" w:firstColumn="1" w:lastColumn="0" w:oddVBand="0" w:evenVBand="0" w:oddHBand="0" w:evenHBand="0" w:firstRowFirstColumn="0" w:firstRowLastColumn="0" w:lastRowFirstColumn="0" w:lastRowLastColumn="0"/>
            <w:tcW w:w="3027" w:type="dxa"/>
            <w:vMerge/>
            <w:tcBorders>
              <w:top w:val="single" w:sz="8" w:space="0" w:color="4F81BD" w:themeColor="accent1"/>
              <w:left w:val="single" w:sz="8" w:space="0" w:color="4F81BD" w:themeColor="accent1"/>
              <w:bottom w:val="nil"/>
              <w:right w:val="single" w:sz="4" w:space="0" w:color="auto"/>
            </w:tcBorders>
            <w:vAlign w:val="center"/>
            <w:hideMark/>
          </w:tcPr>
          <w:p w:rsidR="00671FBC" w:rsidRPr="00843EDC" w:rsidRDefault="00671FBC" w:rsidP="00671FBC">
            <w:pPr>
              <w:spacing w:after="0" w:line="240" w:lineRule="auto"/>
              <w:rPr>
                <w:rFonts w:cs="Calibri"/>
                <w:sz w:val="16"/>
                <w:szCs w:val="16"/>
              </w:rPr>
            </w:pPr>
          </w:p>
        </w:tc>
        <w:tc>
          <w:tcPr>
            <w:cnfStyle w:val="000010000000" w:firstRow="0" w:lastRow="0" w:firstColumn="0" w:lastColumn="0" w:oddVBand="1" w:evenVBand="0" w:oddHBand="0" w:evenHBand="0" w:firstRowFirstColumn="0" w:firstRowLastColumn="0" w:lastRowFirstColumn="0" w:lastRowLastColumn="0"/>
            <w:tcW w:w="6260" w:type="dxa"/>
            <w:tcBorders>
              <w:top w:val="nil"/>
              <w:left w:val="single" w:sz="4" w:space="0" w:color="auto"/>
              <w:bottom w:val="single" w:sz="4" w:space="0" w:color="auto"/>
              <w:right w:val="single" w:sz="4" w:space="0" w:color="auto"/>
            </w:tcBorders>
            <w:hideMark/>
          </w:tcPr>
          <w:p w:rsidR="00671FBC" w:rsidRPr="00843EDC" w:rsidRDefault="00671FBC" w:rsidP="00671FBC">
            <w:pPr>
              <w:autoSpaceDE w:val="0"/>
              <w:autoSpaceDN w:val="0"/>
              <w:adjustRightInd w:val="0"/>
              <w:jc w:val="both"/>
              <w:rPr>
                <w:rFonts w:cs="Calibri"/>
                <w:color w:val="000000"/>
                <w:sz w:val="16"/>
                <w:szCs w:val="16"/>
              </w:rPr>
            </w:pPr>
            <w:r w:rsidRPr="00843EDC">
              <w:rPr>
                <w:rFonts w:cs="Calibri"/>
                <w:color w:val="000000"/>
                <w:sz w:val="16"/>
                <w:szCs w:val="16"/>
              </w:rPr>
              <w:t>Utvrditi postojeće kapacitete ljudskih resursa</w:t>
            </w:r>
          </w:p>
        </w:tc>
        <w:tc>
          <w:tcPr>
            <w:tcW w:w="2247" w:type="dxa"/>
            <w:gridSpan w:val="2"/>
            <w:vMerge/>
            <w:tcBorders>
              <w:top w:val="nil"/>
              <w:left w:val="single" w:sz="4" w:space="0" w:color="auto"/>
              <w:bottom w:val="nil"/>
            </w:tcBorders>
            <w:vAlign w:val="center"/>
            <w:hideMark/>
          </w:tcPr>
          <w:p w:rsidR="00671FBC" w:rsidRPr="00843EDC" w:rsidRDefault="00671FBC" w:rsidP="00671FBC">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16"/>
                <w:szCs w:val="16"/>
              </w:rPr>
            </w:pPr>
          </w:p>
        </w:tc>
        <w:tc>
          <w:tcPr>
            <w:cnfStyle w:val="000010000000" w:firstRow="0" w:lastRow="0" w:firstColumn="0" w:lastColumn="0" w:oddVBand="1" w:evenVBand="0" w:oddHBand="0" w:evenHBand="0" w:firstRowFirstColumn="0" w:firstRowLastColumn="0" w:lastRowFirstColumn="0" w:lastRowLastColumn="0"/>
            <w:tcW w:w="5508" w:type="dxa"/>
            <w:gridSpan w:val="2"/>
            <w:vMerge/>
            <w:tcBorders>
              <w:top w:val="nil"/>
              <w:bottom w:val="nil"/>
            </w:tcBorders>
            <w:vAlign w:val="center"/>
            <w:hideMark/>
          </w:tcPr>
          <w:p w:rsidR="00671FBC" w:rsidRPr="00843EDC" w:rsidRDefault="00671FBC" w:rsidP="00671FBC">
            <w:pPr>
              <w:spacing w:after="0" w:line="240" w:lineRule="auto"/>
              <w:rPr>
                <w:rFonts w:cs="Calibri"/>
                <w:sz w:val="16"/>
                <w:szCs w:val="16"/>
              </w:rPr>
            </w:pPr>
          </w:p>
        </w:tc>
        <w:tc>
          <w:tcPr>
            <w:tcW w:w="1530" w:type="dxa"/>
            <w:vMerge/>
            <w:tcBorders>
              <w:top w:val="single" w:sz="8" w:space="0" w:color="4F81BD" w:themeColor="accent1"/>
              <w:left w:val="nil"/>
              <w:bottom w:val="nil"/>
              <w:right w:val="single" w:sz="8" w:space="0" w:color="4F81BD" w:themeColor="accent1"/>
            </w:tcBorders>
            <w:vAlign w:val="center"/>
            <w:hideMark/>
          </w:tcPr>
          <w:p w:rsidR="00671FBC" w:rsidRPr="00843EDC" w:rsidRDefault="00671FBC" w:rsidP="00671FBC">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16"/>
                <w:szCs w:val="16"/>
              </w:rPr>
            </w:pPr>
          </w:p>
        </w:tc>
      </w:tr>
      <w:tr w:rsidR="00671FBC" w:rsidRPr="00843EDC" w:rsidTr="00671FBC">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3027" w:type="dxa"/>
            <w:vMerge/>
            <w:tcBorders>
              <w:bottom w:val="nil"/>
              <w:right w:val="nil"/>
            </w:tcBorders>
            <w:vAlign w:val="center"/>
            <w:hideMark/>
          </w:tcPr>
          <w:p w:rsidR="00671FBC" w:rsidRPr="00843EDC" w:rsidRDefault="00671FBC" w:rsidP="00671FBC">
            <w:pPr>
              <w:spacing w:after="0" w:line="240" w:lineRule="auto"/>
              <w:rPr>
                <w:rFonts w:cs="Calibri"/>
                <w:sz w:val="16"/>
                <w:szCs w:val="16"/>
              </w:rPr>
            </w:pPr>
          </w:p>
        </w:tc>
        <w:tc>
          <w:tcPr>
            <w:cnfStyle w:val="000010000000" w:firstRow="0" w:lastRow="0" w:firstColumn="0" w:lastColumn="0" w:oddVBand="1" w:evenVBand="0" w:oddHBand="0" w:evenHBand="0" w:firstRowFirstColumn="0" w:firstRowLastColumn="0" w:lastRowFirstColumn="0" w:lastRowLastColumn="0"/>
            <w:tcW w:w="6260" w:type="dxa"/>
            <w:tcBorders>
              <w:top w:val="single" w:sz="4" w:space="0" w:color="auto"/>
            </w:tcBorders>
            <w:hideMark/>
          </w:tcPr>
          <w:p w:rsidR="00671FBC" w:rsidRPr="00843EDC" w:rsidRDefault="00671FBC" w:rsidP="00671FBC">
            <w:pPr>
              <w:autoSpaceDE w:val="0"/>
              <w:autoSpaceDN w:val="0"/>
              <w:adjustRightInd w:val="0"/>
              <w:jc w:val="both"/>
              <w:rPr>
                <w:rFonts w:cs="Calibri"/>
                <w:color w:val="000000"/>
                <w:sz w:val="16"/>
                <w:szCs w:val="16"/>
              </w:rPr>
            </w:pPr>
            <w:r w:rsidRPr="00843EDC">
              <w:rPr>
                <w:rFonts w:cs="Calibri"/>
                <w:color w:val="000000"/>
                <w:sz w:val="16"/>
                <w:szCs w:val="16"/>
              </w:rPr>
              <w:t xml:space="preserve">Izraditi srednjoročne i dugoročne projekcije razvoja sektora i njihovih potreba za radnom snagom kako bi se moglo učinkovito odgovoriti na potrebe gospodarstva sada ali i u budućnost  </w:t>
            </w:r>
          </w:p>
        </w:tc>
        <w:tc>
          <w:tcPr>
            <w:tcW w:w="2247" w:type="dxa"/>
            <w:gridSpan w:val="2"/>
            <w:vMerge/>
            <w:tcBorders>
              <w:left w:val="single" w:sz="8" w:space="0" w:color="4F81BD" w:themeColor="accent1"/>
            </w:tcBorders>
            <w:vAlign w:val="center"/>
            <w:hideMark/>
          </w:tcPr>
          <w:p w:rsidR="00671FBC" w:rsidRPr="00843EDC" w:rsidRDefault="00671FBC" w:rsidP="00671FBC">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cnfStyle w:val="000010000000" w:firstRow="0" w:lastRow="0" w:firstColumn="0" w:lastColumn="0" w:oddVBand="1" w:evenVBand="0" w:oddHBand="0" w:evenHBand="0" w:firstRowFirstColumn="0" w:firstRowLastColumn="0" w:lastRowFirstColumn="0" w:lastRowLastColumn="0"/>
            <w:tcW w:w="5508" w:type="dxa"/>
            <w:gridSpan w:val="2"/>
            <w:vMerge/>
            <w:vAlign w:val="center"/>
            <w:hideMark/>
          </w:tcPr>
          <w:p w:rsidR="00671FBC" w:rsidRPr="00843EDC" w:rsidRDefault="00671FBC" w:rsidP="00671FBC">
            <w:pPr>
              <w:spacing w:after="0" w:line="240" w:lineRule="auto"/>
              <w:rPr>
                <w:rFonts w:cs="Calibri"/>
                <w:sz w:val="16"/>
                <w:szCs w:val="16"/>
              </w:rPr>
            </w:pPr>
          </w:p>
        </w:tc>
        <w:tc>
          <w:tcPr>
            <w:tcW w:w="1530" w:type="dxa"/>
            <w:vMerge/>
            <w:tcBorders>
              <w:left w:val="nil"/>
              <w:bottom w:val="nil"/>
            </w:tcBorders>
            <w:vAlign w:val="center"/>
            <w:hideMark/>
          </w:tcPr>
          <w:p w:rsidR="00671FBC" w:rsidRPr="00843EDC" w:rsidRDefault="00671FBC" w:rsidP="00671FBC">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16"/>
                <w:szCs w:val="16"/>
              </w:rPr>
            </w:pPr>
          </w:p>
        </w:tc>
      </w:tr>
      <w:tr w:rsidR="00671FBC" w:rsidRPr="00843EDC" w:rsidTr="00671FBC">
        <w:trPr>
          <w:trHeight w:val="727"/>
        </w:trPr>
        <w:tc>
          <w:tcPr>
            <w:cnfStyle w:val="001000000000" w:firstRow="0" w:lastRow="0" w:firstColumn="1" w:lastColumn="0" w:oddVBand="0" w:evenVBand="0" w:oddHBand="0" w:evenHBand="0" w:firstRowFirstColumn="0" w:firstRowLastColumn="0" w:lastRowFirstColumn="0" w:lastRowLastColumn="0"/>
            <w:tcW w:w="3027" w:type="dxa"/>
            <w:vMerge/>
            <w:tcBorders>
              <w:top w:val="single" w:sz="8" w:space="0" w:color="4F81BD" w:themeColor="accent1"/>
              <w:left w:val="single" w:sz="8" w:space="0" w:color="4F81BD" w:themeColor="accent1"/>
              <w:bottom w:val="nil"/>
              <w:right w:val="nil"/>
            </w:tcBorders>
            <w:vAlign w:val="center"/>
            <w:hideMark/>
          </w:tcPr>
          <w:p w:rsidR="00671FBC" w:rsidRPr="00843EDC" w:rsidRDefault="00671FBC" w:rsidP="00671FBC">
            <w:pPr>
              <w:spacing w:after="0" w:line="240" w:lineRule="auto"/>
              <w:rPr>
                <w:rFonts w:cs="Calibri"/>
                <w:sz w:val="16"/>
                <w:szCs w:val="16"/>
              </w:rPr>
            </w:pPr>
          </w:p>
        </w:tc>
        <w:tc>
          <w:tcPr>
            <w:cnfStyle w:val="000010000000" w:firstRow="0" w:lastRow="0" w:firstColumn="0" w:lastColumn="0" w:oddVBand="1" w:evenVBand="0" w:oddHBand="0" w:evenHBand="0" w:firstRowFirstColumn="0" w:firstRowLastColumn="0" w:lastRowFirstColumn="0" w:lastRowLastColumn="0"/>
            <w:tcW w:w="6260" w:type="dxa"/>
            <w:tcBorders>
              <w:top w:val="nil"/>
              <w:bottom w:val="nil"/>
            </w:tcBorders>
          </w:tcPr>
          <w:p w:rsidR="00671FBC" w:rsidRPr="00843EDC" w:rsidRDefault="00671FBC" w:rsidP="00671FBC">
            <w:pPr>
              <w:autoSpaceDE w:val="0"/>
              <w:autoSpaceDN w:val="0"/>
              <w:adjustRightInd w:val="0"/>
              <w:jc w:val="both"/>
              <w:rPr>
                <w:rFonts w:cs="Calibri"/>
                <w:color w:val="000000"/>
                <w:sz w:val="16"/>
                <w:szCs w:val="16"/>
              </w:rPr>
            </w:pPr>
            <w:r w:rsidRPr="00843EDC">
              <w:rPr>
                <w:rFonts w:cs="Calibri"/>
                <w:color w:val="000000"/>
                <w:sz w:val="16"/>
                <w:szCs w:val="16"/>
              </w:rPr>
              <w:t>Razvijanje novih vještina kroz obrazovni</w:t>
            </w:r>
            <w:r>
              <w:rPr>
                <w:rFonts w:cs="Calibri"/>
                <w:color w:val="000000"/>
                <w:sz w:val="16"/>
                <w:szCs w:val="16"/>
              </w:rPr>
              <w:t xml:space="preserve"> </w:t>
            </w:r>
            <w:r w:rsidRPr="00843EDC">
              <w:rPr>
                <w:rFonts w:cs="Calibri"/>
                <w:color w:val="000000"/>
                <w:sz w:val="16"/>
                <w:szCs w:val="16"/>
              </w:rPr>
              <w:t xml:space="preserve"> sustav i cijelo-životno stručno osposobljavanje</w:t>
            </w:r>
          </w:p>
          <w:p w:rsidR="00671FBC" w:rsidRPr="00843EDC" w:rsidRDefault="00671FBC" w:rsidP="00671FBC">
            <w:pPr>
              <w:autoSpaceDE w:val="0"/>
              <w:autoSpaceDN w:val="0"/>
              <w:adjustRightInd w:val="0"/>
              <w:jc w:val="both"/>
              <w:rPr>
                <w:rFonts w:cs="Calibri"/>
                <w:color w:val="000000"/>
                <w:sz w:val="16"/>
                <w:szCs w:val="16"/>
              </w:rPr>
            </w:pPr>
          </w:p>
        </w:tc>
        <w:tc>
          <w:tcPr>
            <w:tcW w:w="2247" w:type="dxa"/>
            <w:gridSpan w:val="2"/>
            <w:vMerge/>
            <w:tcBorders>
              <w:top w:val="nil"/>
              <w:left w:val="single" w:sz="8" w:space="0" w:color="4F81BD" w:themeColor="accent1"/>
              <w:bottom w:val="nil"/>
            </w:tcBorders>
            <w:vAlign w:val="center"/>
            <w:hideMark/>
          </w:tcPr>
          <w:p w:rsidR="00671FBC" w:rsidRPr="00843EDC" w:rsidRDefault="00671FBC" w:rsidP="00671FBC">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16"/>
                <w:szCs w:val="16"/>
              </w:rPr>
            </w:pPr>
          </w:p>
        </w:tc>
        <w:tc>
          <w:tcPr>
            <w:cnfStyle w:val="000010000000" w:firstRow="0" w:lastRow="0" w:firstColumn="0" w:lastColumn="0" w:oddVBand="1" w:evenVBand="0" w:oddHBand="0" w:evenHBand="0" w:firstRowFirstColumn="0" w:firstRowLastColumn="0" w:lastRowFirstColumn="0" w:lastRowLastColumn="0"/>
            <w:tcW w:w="5508" w:type="dxa"/>
            <w:gridSpan w:val="2"/>
            <w:vMerge/>
            <w:tcBorders>
              <w:top w:val="nil"/>
              <w:bottom w:val="nil"/>
            </w:tcBorders>
            <w:vAlign w:val="center"/>
            <w:hideMark/>
          </w:tcPr>
          <w:p w:rsidR="00671FBC" w:rsidRPr="00843EDC" w:rsidRDefault="00671FBC" w:rsidP="00671FBC">
            <w:pPr>
              <w:spacing w:after="0" w:line="240" w:lineRule="auto"/>
              <w:rPr>
                <w:rFonts w:cs="Calibri"/>
                <w:sz w:val="16"/>
                <w:szCs w:val="16"/>
              </w:rPr>
            </w:pPr>
          </w:p>
        </w:tc>
        <w:tc>
          <w:tcPr>
            <w:tcW w:w="1530" w:type="dxa"/>
            <w:vMerge/>
            <w:tcBorders>
              <w:top w:val="single" w:sz="8" w:space="0" w:color="4F81BD" w:themeColor="accent1"/>
              <w:left w:val="nil"/>
              <w:bottom w:val="nil"/>
              <w:right w:val="single" w:sz="8" w:space="0" w:color="4F81BD" w:themeColor="accent1"/>
            </w:tcBorders>
            <w:vAlign w:val="center"/>
            <w:hideMark/>
          </w:tcPr>
          <w:p w:rsidR="00671FBC" w:rsidRPr="00843EDC" w:rsidRDefault="00671FBC" w:rsidP="00671FBC">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16"/>
                <w:szCs w:val="16"/>
              </w:rPr>
            </w:pPr>
          </w:p>
        </w:tc>
      </w:tr>
      <w:tr w:rsidR="00671FBC" w:rsidRPr="00843EDC" w:rsidTr="00671FBC">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3027" w:type="dxa"/>
            <w:vMerge/>
            <w:tcBorders>
              <w:bottom w:val="nil"/>
              <w:right w:val="nil"/>
            </w:tcBorders>
            <w:vAlign w:val="center"/>
            <w:hideMark/>
          </w:tcPr>
          <w:p w:rsidR="00671FBC" w:rsidRPr="00843EDC" w:rsidRDefault="00671FBC" w:rsidP="00671FBC">
            <w:pPr>
              <w:spacing w:after="0" w:line="240" w:lineRule="auto"/>
              <w:rPr>
                <w:rFonts w:cs="Calibri"/>
                <w:sz w:val="16"/>
                <w:szCs w:val="16"/>
              </w:rPr>
            </w:pPr>
          </w:p>
        </w:tc>
        <w:tc>
          <w:tcPr>
            <w:cnfStyle w:val="000010000000" w:firstRow="0" w:lastRow="0" w:firstColumn="0" w:lastColumn="0" w:oddVBand="1" w:evenVBand="0" w:oddHBand="0" w:evenHBand="0" w:firstRowFirstColumn="0" w:firstRowLastColumn="0" w:lastRowFirstColumn="0" w:lastRowLastColumn="0"/>
            <w:tcW w:w="6260" w:type="dxa"/>
            <w:hideMark/>
          </w:tcPr>
          <w:p w:rsidR="00671FBC" w:rsidRPr="00843EDC" w:rsidRDefault="00671FBC" w:rsidP="00671FBC">
            <w:pPr>
              <w:autoSpaceDE w:val="0"/>
              <w:autoSpaceDN w:val="0"/>
              <w:adjustRightInd w:val="0"/>
              <w:jc w:val="both"/>
              <w:rPr>
                <w:rFonts w:cs="Calibri"/>
                <w:color w:val="000000"/>
                <w:sz w:val="16"/>
                <w:szCs w:val="16"/>
              </w:rPr>
            </w:pPr>
            <w:r w:rsidRPr="00843EDC">
              <w:rPr>
                <w:rFonts w:cs="Calibri"/>
                <w:color w:val="000000"/>
                <w:sz w:val="16"/>
                <w:szCs w:val="16"/>
              </w:rPr>
              <w:t>Uvođenje mjera za ciljano privlačenje visoko-kvalificirane radne snage iz drugih zemalja</w:t>
            </w:r>
          </w:p>
        </w:tc>
        <w:tc>
          <w:tcPr>
            <w:tcW w:w="2247" w:type="dxa"/>
            <w:gridSpan w:val="2"/>
            <w:vMerge/>
            <w:tcBorders>
              <w:left w:val="single" w:sz="8" w:space="0" w:color="4F81BD" w:themeColor="accent1"/>
            </w:tcBorders>
            <w:vAlign w:val="center"/>
            <w:hideMark/>
          </w:tcPr>
          <w:p w:rsidR="00671FBC" w:rsidRPr="00843EDC" w:rsidRDefault="00671FBC" w:rsidP="00671FBC">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cnfStyle w:val="000010000000" w:firstRow="0" w:lastRow="0" w:firstColumn="0" w:lastColumn="0" w:oddVBand="1" w:evenVBand="0" w:oddHBand="0" w:evenHBand="0" w:firstRowFirstColumn="0" w:firstRowLastColumn="0" w:lastRowFirstColumn="0" w:lastRowLastColumn="0"/>
            <w:tcW w:w="5508" w:type="dxa"/>
            <w:gridSpan w:val="2"/>
            <w:vMerge/>
            <w:vAlign w:val="center"/>
            <w:hideMark/>
          </w:tcPr>
          <w:p w:rsidR="00671FBC" w:rsidRPr="00843EDC" w:rsidRDefault="00671FBC" w:rsidP="00671FBC">
            <w:pPr>
              <w:spacing w:after="0" w:line="240" w:lineRule="auto"/>
              <w:rPr>
                <w:rFonts w:cs="Calibri"/>
                <w:sz w:val="16"/>
                <w:szCs w:val="16"/>
              </w:rPr>
            </w:pPr>
          </w:p>
        </w:tc>
        <w:tc>
          <w:tcPr>
            <w:tcW w:w="1530" w:type="dxa"/>
            <w:vMerge/>
            <w:tcBorders>
              <w:left w:val="nil"/>
              <w:bottom w:val="nil"/>
            </w:tcBorders>
            <w:vAlign w:val="center"/>
            <w:hideMark/>
          </w:tcPr>
          <w:p w:rsidR="00671FBC" w:rsidRPr="00843EDC" w:rsidRDefault="00671FBC" w:rsidP="00671FBC">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16"/>
                <w:szCs w:val="16"/>
              </w:rPr>
            </w:pPr>
          </w:p>
        </w:tc>
      </w:tr>
      <w:tr w:rsidR="00671FBC" w:rsidRPr="00843EDC" w:rsidTr="00671FBC">
        <w:trPr>
          <w:trHeight w:val="487"/>
        </w:trPr>
        <w:tc>
          <w:tcPr>
            <w:cnfStyle w:val="001000000000" w:firstRow="0" w:lastRow="0" w:firstColumn="1" w:lastColumn="0" w:oddVBand="0" w:evenVBand="0" w:oddHBand="0" w:evenHBand="0" w:firstRowFirstColumn="0" w:firstRowLastColumn="0" w:lastRowFirstColumn="0" w:lastRowLastColumn="0"/>
            <w:tcW w:w="3027" w:type="dxa"/>
            <w:vMerge/>
            <w:tcBorders>
              <w:top w:val="single" w:sz="8" w:space="0" w:color="4F81BD" w:themeColor="accent1"/>
              <w:left w:val="single" w:sz="8" w:space="0" w:color="4F81BD" w:themeColor="accent1"/>
              <w:bottom w:val="nil"/>
              <w:right w:val="nil"/>
            </w:tcBorders>
            <w:vAlign w:val="center"/>
            <w:hideMark/>
          </w:tcPr>
          <w:p w:rsidR="00671FBC" w:rsidRPr="00843EDC" w:rsidRDefault="00671FBC" w:rsidP="00671FBC">
            <w:pPr>
              <w:spacing w:after="0" w:line="240" w:lineRule="auto"/>
              <w:rPr>
                <w:rFonts w:cs="Calibri"/>
                <w:sz w:val="16"/>
                <w:szCs w:val="16"/>
              </w:rPr>
            </w:pPr>
          </w:p>
        </w:tc>
        <w:tc>
          <w:tcPr>
            <w:cnfStyle w:val="000010000000" w:firstRow="0" w:lastRow="0" w:firstColumn="0" w:lastColumn="0" w:oddVBand="1" w:evenVBand="0" w:oddHBand="0" w:evenHBand="0" w:firstRowFirstColumn="0" w:firstRowLastColumn="0" w:lastRowFirstColumn="0" w:lastRowLastColumn="0"/>
            <w:tcW w:w="6260" w:type="dxa"/>
            <w:tcBorders>
              <w:top w:val="nil"/>
              <w:bottom w:val="nil"/>
            </w:tcBorders>
            <w:hideMark/>
          </w:tcPr>
          <w:p w:rsidR="00671FBC" w:rsidRPr="00843EDC" w:rsidRDefault="00671FBC" w:rsidP="00671FBC">
            <w:pPr>
              <w:jc w:val="both"/>
              <w:rPr>
                <w:rFonts w:cs="Calibri"/>
                <w:sz w:val="16"/>
                <w:szCs w:val="16"/>
              </w:rPr>
            </w:pPr>
            <w:r w:rsidRPr="00843EDC">
              <w:rPr>
                <w:rFonts w:cs="Calibri"/>
                <w:sz w:val="16"/>
                <w:szCs w:val="16"/>
              </w:rPr>
              <w:t>Uspostava i umrežavanje komunikacijskih platformi sektora sa platformama iz EU i svjetskog okruženja</w:t>
            </w:r>
          </w:p>
        </w:tc>
        <w:tc>
          <w:tcPr>
            <w:tcW w:w="2247" w:type="dxa"/>
            <w:gridSpan w:val="2"/>
            <w:vMerge/>
            <w:tcBorders>
              <w:top w:val="nil"/>
              <w:left w:val="single" w:sz="8" w:space="0" w:color="4F81BD" w:themeColor="accent1"/>
              <w:bottom w:val="nil"/>
            </w:tcBorders>
            <w:vAlign w:val="center"/>
            <w:hideMark/>
          </w:tcPr>
          <w:p w:rsidR="00671FBC" w:rsidRPr="00843EDC" w:rsidRDefault="00671FBC" w:rsidP="00671FBC">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16"/>
                <w:szCs w:val="16"/>
              </w:rPr>
            </w:pPr>
          </w:p>
        </w:tc>
        <w:tc>
          <w:tcPr>
            <w:cnfStyle w:val="000010000000" w:firstRow="0" w:lastRow="0" w:firstColumn="0" w:lastColumn="0" w:oddVBand="1" w:evenVBand="0" w:oddHBand="0" w:evenHBand="0" w:firstRowFirstColumn="0" w:firstRowLastColumn="0" w:lastRowFirstColumn="0" w:lastRowLastColumn="0"/>
            <w:tcW w:w="5508" w:type="dxa"/>
            <w:gridSpan w:val="2"/>
            <w:vMerge/>
            <w:tcBorders>
              <w:top w:val="nil"/>
              <w:bottom w:val="nil"/>
            </w:tcBorders>
            <w:vAlign w:val="center"/>
            <w:hideMark/>
          </w:tcPr>
          <w:p w:rsidR="00671FBC" w:rsidRPr="00843EDC" w:rsidRDefault="00671FBC" w:rsidP="00671FBC">
            <w:pPr>
              <w:spacing w:after="0" w:line="240" w:lineRule="auto"/>
              <w:rPr>
                <w:rFonts w:cs="Calibri"/>
                <w:sz w:val="16"/>
                <w:szCs w:val="16"/>
              </w:rPr>
            </w:pPr>
          </w:p>
        </w:tc>
        <w:tc>
          <w:tcPr>
            <w:tcW w:w="1530" w:type="dxa"/>
            <w:vMerge/>
            <w:tcBorders>
              <w:top w:val="single" w:sz="8" w:space="0" w:color="4F81BD" w:themeColor="accent1"/>
              <w:left w:val="nil"/>
              <w:bottom w:val="nil"/>
              <w:right w:val="single" w:sz="8" w:space="0" w:color="4F81BD" w:themeColor="accent1"/>
            </w:tcBorders>
            <w:vAlign w:val="center"/>
            <w:hideMark/>
          </w:tcPr>
          <w:p w:rsidR="00671FBC" w:rsidRPr="00843EDC" w:rsidRDefault="00671FBC" w:rsidP="00671FBC">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16"/>
                <w:szCs w:val="16"/>
              </w:rPr>
            </w:pPr>
          </w:p>
        </w:tc>
      </w:tr>
      <w:tr w:rsidR="00671FBC" w:rsidRPr="00843EDC" w:rsidTr="00671FBC">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3027" w:type="dxa"/>
            <w:vMerge w:val="restart"/>
            <w:tcBorders>
              <w:right w:val="nil"/>
            </w:tcBorders>
          </w:tcPr>
          <w:p w:rsidR="00671FBC" w:rsidRPr="00843EDC" w:rsidRDefault="00671FBC" w:rsidP="00671FBC">
            <w:pPr>
              <w:spacing w:beforeLines="20" w:before="48"/>
              <w:jc w:val="both"/>
              <w:rPr>
                <w:rFonts w:eastAsia="Calibri" w:cs="Calibri"/>
                <w:sz w:val="16"/>
                <w:szCs w:val="16"/>
              </w:rPr>
            </w:pPr>
            <w:r w:rsidRPr="00843EDC">
              <w:rPr>
                <w:rFonts w:eastAsia="Calibri" w:cs="Calibri"/>
                <w:sz w:val="16"/>
                <w:szCs w:val="16"/>
              </w:rPr>
              <w:t xml:space="preserve">1.4 </w:t>
            </w:r>
            <w:r w:rsidRPr="00843EDC">
              <w:rPr>
                <w:rFonts w:cs="Calibri"/>
                <w:sz w:val="16"/>
                <w:szCs w:val="16"/>
              </w:rPr>
              <w:t>Stvaranje poticajnog okruženja za investicije u istraživanje, razvoj, inovacije i KET tehnologije</w:t>
            </w:r>
          </w:p>
          <w:p w:rsidR="00671FBC" w:rsidRPr="00843EDC" w:rsidRDefault="00671FBC" w:rsidP="00671FBC">
            <w:pPr>
              <w:jc w:val="both"/>
              <w:rPr>
                <w:rFonts w:cs="Calibri"/>
                <w:sz w:val="16"/>
                <w:szCs w:val="16"/>
              </w:rPr>
            </w:pPr>
          </w:p>
        </w:tc>
        <w:tc>
          <w:tcPr>
            <w:cnfStyle w:val="000010000000" w:firstRow="0" w:lastRow="0" w:firstColumn="0" w:lastColumn="0" w:oddVBand="1" w:evenVBand="0" w:oddHBand="0" w:evenHBand="0" w:firstRowFirstColumn="0" w:firstRowLastColumn="0" w:lastRowFirstColumn="0" w:lastRowLastColumn="0"/>
            <w:tcW w:w="6260" w:type="dxa"/>
          </w:tcPr>
          <w:p w:rsidR="00671FBC" w:rsidRPr="00843EDC" w:rsidRDefault="00671FBC" w:rsidP="00671FBC">
            <w:pPr>
              <w:jc w:val="both"/>
              <w:rPr>
                <w:rFonts w:cs="Calibri"/>
                <w:sz w:val="16"/>
                <w:szCs w:val="16"/>
              </w:rPr>
            </w:pPr>
            <w:r w:rsidRPr="00843EDC">
              <w:rPr>
                <w:rFonts w:cs="Calibri"/>
                <w:sz w:val="16"/>
                <w:szCs w:val="16"/>
              </w:rPr>
              <w:t>Razvoj sektorskih i KET tehnoloških platformi i uspostava Visoko-tehnološke mreže za industriju</w:t>
            </w:r>
          </w:p>
          <w:p w:rsidR="00671FBC" w:rsidRPr="00843EDC" w:rsidRDefault="00671FBC" w:rsidP="00671FBC">
            <w:pPr>
              <w:jc w:val="both"/>
              <w:rPr>
                <w:rFonts w:cs="Calibri"/>
                <w:sz w:val="16"/>
                <w:szCs w:val="16"/>
              </w:rPr>
            </w:pPr>
          </w:p>
        </w:tc>
        <w:tc>
          <w:tcPr>
            <w:tcW w:w="1113" w:type="dxa"/>
            <w:gridSpan w:val="2"/>
            <w:vMerge w:val="restart"/>
            <w:tcBorders>
              <w:left w:val="nil"/>
              <w:right w:val="nil"/>
            </w:tcBorders>
            <w:hideMark/>
          </w:tcPr>
          <w:p w:rsidR="00671FBC" w:rsidRPr="00843EDC" w:rsidRDefault="00671FBC" w:rsidP="00671FBC">
            <w:pPr>
              <w:jc w:val="both"/>
              <w:cnfStyle w:val="000000100000" w:firstRow="0" w:lastRow="0" w:firstColumn="0" w:lastColumn="0" w:oddVBand="0" w:evenVBand="0" w:oddHBand="1" w:evenHBand="0" w:firstRowFirstColumn="0" w:firstRowLastColumn="0" w:lastRowFirstColumn="0" w:lastRowLastColumn="0"/>
              <w:rPr>
                <w:rFonts w:cs="Calibri"/>
                <w:sz w:val="16"/>
                <w:szCs w:val="16"/>
              </w:rPr>
            </w:pPr>
            <w:r w:rsidRPr="00843EDC">
              <w:rPr>
                <w:rFonts w:cs="Calibri"/>
                <w:sz w:val="16"/>
                <w:szCs w:val="16"/>
              </w:rPr>
              <w:t xml:space="preserve"> MINGO</w:t>
            </w:r>
          </w:p>
        </w:tc>
        <w:tc>
          <w:tcPr>
            <w:cnfStyle w:val="000010000000" w:firstRow="0" w:lastRow="0" w:firstColumn="0" w:lastColumn="0" w:oddVBand="1" w:evenVBand="0" w:oddHBand="0" w:evenHBand="0" w:firstRowFirstColumn="0" w:firstRowLastColumn="0" w:lastRowFirstColumn="0" w:lastRowLastColumn="0"/>
            <w:tcW w:w="2782" w:type="dxa"/>
            <w:gridSpan w:val="2"/>
            <w:vMerge w:val="restart"/>
            <w:hideMark/>
          </w:tcPr>
          <w:p w:rsidR="00671FBC" w:rsidRPr="00843EDC" w:rsidRDefault="00671FBC" w:rsidP="00671FBC">
            <w:pPr>
              <w:rPr>
                <w:rFonts w:cs="Calibri"/>
                <w:sz w:val="16"/>
                <w:szCs w:val="16"/>
              </w:rPr>
            </w:pPr>
            <w:r w:rsidRPr="00843EDC">
              <w:rPr>
                <w:rFonts w:cs="Calibri"/>
                <w:sz w:val="16"/>
                <w:szCs w:val="16"/>
              </w:rPr>
              <w:t xml:space="preserve">Resorna središnja tijela državne uprave, </w:t>
            </w:r>
            <w:r w:rsidR="00C91A1D" w:rsidRPr="00843EDC">
              <w:rPr>
                <w:rFonts w:cs="Calibri"/>
                <w:sz w:val="16"/>
                <w:szCs w:val="16"/>
              </w:rPr>
              <w:t xml:space="preserve"> HAMAG </w:t>
            </w:r>
            <w:r w:rsidR="00C91A1D">
              <w:rPr>
                <w:rFonts w:cs="Calibri"/>
                <w:sz w:val="16"/>
                <w:szCs w:val="16"/>
              </w:rPr>
              <w:t>-</w:t>
            </w:r>
            <w:r w:rsidRPr="00843EDC">
              <w:rPr>
                <w:rFonts w:cs="Calibri"/>
                <w:sz w:val="16"/>
                <w:szCs w:val="16"/>
              </w:rPr>
              <w:t>BICRO, AIK, Županijske razvojne agencije, znanstveno-istraživačke institucije, Nacionalno vijeće za znanost, Klasteri konkurentnosti</w:t>
            </w:r>
          </w:p>
        </w:tc>
        <w:tc>
          <w:tcPr>
            <w:tcW w:w="1530" w:type="dxa"/>
            <w:vMerge w:val="restart"/>
            <w:tcBorders>
              <w:left w:val="nil"/>
            </w:tcBorders>
            <w:hideMark/>
          </w:tcPr>
          <w:p w:rsidR="00671FBC" w:rsidRPr="00843EDC" w:rsidRDefault="00671FBC" w:rsidP="00671FBC">
            <w:pPr>
              <w:jc w:val="both"/>
              <w:cnfStyle w:val="000000100000" w:firstRow="0" w:lastRow="0" w:firstColumn="0" w:lastColumn="0" w:oddVBand="0" w:evenVBand="0" w:oddHBand="1" w:evenHBand="0" w:firstRowFirstColumn="0" w:firstRowLastColumn="0" w:lastRowFirstColumn="0" w:lastRowLastColumn="0"/>
              <w:rPr>
                <w:rFonts w:cs="Calibri"/>
                <w:sz w:val="16"/>
                <w:szCs w:val="16"/>
              </w:rPr>
            </w:pPr>
            <w:r w:rsidRPr="00843EDC">
              <w:rPr>
                <w:rFonts w:cs="Calibri"/>
                <w:sz w:val="16"/>
                <w:szCs w:val="16"/>
              </w:rPr>
              <w:t>Kontinuirano</w:t>
            </w:r>
          </w:p>
        </w:tc>
      </w:tr>
      <w:tr w:rsidR="00671FBC" w:rsidRPr="00843EDC" w:rsidTr="00671FBC">
        <w:trPr>
          <w:trHeight w:val="762"/>
        </w:trPr>
        <w:tc>
          <w:tcPr>
            <w:cnfStyle w:val="001000000000" w:firstRow="0" w:lastRow="0" w:firstColumn="1" w:lastColumn="0" w:oddVBand="0" w:evenVBand="0" w:oddHBand="0" w:evenHBand="0" w:firstRowFirstColumn="0" w:firstRowLastColumn="0" w:lastRowFirstColumn="0" w:lastRowLastColumn="0"/>
            <w:tcW w:w="3027" w:type="dxa"/>
            <w:vMerge/>
            <w:tcBorders>
              <w:top w:val="single" w:sz="8" w:space="0" w:color="4F81BD" w:themeColor="accent1"/>
              <w:left w:val="single" w:sz="8" w:space="0" w:color="4F81BD" w:themeColor="accent1"/>
              <w:bottom w:val="single" w:sz="8" w:space="0" w:color="4F81BD" w:themeColor="accent1"/>
              <w:right w:val="nil"/>
            </w:tcBorders>
            <w:vAlign w:val="center"/>
            <w:hideMark/>
          </w:tcPr>
          <w:p w:rsidR="00671FBC" w:rsidRPr="00843EDC" w:rsidRDefault="00671FBC" w:rsidP="00671FBC">
            <w:pPr>
              <w:spacing w:after="0" w:line="240" w:lineRule="auto"/>
              <w:rPr>
                <w:rFonts w:cs="Calibri"/>
                <w:sz w:val="16"/>
                <w:szCs w:val="16"/>
              </w:rPr>
            </w:pPr>
          </w:p>
        </w:tc>
        <w:tc>
          <w:tcPr>
            <w:cnfStyle w:val="000010000000" w:firstRow="0" w:lastRow="0" w:firstColumn="0" w:lastColumn="0" w:oddVBand="1" w:evenVBand="0" w:oddHBand="0" w:evenHBand="0" w:firstRowFirstColumn="0" w:firstRowLastColumn="0" w:lastRowFirstColumn="0" w:lastRowLastColumn="0"/>
            <w:tcW w:w="6260" w:type="dxa"/>
            <w:tcBorders>
              <w:top w:val="nil"/>
              <w:bottom w:val="nil"/>
            </w:tcBorders>
          </w:tcPr>
          <w:p w:rsidR="00671FBC" w:rsidRPr="00843EDC" w:rsidRDefault="00671FBC" w:rsidP="00671FBC">
            <w:pPr>
              <w:jc w:val="both"/>
              <w:rPr>
                <w:rFonts w:cs="Calibri"/>
                <w:sz w:val="16"/>
                <w:szCs w:val="16"/>
              </w:rPr>
            </w:pPr>
            <w:r w:rsidRPr="00843EDC">
              <w:rPr>
                <w:rFonts w:cs="Calibri"/>
                <w:sz w:val="16"/>
                <w:szCs w:val="16"/>
              </w:rPr>
              <w:t>Primjena KET tehnologija u tradicionalnim gospodarskim sektorima</w:t>
            </w:r>
          </w:p>
          <w:p w:rsidR="00671FBC" w:rsidRPr="00843EDC" w:rsidRDefault="00671FBC" w:rsidP="00671FBC">
            <w:pPr>
              <w:jc w:val="both"/>
              <w:rPr>
                <w:rFonts w:cs="Calibri"/>
                <w:sz w:val="16"/>
                <w:szCs w:val="16"/>
              </w:rPr>
            </w:pPr>
          </w:p>
          <w:p w:rsidR="00671FBC" w:rsidRPr="00843EDC" w:rsidRDefault="00671FBC" w:rsidP="00671FBC">
            <w:pPr>
              <w:jc w:val="both"/>
              <w:rPr>
                <w:rFonts w:cs="Calibri"/>
                <w:sz w:val="16"/>
                <w:szCs w:val="16"/>
              </w:rPr>
            </w:pPr>
          </w:p>
        </w:tc>
        <w:tc>
          <w:tcPr>
            <w:tcW w:w="2247" w:type="dxa"/>
            <w:gridSpan w:val="2"/>
            <w:vMerge/>
            <w:tcBorders>
              <w:top w:val="nil"/>
              <w:left w:val="single" w:sz="8" w:space="0" w:color="4F81BD" w:themeColor="accent1"/>
              <w:bottom w:val="nil"/>
            </w:tcBorders>
            <w:vAlign w:val="center"/>
            <w:hideMark/>
          </w:tcPr>
          <w:p w:rsidR="00671FBC" w:rsidRPr="00843EDC" w:rsidRDefault="00671FBC" w:rsidP="00671FBC">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16"/>
                <w:szCs w:val="16"/>
              </w:rPr>
            </w:pPr>
          </w:p>
        </w:tc>
        <w:tc>
          <w:tcPr>
            <w:cnfStyle w:val="000010000000" w:firstRow="0" w:lastRow="0" w:firstColumn="0" w:lastColumn="0" w:oddVBand="1" w:evenVBand="0" w:oddHBand="0" w:evenHBand="0" w:firstRowFirstColumn="0" w:firstRowLastColumn="0" w:lastRowFirstColumn="0" w:lastRowLastColumn="0"/>
            <w:tcW w:w="5508" w:type="dxa"/>
            <w:gridSpan w:val="2"/>
            <w:vMerge/>
            <w:tcBorders>
              <w:top w:val="nil"/>
              <w:bottom w:val="nil"/>
            </w:tcBorders>
            <w:vAlign w:val="center"/>
            <w:hideMark/>
          </w:tcPr>
          <w:p w:rsidR="00671FBC" w:rsidRPr="00843EDC" w:rsidRDefault="00671FBC" w:rsidP="00671FBC">
            <w:pPr>
              <w:spacing w:after="0" w:line="240" w:lineRule="auto"/>
              <w:rPr>
                <w:rFonts w:cs="Calibri"/>
                <w:sz w:val="16"/>
                <w:szCs w:val="16"/>
              </w:rPr>
            </w:pPr>
          </w:p>
        </w:tc>
        <w:tc>
          <w:tcPr>
            <w:tcW w:w="1530" w:type="dxa"/>
            <w:vMerge/>
            <w:tcBorders>
              <w:top w:val="single" w:sz="8" w:space="0" w:color="4F81BD" w:themeColor="accent1"/>
              <w:left w:val="nil"/>
              <w:bottom w:val="single" w:sz="8" w:space="0" w:color="4F81BD" w:themeColor="accent1"/>
              <w:right w:val="single" w:sz="8" w:space="0" w:color="4F81BD" w:themeColor="accent1"/>
            </w:tcBorders>
            <w:vAlign w:val="center"/>
            <w:hideMark/>
          </w:tcPr>
          <w:p w:rsidR="00671FBC" w:rsidRPr="00843EDC" w:rsidRDefault="00671FBC" w:rsidP="00671FBC">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16"/>
                <w:szCs w:val="16"/>
              </w:rPr>
            </w:pPr>
          </w:p>
        </w:tc>
      </w:tr>
      <w:tr w:rsidR="00671FBC" w:rsidRPr="00843EDC" w:rsidTr="00671FBC">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3027" w:type="dxa"/>
            <w:vMerge/>
            <w:tcBorders>
              <w:right w:val="nil"/>
            </w:tcBorders>
            <w:vAlign w:val="center"/>
            <w:hideMark/>
          </w:tcPr>
          <w:p w:rsidR="00671FBC" w:rsidRPr="00843EDC" w:rsidRDefault="00671FBC" w:rsidP="00671FBC">
            <w:pPr>
              <w:spacing w:after="0" w:line="240" w:lineRule="auto"/>
              <w:rPr>
                <w:rFonts w:cs="Calibri"/>
                <w:sz w:val="16"/>
                <w:szCs w:val="16"/>
              </w:rPr>
            </w:pPr>
          </w:p>
        </w:tc>
        <w:tc>
          <w:tcPr>
            <w:cnfStyle w:val="000010000000" w:firstRow="0" w:lastRow="0" w:firstColumn="0" w:lastColumn="0" w:oddVBand="1" w:evenVBand="0" w:oddHBand="0" w:evenHBand="0" w:firstRowFirstColumn="0" w:firstRowLastColumn="0" w:lastRowFirstColumn="0" w:lastRowLastColumn="0"/>
            <w:tcW w:w="6260" w:type="dxa"/>
            <w:hideMark/>
          </w:tcPr>
          <w:p w:rsidR="00671FBC" w:rsidRPr="00843EDC" w:rsidRDefault="00671FBC" w:rsidP="00671FBC">
            <w:pPr>
              <w:jc w:val="both"/>
              <w:rPr>
                <w:rFonts w:cs="Calibri"/>
                <w:sz w:val="16"/>
                <w:szCs w:val="16"/>
              </w:rPr>
            </w:pPr>
            <w:r w:rsidRPr="00843EDC">
              <w:rPr>
                <w:rFonts w:cs="Calibri"/>
                <w:sz w:val="16"/>
                <w:szCs w:val="16"/>
              </w:rPr>
              <w:t>Sustavna organizacija i pružanje tehničke pomoći u kreiranju projekata i povlačenju sredstava iz Fondova EU za istraživanje, razvoj, inovacije i primjenu KET tehnologija</w:t>
            </w:r>
          </w:p>
        </w:tc>
        <w:tc>
          <w:tcPr>
            <w:tcW w:w="2247" w:type="dxa"/>
            <w:gridSpan w:val="2"/>
            <w:vMerge/>
            <w:tcBorders>
              <w:left w:val="single" w:sz="8" w:space="0" w:color="4F81BD" w:themeColor="accent1"/>
            </w:tcBorders>
            <w:vAlign w:val="center"/>
            <w:hideMark/>
          </w:tcPr>
          <w:p w:rsidR="00671FBC" w:rsidRPr="00843EDC" w:rsidRDefault="00671FBC" w:rsidP="00671FBC">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cnfStyle w:val="000010000000" w:firstRow="0" w:lastRow="0" w:firstColumn="0" w:lastColumn="0" w:oddVBand="1" w:evenVBand="0" w:oddHBand="0" w:evenHBand="0" w:firstRowFirstColumn="0" w:firstRowLastColumn="0" w:lastRowFirstColumn="0" w:lastRowLastColumn="0"/>
            <w:tcW w:w="5508" w:type="dxa"/>
            <w:gridSpan w:val="2"/>
            <w:vMerge/>
            <w:vAlign w:val="center"/>
            <w:hideMark/>
          </w:tcPr>
          <w:p w:rsidR="00671FBC" w:rsidRPr="00843EDC" w:rsidRDefault="00671FBC" w:rsidP="00671FBC">
            <w:pPr>
              <w:spacing w:after="0" w:line="240" w:lineRule="auto"/>
              <w:rPr>
                <w:rFonts w:cs="Calibri"/>
                <w:sz w:val="16"/>
                <w:szCs w:val="16"/>
              </w:rPr>
            </w:pPr>
          </w:p>
        </w:tc>
        <w:tc>
          <w:tcPr>
            <w:tcW w:w="1530" w:type="dxa"/>
            <w:vMerge/>
            <w:tcBorders>
              <w:left w:val="nil"/>
            </w:tcBorders>
            <w:vAlign w:val="center"/>
            <w:hideMark/>
          </w:tcPr>
          <w:p w:rsidR="00671FBC" w:rsidRPr="00843EDC" w:rsidRDefault="00671FBC" w:rsidP="00671FBC">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16"/>
                <w:szCs w:val="16"/>
              </w:rPr>
            </w:pPr>
          </w:p>
        </w:tc>
      </w:tr>
      <w:tr w:rsidR="00671FBC" w:rsidRPr="00843EDC" w:rsidTr="00671FBC">
        <w:trPr>
          <w:trHeight w:val="830"/>
        </w:trPr>
        <w:tc>
          <w:tcPr>
            <w:cnfStyle w:val="001000000000" w:firstRow="0" w:lastRow="0" w:firstColumn="1" w:lastColumn="0" w:oddVBand="0" w:evenVBand="0" w:oddHBand="0" w:evenHBand="0" w:firstRowFirstColumn="0" w:firstRowLastColumn="0" w:lastRowFirstColumn="0" w:lastRowLastColumn="0"/>
            <w:tcW w:w="3027" w:type="dxa"/>
            <w:tcBorders>
              <w:top w:val="nil"/>
              <w:left w:val="single" w:sz="8" w:space="0" w:color="4F81BD" w:themeColor="accent1"/>
              <w:bottom w:val="nil"/>
              <w:right w:val="nil"/>
            </w:tcBorders>
          </w:tcPr>
          <w:p w:rsidR="00671FBC" w:rsidRPr="00843EDC" w:rsidRDefault="00671FBC" w:rsidP="00671FBC">
            <w:pPr>
              <w:jc w:val="both"/>
              <w:rPr>
                <w:rFonts w:cs="Calibri"/>
                <w:sz w:val="16"/>
                <w:szCs w:val="16"/>
              </w:rPr>
            </w:pPr>
            <w:r w:rsidRPr="00843EDC">
              <w:rPr>
                <w:rFonts w:cs="Calibri"/>
                <w:sz w:val="16"/>
                <w:szCs w:val="16"/>
              </w:rPr>
              <w:lastRenderedPageBreak/>
              <w:t>1.5 Jačanje investicijskog potencijala sektora turizma</w:t>
            </w:r>
          </w:p>
          <w:p w:rsidR="00671FBC" w:rsidRPr="00843EDC" w:rsidRDefault="00671FBC" w:rsidP="00671FBC">
            <w:pPr>
              <w:jc w:val="both"/>
              <w:rPr>
                <w:rFonts w:cs="Calibri"/>
                <w:sz w:val="16"/>
                <w:szCs w:val="16"/>
              </w:rPr>
            </w:pPr>
          </w:p>
        </w:tc>
        <w:tc>
          <w:tcPr>
            <w:cnfStyle w:val="000010000000" w:firstRow="0" w:lastRow="0" w:firstColumn="0" w:lastColumn="0" w:oddVBand="1" w:evenVBand="0" w:oddHBand="0" w:evenHBand="0" w:firstRowFirstColumn="0" w:firstRowLastColumn="0" w:lastRowFirstColumn="0" w:lastRowLastColumn="0"/>
            <w:tcW w:w="6260" w:type="dxa"/>
            <w:tcBorders>
              <w:top w:val="nil"/>
              <w:bottom w:val="nil"/>
            </w:tcBorders>
            <w:hideMark/>
          </w:tcPr>
          <w:p w:rsidR="00671FBC" w:rsidRPr="00843EDC" w:rsidRDefault="00671FBC" w:rsidP="00671FBC">
            <w:pPr>
              <w:jc w:val="both"/>
              <w:rPr>
                <w:rFonts w:cs="Calibri"/>
                <w:sz w:val="16"/>
                <w:szCs w:val="16"/>
              </w:rPr>
            </w:pPr>
            <w:r w:rsidRPr="00843EDC">
              <w:rPr>
                <w:rFonts w:cs="Calibri"/>
                <w:sz w:val="16"/>
                <w:szCs w:val="16"/>
              </w:rPr>
              <w:t xml:space="preserve">Podizanje kvalitete i/ili raznovrsnosti destinacijske ponude, produljivanje sezone te dodatno pridonošenje unapređenju međunarodnog imidža hrvatskog turizma </w:t>
            </w:r>
          </w:p>
        </w:tc>
        <w:tc>
          <w:tcPr>
            <w:tcW w:w="1113" w:type="dxa"/>
            <w:gridSpan w:val="2"/>
            <w:tcBorders>
              <w:top w:val="nil"/>
              <w:left w:val="nil"/>
              <w:bottom w:val="nil"/>
              <w:right w:val="nil"/>
            </w:tcBorders>
          </w:tcPr>
          <w:p w:rsidR="00671FBC" w:rsidRPr="00843EDC" w:rsidRDefault="00671FBC" w:rsidP="00671FBC">
            <w:pPr>
              <w:jc w:val="both"/>
              <w:cnfStyle w:val="000000000000" w:firstRow="0" w:lastRow="0" w:firstColumn="0" w:lastColumn="0" w:oddVBand="0" w:evenVBand="0" w:oddHBand="0" w:evenHBand="0" w:firstRowFirstColumn="0" w:firstRowLastColumn="0" w:lastRowFirstColumn="0" w:lastRowLastColumn="0"/>
              <w:rPr>
                <w:rFonts w:cs="Calibri"/>
                <w:sz w:val="16"/>
                <w:szCs w:val="16"/>
              </w:rPr>
            </w:pPr>
            <w:r w:rsidRPr="00843EDC">
              <w:rPr>
                <w:rFonts w:cs="Calibri"/>
                <w:sz w:val="16"/>
                <w:szCs w:val="16"/>
              </w:rPr>
              <w:t>MT</w:t>
            </w:r>
          </w:p>
          <w:p w:rsidR="00671FBC" w:rsidRPr="00843EDC" w:rsidRDefault="00671FBC" w:rsidP="00671FBC">
            <w:pPr>
              <w:jc w:val="both"/>
              <w:cnfStyle w:val="000000000000" w:firstRow="0" w:lastRow="0" w:firstColumn="0" w:lastColumn="0" w:oddVBand="0" w:evenVBand="0" w:oddHBand="0" w:evenHBand="0" w:firstRowFirstColumn="0" w:firstRowLastColumn="0" w:lastRowFirstColumn="0" w:lastRowLastColumn="0"/>
              <w:rPr>
                <w:rFonts w:cs="Calibri"/>
                <w:sz w:val="16"/>
                <w:szCs w:val="16"/>
              </w:rPr>
            </w:pPr>
          </w:p>
        </w:tc>
        <w:tc>
          <w:tcPr>
            <w:cnfStyle w:val="000010000000" w:firstRow="0" w:lastRow="0" w:firstColumn="0" w:lastColumn="0" w:oddVBand="1" w:evenVBand="0" w:oddHBand="0" w:evenHBand="0" w:firstRowFirstColumn="0" w:firstRowLastColumn="0" w:lastRowFirstColumn="0" w:lastRowLastColumn="0"/>
            <w:tcW w:w="2782" w:type="dxa"/>
            <w:gridSpan w:val="2"/>
            <w:tcBorders>
              <w:top w:val="nil"/>
              <w:bottom w:val="nil"/>
            </w:tcBorders>
            <w:hideMark/>
          </w:tcPr>
          <w:p w:rsidR="00671FBC" w:rsidRPr="00843EDC" w:rsidRDefault="00671FBC" w:rsidP="00671FBC">
            <w:pPr>
              <w:jc w:val="both"/>
              <w:rPr>
                <w:rFonts w:cs="Calibri"/>
                <w:sz w:val="16"/>
                <w:szCs w:val="16"/>
              </w:rPr>
            </w:pPr>
            <w:r w:rsidRPr="00843EDC">
              <w:rPr>
                <w:rFonts w:cs="Calibri"/>
                <w:sz w:val="16"/>
                <w:szCs w:val="16"/>
              </w:rPr>
              <w:t>HTZ</w:t>
            </w:r>
          </w:p>
        </w:tc>
        <w:tc>
          <w:tcPr>
            <w:tcW w:w="1530" w:type="dxa"/>
            <w:tcBorders>
              <w:top w:val="nil"/>
              <w:left w:val="nil"/>
              <w:bottom w:val="nil"/>
              <w:right w:val="single" w:sz="8" w:space="0" w:color="4F81BD" w:themeColor="accent1"/>
            </w:tcBorders>
          </w:tcPr>
          <w:p w:rsidR="00671FBC" w:rsidRPr="00843EDC" w:rsidRDefault="00671FBC" w:rsidP="00671FBC">
            <w:pPr>
              <w:jc w:val="both"/>
              <w:cnfStyle w:val="000000000000" w:firstRow="0" w:lastRow="0" w:firstColumn="0" w:lastColumn="0" w:oddVBand="0" w:evenVBand="0" w:oddHBand="0" w:evenHBand="0" w:firstRowFirstColumn="0" w:firstRowLastColumn="0" w:lastRowFirstColumn="0" w:lastRowLastColumn="0"/>
              <w:rPr>
                <w:rFonts w:cs="Calibri"/>
                <w:sz w:val="16"/>
                <w:szCs w:val="16"/>
              </w:rPr>
            </w:pPr>
            <w:r w:rsidRPr="00843EDC">
              <w:rPr>
                <w:rFonts w:cs="Calibri"/>
                <w:sz w:val="16"/>
                <w:szCs w:val="16"/>
              </w:rPr>
              <w:t>Kontinuirano</w:t>
            </w:r>
          </w:p>
          <w:p w:rsidR="00671FBC" w:rsidRPr="00843EDC" w:rsidRDefault="00671FBC" w:rsidP="00671FBC">
            <w:pPr>
              <w:jc w:val="both"/>
              <w:cnfStyle w:val="000000000000" w:firstRow="0" w:lastRow="0" w:firstColumn="0" w:lastColumn="0" w:oddVBand="0" w:evenVBand="0" w:oddHBand="0" w:evenHBand="0" w:firstRowFirstColumn="0" w:firstRowLastColumn="0" w:lastRowFirstColumn="0" w:lastRowLastColumn="0"/>
              <w:rPr>
                <w:rFonts w:cs="Calibri"/>
                <w:sz w:val="16"/>
                <w:szCs w:val="16"/>
              </w:rPr>
            </w:pPr>
          </w:p>
        </w:tc>
      </w:tr>
      <w:tr w:rsidR="00671FBC" w:rsidRPr="00843EDC" w:rsidTr="00671FBC">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3027" w:type="dxa"/>
            <w:tcBorders>
              <w:right w:val="nil"/>
            </w:tcBorders>
            <w:hideMark/>
          </w:tcPr>
          <w:p w:rsidR="00671FBC" w:rsidRPr="00843EDC" w:rsidRDefault="00671FBC" w:rsidP="0075701E">
            <w:pPr>
              <w:rPr>
                <w:rFonts w:cs="Calibri"/>
                <w:sz w:val="16"/>
                <w:szCs w:val="16"/>
              </w:rPr>
            </w:pPr>
            <w:r w:rsidRPr="00843EDC">
              <w:rPr>
                <w:rFonts w:cs="Calibri"/>
                <w:sz w:val="16"/>
                <w:szCs w:val="16"/>
              </w:rPr>
              <w:t xml:space="preserve">1.6. </w:t>
            </w:r>
            <w:r w:rsidR="0075701E">
              <w:rPr>
                <w:sz w:val="16"/>
                <w:szCs w:val="16"/>
              </w:rPr>
              <w:t xml:space="preserve"> </w:t>
            </w:r>
            <w:r w:rsidR="0075701E" w:rsidRPr="005F07EA">
              <w:rPr>
                <w:sz w:val="16"/>
                <w:szCs w:val="16"/>
              </w:rPr>
              <w:t xml:space="preserve">Razvoj i unaprjeđenje </w:t>
            </w:r>
            <w:r w:rsidRPr="005F07EA">
              <w:rPr>
                <w:sz w:val="16"/>
                <w:szCs w:val="16"/>
              </w:rPr>
              <w:t>regionalne infrastrukture</w:t>
            </w:r>
          </w:p>
        </w:tc>
        <w:tc>
          <w:tcPr>
            <w:cnfStyle w:val="000010000000" w:firstRow="0" w:lastRow="0" w:firstColumn="0" w:lastColumn="0" w:oddVBand="1" w:evenVBand="0" w:oddHBand="0" w:evenHBand="0" w:firstRowFirstColumn="0" w:firstRowLastColumn="0" w:lastRowFirstColumn="0" w:lastRowLastColumn="0"/>
            <w:tcW w:w="6260" w:type="dxa"/>
            <w:hideMark/>
          </w:tcPr>
          <w:p w:rsidR="00671FBC" w:rsidRPr="00843EDC" w:rsidRDefault="00671FBC" w:rsidP="00671FBC">
            <w:pPr>
              <w:jc w:val="both"/>
              <w:rPr>
                <w:rFonts w:cs="Calibri"/>
                <w:sz w:val="16"/>
                <w:szCs w:val="16"/>
              </w:rPr>
            </w:pPr>
            <w:r w:rsidRPr="00843EDC">
              <w:rPr>
                <w:rFonts w:cs="Calibri"/>
                <w:sz w:val="16"/>
                <w:szCs w:val="16"/>
              </w:rPr>
              <w:t>Razvoj i unaprjeđenje regionalne infrastrukture i izrada mapa regionalne infrastrukture u cilju informiranja potencijalnih investitora o dostupnosti iste</w:t>
            </w:r>
          </w:p>
        </w:tc>
        <w:tc>
          <w:tcPr>
            <w:tcW w:w="1113" w:type="dxa"/>
            <w:gridSpan w:val="2"/>
            <w:tcBorders>
              <w:left w:val="nil"/>
              <w:right w:val="nil"/>
            </w:tcBorders>
            <w:hideMark/>
          </w:tcPr>
          <w:p w:rsidR="00671FBC" w:rsidRPr="00843EDC" w:rsidRDefault="00671FBC" w:rsidP="00671FBC">
            <w:pPr>
              <w:jc w:val="both"/>
              <w:cnfStyle w:val="000000100000" w:firstRow="0" w:lastRow="0" w:firstColumn="0" w:lastColumn="0" w:oddVBand="0" w:evenVBand="0" w:oddHBand="1" w:evenHBand="0" w:firstRowFirstColumn="0" w:firstRowLastColumn="0" w:lastRowFirstColumn="0" w:lastRowLastColumn="0"/>
              <w:rPr>
                <w:rFonts w:cs="Calibri"/>
                <w:sz w:val="16"/>
                <w:szCs w:val="16"/>
              </w:rPr>
            </w:pPr>
            <w:r w:rsidRPr="00843EDC">
              <w:rPr>
                <w:rFonts w:cs="Calibri"/>
                <w:sz w:val="16"/>
                <w:szCs w:val="16"/>
              </w:rPr>
              <w:t>MRRFEU</w:t>
            </w:r>
          </w:p>
        </w:tc>
        <w:tc>
          <w:tcPr>
            <w:cnfStyle w:val="000010000000" w:firstRow="0" w:lastRow="0" w:firstColumn="0" w:lastColumn="0" w:oddVBand="1" w:evenVBand="0" w:oddHBand="0" w:evenHBand="0" w:firstRowFirstColumn="0" w:firstRowLastColumn="0" w:lastRowFirstColumn="0" w:lastRowLastColumn="0"/>
            <w:tcW w:w="2782" w:type="dxa"/>
            <w:gridSpan w:val="2"/>
            <w:hideMark/>
          </w:tcPr>
          <w:p w:rsidR="00671FBC" w:rsidRPr="00843EDC" w:rsidRDefault="00671FBC" w:rsidP="00671FBC">
            <w:pPr>
              <w:jc w:val="both"/>
              <w:rPr>
                <w:rFonts w:cs="Calibri"/>
                <w:sz w:val="16"/>
                <w:szCs w:val="16"/>
              </w:rPr>
            </w:pPr>
            <w:r w:rsidRPr="00843EDC">
              <w:rPr>
                <w:rFonts w:cs="Calibri"/>
                <w:sz w:val="16"/>
                <w:szCs w:val="16"/>
              </w:rPr>
              <w:t>ARR RH, AIK</w:t>
            </w:r>
          </w:p>
        </w:tc>
        <w:tc>
          <w:tcPr>
            <w:tcW w:w="1530" w:type="dxa"/>
            <w:tcBorders>
              <w:left w:val="nil"/>
            </w:tcBorders>
            <w:hideMark/>
          </w:tcPr>
          <w:p w:rsidR="00671FBC" w:rsidRPr="00843EDC" w:rsidRDefault="00671FBC" w:rsidP="00671FBC">
            <w:pPr>
              <w:jc w:val="both"/>
              <w:cnfStyle w:val="000000100000" w:firstRow="0" w:lastRow="0" w:firstColumn="0" w:lastColumn="0" w:oddVBand="0" w:evenVBand="0" w:oddHBand="1" w:evenHBand="0" w:firstRowFirstColumn="0" w:firstRowLastColumn="0" w:lastRowFirstColumn="0" w:lastRowLastColumn="0"/>
              <w:rPr>
                <w:rFonts w:cs="Calibri"/>
                <w:sz w:val="16"/>
                <w:szCs w:val="16"/>
              </w:rPr>
            </w:pPr>
            <w:r w:rsidRPr="00843EDC">
              <w:rPr>
                <w:rFonts w:cs="Calibri"/>
                <w:sz w:val="16"/>
                <w:szCs w:val="16"/>
              </w:rPr>
              <w:t>Kontinuirano</w:t>
            </w:r>
          </w:p>
        </w:tc>
      </w:tr>
      <w:tr w:rsidR="00671FBC" w:rsidRPr="00843EDC" w:rsidTr="00671FBC">
        <w:trPr>
          <w:trHeight w:val="1724"/>
        </w:trPr>
        <w:tc>
          <w:tcPr>
            <w:cnfStyle w:val="001000000000" w:firstRow="0" w:lastRow="0" w:firstColumn="1" w:lastColumn="0" w:oddVBand="0" w:evenVBand="0" w:oddHBand="0" w:evenHBand="0" w:firstRowFirstColumn="0" w:firstRowLastColumn="0" w:lastRowFirstColumn="0" w:lastRowLastColumn="0"/>
            <w:tcW w:w="3027" w:type="dxa"/>
            <w:tcBorders>
              <w:top w:val="nil"/>
              <w:left w:val="single" w:sz="8" w:space="0" w:color="4F81BD" w:themeColor="accent1"/>
              <w:bottom w:val="nil"/>
              <w:right w:val="nil"/>
            </w:tcBorders>
            <w:shd w:val="clear" w:color="auto" w:fill="DBE5F1" w:themeFill="accent1" w:themeFillTint="33"/>
          </w:tcPr>
          <w:p w:rsidR="00671FBC" w:rsidRPr="00843EDC" w:rsidRDefault="00671FBC" w:rsidP="00671FBC">
            <w:pPr>
              <w:ind w:right="480"/>
              <w:rPr>
                <w:rFonts w:eastAsia="MS Mincho" w:cs="Calibri"/>
                <w:sz w:val="16"/>
                <w:szCs w:val="16"/>
                <w:lang w:eastAsia="ja-JP"/>
              </w:rPr>
            </w:pPr>
            <w:r w:rsidRPr="00843EDC">
              <w:rPr>
                <w:rFonts w:eastAsia="MS Mincho" w:cs="Calibri"/>
                <w:sz w:val="16"/>
                <w:szCs w:val="16"/>
                <w:lang w:eastAsia="ja-JP"/>
              </w:rPr>
              <w:t xml:space="preserve">Prioritet 2. Promicanje Republike Hrvatske kao poželjne investicijske destinacije </w:t>
            </w:r>
          </w:p>
          <w:p w:rsidR="00671FBC" w:rsidRPr="00843EDC" w:rsidRDefault="00671FBC" w:rsidP="00671FBC">
            <w:pPr>
              <w:ind w:right="480"/>
              <w:jc w:val="both"/>
              <w:rPr>
                <w:rFonts w:eastAsia="MS Mincho" w:cs="Calibri"/>
                <w:sz w:val="16"/>
                <w:szCs w:val="16"/>
                <w:lang w:eastAsia="ja-JP"/>
              </w:rPr>
            </w:pPr>
          </w:p>
          <w:p w:rsidR="00671FBC" w:rsidRPr="00843EDC" w:rsidRDefault="00671FBC" w:rsidP="00671FBC">
            <w:pPr>
              <w:autoSpaceDE w:val="0"/>
              <w:autoSpaceDN w:val="0"/>
              <w:adjustRightInd w:val="0"/>
              <w:jc w:val="both"/>
              <w:rPr>
                <w:rFonts w:eastAsia="MS Mincho" w:cs="Calibri"/>
                <w:sz w:val="16"/>
                <w:szCs w:val="16"/>
                <w:lang w:eastAsia="ja-JP"/>
              </w:rPr>
            </w:pPr>
          </w:p>
        </w:tc>
        <w:tc>
          <w:tcPr>
            <w:cnfStyle w:val="000010000000" w:firstRow="0" w:lastRow="0" w:firstColumn="0" w:lastColumn="0" w:oddVBand="1" w:evenVBand="0" w:oddHBand="0" w:evenHBand="0" w:firstRowFirstColumn="0" w:firstRowLastColumn="0" w:lastRowFirstColumn="0" w:lastRowLastColumn="0"/>
            <w:tcW w:w="6260" w:type="dxa"/>
            <w:tcBorders>
              <w:top w:val="nil"/>
              <w:bottom w:val="nil"/>
            </w:tcBorders>
            <w:shd w:val="clear" w:color="auto" w:fill="DBE5F1" w:themeFill="accent1" w:themeFillTint="33"/>
            <w:hideMark/>
          </w:tcPr>
          <w:p w:rsidR="00671FBC" w:rsidRPr="00843EDC" w:rsidRDefault="00671FBC" w:rsidP="00671FBC">
            <w:pPr>
              <w:autoSpaceDE w:val="0"/>
              <w:autoSpaceDN w:val="0"/>
              <w:adjustRightInd w:val="0"/>
              <w:jc w:val="both"/>
              <w:rPr>
                <w:rFonts w:eastAsia="TTE22ACBD0t00" w:cs="Calibri"/>
                <w:sz w:val="16"/>
                <w:szCs w:val="16"/>
              </w:rPr>
            </w:pPr>
            <w:r w:rsidRPr="00843EDC">
              <w:rPr>
                <w:rFonts w:eastAsia="TTE22ACBD0t00" w:cs="Calibri"/>
                <w:sz w:val="16"/>
                <w:szCs w:val="16"/>
              </w:rPr>
              <w:t xml:space="preserve">Izrada i provedba Komunikacijske strategije za poticanje investicija </w:t>
            </w:r>
          </w:p>
          <w:p w:rsidR="00671FBC" w:rsidRPr="00843EDC" w:rsidRDefault="00671FBC" w:rsidP="00671FBC">
            <w:pPr>
              <w:jc w:val="both"/>
              <w:rPr>
                <w:rFonts w:eastAsia="MS Mincho" w:cs="Calibri"/>
                <w:sz w:val="16"/>
                <w:szCs w:val="16"/>
                <w:lang w:eastAsia="ja-JP"/>
              </w:rPr>
            </w:pPr>
            <w:r w:rsidRPr="00843EDC">
              <w:rPr>
                <w:rFonts w:eastAsia="MS Mincho" w:cs="Calibri"/>
                <w:sz w:val="16"/>
                <w:szCs w:val="16"/>
                <w:lang w:eastAsia="ja-JP"/>
              </w:rPr>
              <w:t>Izrada hrvatskog 'paketa prednosti' i investicijskog profila zemlje po sektorima</w:t>
            </w:r>
          </w:p>
          <w:p w:rsidR="00671FBC" w:rsidRPr="00843EDC" w:rsidRDefault="00671FBC" w:rsidP="00671FBC">
            <w:pPr>
              <w:spacing w:line="264" w:lineRule="auto"/>
              <w:jc w:val="both"/>
              <w:rPr>
                <w:rFonts w:cs="Calibri"/>
                <w:sz w:val="16"/>
                <w:szCs w:val="16"/>
              </w:rPr>
            </w:pPr>
            <w:r w:rsidRPr="00843EDC">
              <w:rPr>
                <w:rFonts w:cs="Calibri"/>
                <w:sz w:val="16"/>
                <w:szCs w:val="16"/>
              </w:rPr>
              <w:t xml:space="preserve">Sektorsko </w:t>
            </w:r>
            <w:proofErr w:type="spellStart"/>
            <w:r w:rsidRPr="00843EDC">
              <w:rPr>
                <w:rFonts w:cs="Calibri"/>
                <w:sz w:val="16"/>
                <w:szCs w:val="16"/>
              </w:rPr>
              <w:t>brendiranje</w:t>
            </w:r>
            <w:proofErr w:type="spellEnd"/>
            <w:r w:rsidRPr="00843EDC">
              <w:rPr>
                <w:rFonts w:cs="Calibri"/>
                <w:sz w:val="16"/>
                <w:szCs w:val="16"/>
              </w:rPr>
              <w:t xml:space="preserve"> i </w:t>
            </w:r>
            <w:proofErr w:type="spellStart"/>
            <w:r w:rsidRPr="00843EDC">
              <w:rPr>
                <w:rFonts w:cs="Calibri"/>
                <w:sz w:val="16"/>
                <w:szCs w:val="16"/>
              </w:rPr>
              <w:t>brendiranje</w:t>
            </w:r>
            <w:proofErr w:type="spellEnd"/>
            <w:r w:rsidRPr="00843EDC">
              <w:rPr>
                <w:rFonts w:cs="Calibri"/>
                <w:sz w:val="16"/>
                <w:szCs w:val="16"/>
              </w:rPr>
              <w:t xml:space="preserve"> regija i velikih gradova</w:t>
            </w:r>
          </w:p>
          <w:p w:rsidR="00671FBC" w:rsidRPr="00843EDC" w:rsidRDefault="00671FBC" w:rsidP="00671FBC">
            <w:pPr>
              <w:spacing w:line="264" w:lineRule="auto"/>
              <w:jc w:val="both"/>
              <w:rPr>
                <w:rFonts w:cs="Calibri"/>
                <w:sz w:val="16"/>
                <w:szCs w:val="16"/>
              </w:rPr>
            </w:pPr>
            <w:r w:rsidRPr="00843EDC">
              <w:rPr>
                <w:bCs/>
                <w:sz w:val="16"/>
                <w:szCs w:val="16"/>
              </w:rPr>
              <w:t>Jačanje uloge gospodarske diplomacije u privlačenju investicija</w:t>
            </w:r>
          </w:p>
        </w:tc>
        <w:tc>
          <w:tcPr>
            <w:tcW w:w="1113" w:type="dxa"/>
            <w:gridSpan w:val="2"/>
            <w:tcBorders>
              <w:top w:val="nil"/>
              <w:left w:val="nil"/>
              <w:bottom w:val="nil"/>
              <w:right w:val="nil"/>
            </w:tcBorders>
            <w:shd w:val="clear" w:color="auto" w:fill="DBE5F1" w:themeFill="accent1" w:themeFillTint="33"/>
            <w:hideMark/>
          </w:tcPr>
          <w:p w:rsidR="00671FBC" w:rsidRPr="00843EDC" w:rsidRDefault="00671FBC" w:rsidP="00671FBC">
            <w:pPr>
              <w:jc w:val="both"/>
              <w:cnfStyle w:val="000000000000" w:firstRow="0" w:lastRow="0" w:firstColumn="0" w:lastColumn="0" w:oddVBand="0" w:evenVBand="0" w:oddHBand="0" w:evenHBand="0" w:firstRowFirstColumn="0" w:firstRowLastColumn="0" w:lastRowFirstColumn="0" w:lastRowLastColumn="0"/>
              <w:rPr>
                <w:rFonts w:cs="Calibri"/>
                <w:sz w:val="16"/>
                <w:szCs w:val="16"/>
              </w:rPr>
            </w:pPr>
            <w:r>
              <w:rPr>
                <w:rFonts w:cs="Calibri"/>
                <w:sz w:val="16"/>
                <w:szCs w:val="16"/>
              </w:rPr>
              <w:t xml:space="preserve">    </w:t>
            </w:r>
            <w:r w:rsidRPr="00843EDC">
              <w:rPr>
                <w:rFonts w:cs="Calibri"/>
                <w:sz w:val="16"/>
                <w:szCs w:val="16"/>
              </w:rPr>
              <w:t>MINGO</w:t>
            </w:r>
          </w:p>
        </w:tc>
        <w:tc>
          <w:tcPr>
            <w:cnfStyle w:val="000010000000" w:firstRow="0" w:lastRow="0" w:firstColumn="0" w:lastColumn="0" w:oddVBand="1" w:evenVBand="0" w:oddHBand="0" w:evenHBand="0" w:firstRowFirstColumn="0" w:firstRowLastColumn="0" w:lastRowFirstColumn="0" w:lastRowLastColumn="0"/>
            <w:tcW w:w="2782" w:type="dxa"/>
            <w:gridSpan w:val="2"/>
            <w:tcBorders>
              <w:top w:val="nil"/>
              <w:bottom w:val="nil"/>
            </w:tcBorders>
            <w:shd w:val="clear" w:color="auto" w:fill="DBE5F1" w:themeFill="accent1" w:themeFillTint="33"/>
            <w:hideMark/>
          </w:tcPr>
          <w:p w:rsidR="00671FBC" w:rsidRPr="00843EDC" w:rsidRDefault="00671FBC" w:rsidP="00671FBC">
            <w:pPr>
              <w:rPr>
                <w:rFonts w:cs="Calibri"/>
                <w:sz w:val="16"/>
                <w:szCs w:val="16"/>
              </w:rPr>
            </w:pPr>
            <w:r w:rsidRPr="00843EDC">
              <w:rPr>
                <w:rFonts w:cs="Calibri"/>
                <w:sz w:val="16"/>
                <w:szCs w:val="16"/>
              </w:rPr>
              <w:t xml:space="preserve">MINPO, MVEP, MT,  AIK, HAMAG </w:t>
            </w:r>
            <w:r w:rsidR="00C91A1D">
              <w:rPr>
                <w:rFonts w:cs="Calibri"/>
                <w:sz w:val="16"/>
                <w:szCs w:val="16"/>
              </w:rPr>
              <w:t>– BICRO,</w:t>
            </w:r>
            <w:r w:rsidRPr="00843EDC">
              <w:rPr>
                <w:rFonts w:cs="Calibri"/>
                <w:sz w:val="16"/>
                <w:szCs w:val="16"/>
              </w:rPr>
              <w:t xml:space="preserve">  MRRFEU,</w:t>
            </w:r>
          </w:p>
          <w:p w:rsidR="00671FBC" w:rsidRPr="00843EDC" w:rsidRDefault="00671FBC" w:rsidP="00671FBC">
            <w:pPr>
              <w:rPr>
                <w:rFonts w:cs="Calibri"/>
                <w:sz w:val="16"/>
                <w:szCs w:val="16"/>
              </w:rPr>
            </w:pPr>
            <w:r w:rsidRPr="00843EDC">
              <w:rPr>
                <w:rFonts w:cs="Calibri"/>
                <w:sz w:val="16"/>
                <w:szCs w:val="16"/>
              </w:rPr>
              <w:t>HGK, HTZ, Veleposlanstva RH, Državni ured za Hrvate izvan RH, Županijske razvojne agencije</w:t>
            </w:r>
          </w:p>
        </w:tc>
        <w:tc>
          <w:tcPr>
            <w:tcW w:w="1530" w:type="dxa"/>
            <w:tcBorders>
              <w:top w:val="nil"/>
              <w:left w:val="nil"/>
              <w:bottom w:val="nil"/>
              <w:right w:val="single" w:sz="8" w:space="0" w:color="4F81BD" w:themeColor="accent1"/>
            </w:tcBorders>
            <w:shd w:val="clear" w:color="auto" w:fill="DBE5F1" w:themeFill="accent1" w:themeFillTint="33"/>
            <w:hideMark/>
          </w:tcPr>
          <w:p w:rsidR="00671FBC" w:rsidRPr="00843EDC" w:rsidRDefault="00671FBC" w:rsidP="00671FBC">
            <w:pPr>
              <w:jc w:val="both"/>
              <w:cnfStyle w:val="000000000000" w:firstRow="0" w:lastRow="0" w:firstColumn="0" w:lastColumn="0" w:oddVBand="0" w:evenVBand="0" w:oddHBand="0" w:evenHBand="0" w:firstRowFirstColumn="0" w:firstRowLastColumn="0" w:lastRowFirstColumn="0" w:lastRowLastColumn="0"/>
              <w:rPr>
                <w:rFonts w:cs="Calibri"/>
                <w:sz w:val="16"/>
                <w:szCs w:val="16"/>
              </w:rPr>
            </w:pPr>
            <w:r w:rsidRPr="00843EDC">
              <w:rPr>
                <w:rFonts w:cs="Calibri"/>
                <w:sz w:val="16"/>
                <w:szCs w:val="16"/>
              </w:rPr>
              <w:t>Kontinuirano</w:t>
            </w:r>
          </w:p>
        </w:tc>
      </w:tr>
      <w:tr w:rsidR="00671FBC" w:rsidRPr="00843EDC" w:rsidTr="00671FBC">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3027" w:type="dxa"/>
            <w:vMerge w:val="restart"/>
            <w:tcBorders>
              <w:bottom w:val="nil"/>
              <w:right w:val="nil"/>
            </w:tcBorders>
            <w:hideMark/>
          </w:tcPr>
          <w:p w:rsidR="00671FBC" w:rsidRPr="00843EDC" w:rsidRDefault="00671FBC" w:rsidP="00671FBC">
            <w:pPr>
              <w:ind w:right="480"/>
              <w:rPr>
                <w:rFonts w:eastAsia="MS Mincho" w:cs="Calibri"/>
                <w:sz w:val="16"/>
                <w:szCs w:val="16"/>
                <w:lang w:eastAsia="ja-JP"/>
              </w:rPr>
            </w:pPr>
            <w:r w:rsidRPr="00843EDC">
              <w:rPr>
                <w:rFonts w:eastAsia="MS Mincho" w:cs="Calibri"/>
                <w:sz w:val="16"/>
                <w:szCs w:val="16"/>
                <w:lang w:eastAsia="ja-JP"/>
              </w:rPr>
              <w:t xml:space="preserve">2.1 Izrada i provedba Komunikacijske strategije za poticanje investicija </w:t>
            </w:r>
          </w:p>
        </w:tc>
        <w:tc>
          <w:tcPr>
            <w:cnfStyle w:val="000010000000" w:firstRow="0" w:lastRow="0" w:firstColumn="0" w:lastColumn="0" w:oddVBand="1" w:evenVBand="0" w:oddHBand="0" w:evenHBand="0" w:firstRowFirstColumn="0" w:firstRowLastColumn="0" w:lastRowFirstColumn="0" w:lastRowLastColumn="0"/>
            <w:tcW w:w="6260" w:type="dxa"/>
          </w:tcPr>
          <w:p w:rsidR="00671FBC" w:rsidRPr="00843EDC" w:rsidRDefault="00671FBC" w:rsidP="00671FBC">
            <w:pPr>
              <w:autoSpaceDE w:val="0"/>
              <w:autoSpaceDN w:val="0"/>
              <w:adjustRightInd w:val="0"/>
              <w:jc w:val="both"/>
              <w:rPr>
                <w:rFonts w:eastAsia="TTE22ACBD0t00" w:cs="Calibri"/>
                <w:sz w:val="16"/>
                <w:szCs w:val="16"/>
              </w:rPr>
            </w:pPr>
            <w:r w:rsidRPr="00843EDC">
              <w:rPr>
                <w:rFonts w:eastAsia="TTE22ACBD0t00" w:cs="Calibri"/>
                <w:sz w:val="16"/>
                <w:szCs w:val="16"/>
              </w:rPr>
              <w:t>Izrada Komunikacijske strategije za sedmogodišnje razdoblje i izrada Akcijskog plana za 2014. godinu</w:t>
            </w:r>
          </w:p>
          <w:p w:rsidR="00671FBC" w:rsidRPr="00843EDC" w:rsidRDefault="00671FBC" w:rsidP="00671FBC">
            <w:pPr>
              <w:autoSpaceDE w:val="0"/>
              <w:autoSpaceDN w:val="0"/>
              <w:adjustRightInd w:val="0"/>
              <w:jc w:val="both"/>
              <w:rPr>
                <w:rFonts w:eastAsia="TTE22ACBD0t00" w:cs="Calibri"/>
                <w:sz w:val="16"/>
                <w:szCs w:val="16"/>
              </w:rPr>
            </w:pPr>
          </w:p>
          <w:p w:rsidR="00671FBC" w:rsidRPr="00843EDC" w:rsidRDefault="00671FBC" w:rsidP="00671FBC">
            <w:pPr>
              <w:jc w:val="both"/>
              <w:rPr>
                <w:rFonts w:cs="Calibri"/>
                <w:sz w:val="16"/>
                <w:szCs w:val="16"/>
              </w:rPr>
            </w:pPr>
          </w:p>
        </w:tc>
        <w:tc>
          <w:tcPr>
            <w:tcW w:w="1113" w:type="dxa"/>
            <w:gridSpan w:val="2"/>
            <w:vMerge w:val="restart"/>
            <w:tcBorders>
              <w:left w:val="nil"/>
              <w:bottom w:val="nil"/>
              <w:right w:val="nil"/>
            </w:tcBorders>
            <w:hideMark/>
          </w:tcPr>
          <w:p w:rsidR="00671FBC" w:rsidRPr="00843EDC" w:rsidRDefault="00671FBC" w:rsidP="00671FBC">
            <w:pPr>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843EDC">
              <w:rPr>
                <w:rFonts w:cs="Calibri"/>
                <w:sz w:val="16"/>
                <w:szCs w:val="16"/>
              </w:rPr>
              <w:t>MINGO</w:t>
            </w:r>
          </w:p>
        </w:tc>
        <w:tc>
          <w:tcPr>
            <w:cnfStyle w:val="000010000000" w:firstRow="0" w:lastRow="0" w:firstColumn="0" w:lastColumn="0" w:oddVBand="1" w:evenVBand="0" w:oddHBand="0" w:evenHBand="0" w:firstRowFirstColumn="0" w:firstRowLastColumn="0" w:lastRowFirstColumn="0" w:lastRowLastColumn="0"/>
            <w:tcW w:w="2782" w:type="dxa"/>
            <w:gridSpan w:val="2"/>
            <w:vMerge w:val="restart"/>
            <w:tcBorders>
              <w:bottom w:val="nil"/>
            </w:tcBorders>
            <w:hideMark/>
          </w:tcPr>
          <w:p w:rsidR="00671FBC" w:rsidRPr="00843EDC" w:rsidRDefault="00671FBC" w:rsidP="00671FBC">
            <w:pPr>
              <w:jc w:val="center"/>
              <w:rPr>
                <w:rFonts w:cs="Calibri"/>
                <w:sz w:val="16"/>
                <w:szCs w:val="16"/>
              </w:rPr>
            </w:pPr>
            <w:r w:rsidRPr="00843EDC">
              <w:rPr>
                <w:rFonts w:cs="Calibri"/>
                <w:sz w:val="16"/>
                <w:szCs w:val="16"/>
              </w:rPr>
              <w:t xml:space="preserve">MINPO, MVEP, MT, AIK, HAMAG </w:t>
            </w:r>
            <w:r w:rsidR="00C91A1D">
              <w:rPr>
                <w:rFonts w:cs="Calibri"/>
                <w:sz w:val="16"/>
                <w:szCs w:val="16"/>
              </w:rPr>
              <w:t>– BICRO,</w:t>
            </w:r>
            <w:r w:rsidRPr="00843EDC">
              <w:rPr>
                <w:rFonts w:cs="Calibri"/>
                <w:sz w:val="16"/>
                <w:szCs w:val="16"/>
              </w:rPr>
              <w:t xml:space="preserve">  MRRFEU</w:t>
            </w:r>
          </w:p>
          <w:p w:rsidR="00671FBC" w:rsidRPr="00843EDC" w:rsidRDefault="00671FBC" w:rsidP="00671FBC">
            <w:pPr>
              <w:jc w:val="center"/>
              <w:rPr>
                <w:rFonts w:cs="Calibri"/>
                <w:sz w:val="16"/>
                <w:szCs w:val="16"/>
              </w:rPr>
            </w:pPr>
            <w:r w:rsidRPr="00843EDC">
              <w:rPr>
                <w:rFonts w:cs="Calibri"/>
                <w:sz w:val="16"/>
                <w:szCs w:val="16"/>
              </w:rPr>
              <w:t>HGK, HTZ, Veleposlanstva RH, Državni ured za Hrvate izvan Republike Hrvatske, Županijske razvojne agencije</w:t>
            </w:r>
          </w:p>
        </w:tc>
        <w:tc>
          <w:tcPr>
            <w:tcW w:w="1530" w:type="dxa"/>
            <w:vMerge w:val="restart"/>
            <w:tcBorders>
              <w:left w:val="nil"/>
              <w:bottom w:val="nil"/>
            </w:tcBorders>
          </w:tcPr>
          <w:p w:rsidR="00671FBC" w:rsidRPr="00843EDC" w:rsidRDefault="00C91A1D" w:rsidP="00671FBC">
            <w:pPr>
              <w:spacing w:line="288" w:lineRule="auto"/>
              <w:jc w:val="both"/>
              <w:cnfStyle w:val="000000100000" w:firstRow="0" w:lastRow="0" w:firstColumn="0" w:lastColumn="0" w:oddVBand="0" w:evenVBand="0" w:oddHBand="1" w:evenHBand="0" w:firstRowFirstColumn="0" w:firstRowLastColumn="0" w:lastRowFirstColumn="0" w:lastRowLastColumn="0"/>
              <w:rPr>
                <w:rFonts w:cs="Calibri"/>
                <w:sz w:val="16"/>
                <w:szCs w:val="16"/>
              </w:rPr>
            </w:pPr>
            <w:r>
              <w:rPr>
                <w:rFonts w:cs="Calibri"/>
                <w:sz w:val="16"/>
                <w:szCs w:val="16"/>
              </w:rPr>
              <w:t>Treći kvartal 2014.</w:t>
            </w:r>
          </w:p>
          <w:p w:rsidR="00671FBC" w:rsidRPr="00843EDC" w:rsidRDefault="00671FBC" w:rsidP="00671FBC">
            <w:pPr>
              <w:spacing w:line="288" w:lineRule="auto"/>
              <w:jc w:val="both"/>
              <w:cnfStyle w:val="000000100000" w:firstRow="0" w:lastRow="0" w:firstColumn="0" w:lastColumn="0" w:oddVBand="0" w:evenVBand="0" w:oddHBand="1" w:evenHBand="0" w:firstRowFirstColumn="0" w:firstRowLastColumn="0" w:lastRowFirstColumn="0" w:lastRowLastColumn="0"/>
              <w:rPr>
                <w:rFonts w:cs="Calibri"/>
                <w:sz w:val="16"/>
                <w:szCs w:val="16"/>
              </w:rPr>
            </w:pPr>
          </w:p>
          <w:p w:rsidR="00671FBC" w:rsidRPr="00843EDC" w:rsidRDefault="00671FBC" w:rsidP="00671FBC">
            <w:pPr>
              <w:spacing w:line="288" w:lineRule="auto"/>
              <w:jc w:val="both"/>
              <w:cnfStyle w:val="000000100000" w:firstRow="0" w:lastRow="0" w:firstColumn="0" w:lastColumn="0" w:oddVBand="0" w:evenVBand="0" w:oddHBand="1" w:evenHBand="0" w:firstRowFirstColumn="0" w:firstRowLastColumn="0" w:lastRowFirstColumn="0" w:lastRowLastColumn="0"/>
              <w:rPr>
                <w:rFonts w:cs="Calibri"/>
                <w:sz w:val="16"/>
                <w:szCs w:val="16"/>
              </w:rPr>
            </w:pPr>
          </w:p>
          <w:p w:rsidR="00671FBC" w:rsidRPr="00843EDC" w:rsidRDefault="00671FBC" w:rsidP="00671FBC">
            <w:pPr>
              <w:spacing w:line="288" w:lineRule="auto"/>
              <w:jc w:val="both"/>
              <w:cnfStyle w:val="000000100000" w:firstRow="0" w:lastRow="0" w:firstColumn="0" w:lastColumn="0" w:oddVBand="0" w:evenVBand="0" w:oddHBand="1" w:evenHBand="0" w:firstRowFirstColumn="0" w:firstRowLastColumn="0" w:lastRowFirstColumn="0" w:lastRowLastColumn="0"/>
              <w:rPr>
                <w:rFonts w:cs="Calibri"/>
                <w:sz w:val="16"/>
                <w:szCs w:val="16"/>
              </w:rPr>
            </w:pPr>
            <w:r w:rsidRPr="00843EDC">
              <w:rPr>
                <w:rFonts w:cs="Calibri"/>
                <w:sz w:val="16"/>
                <w:szCs w:val="16"/>
              </w:rPr>
              <w:t>Kontinuirano</w:t>
            </w:r>
          </w:p>
          <w:p w:rsidR="00671FBC" w:rsidRPr="00843EDC" w:rsidRDefault="00671FBC" w:rsidP="00671FBC">
            <w:pPr>
              <w:spacing w:line="288" w:lineRule="auto"/>
              <w:jc w:val="both"/>
              <w:cnfStyle w:val="000000100000" w:firstRow="0" w:lastRow="0" w:firstColumn="0" w:lastColumn="0" w:oddVBand="0" w:evenVBand="0" w:oddHBand="1" w:evenHBand="0" w:firstRowFirstColumn="0" w:firstRowLastColumn="0" w:lastRowFirstColumn="0" w:lastRowLastColumn="0"/>
              <w:rPr>
                <w:rFonts w:cs="Calibri"/>
                <w:sz w:val="16"/>
                <w:szCs w:val="16"/>
              </w:rPr>
            </w:pPr>
          </w:p>
          <w:p w:rsidR="00671FBC" w:rsidRPr="00843EDC" w:rsidRDefault="00671FBC" w:rsidP="00671FBC">
            <w:pPr>
              <w:spacing w:line="288" w:lineRule="auto"/>
              <w:jc w:val="both"/>
              <w:cnfStyle w:val="000000100000" w:firstRow="0" w:lastRow="0" w:firstColumn="0" w:lastColumn="0" w:oddVBand="0" w:evenVBand="0" w:oddHBand="1" w:evenHBand="0" w:firstRowFirstColumn="0" w:firstRowLastColumn="0" w:lastRowFirstColumn="0" w:lastRowLastColumn="0"/>
              <w:rPr>
                <w:rFonts w:cs="Calibri"/>
                <w:sz w:val="16"/>
                <w:szCs w:val="16"/>
              </w:rPr>
            </w:pPr>
          </w:p>
        </w:tc>
      </w:tr>
      <w:tr w:rsidR="00671FBC" w:rsidRPr="00843EDC" w:rsidTr="00671FBC">
        <w:trPr>
          <w:trHeight w:val="480"/>
        </w:trPr>
        <w:tc>
          <w:tcPr>
            <w:cnfStyle w:val="001000000000" w:firstRow="0" w:lastRow="0" w:firstColumn="1" w:lastColumn="0" w:oddVBand="0" w:evenVBand="0" w:oddHBand="0" w:evenHBand="0" w:firstRowFirstColumn="0" w:firstRowLastColumn="0" w:lastRowFirstColumn="0" w:lastRowLastColumn="0"/>
            <w:tcW w:w="3027" w:type="dxa"/>
            <w:vMerge/>
            <w:tcBorders>
              <w:top w:val="single" w:sz="8" w:space="0" w:color="4F81BD" w:themeColor="accent1"/>
              <w:left w:val="single" w:sz="8" w:space="0" w:color="4F81BD" w:themeColor="accent1"/>
              <w:bottom w:val="nil"/>
              <w:right w:val="nil"/>
            </w:tcBorders>
            <w:vAlign w:val="center"/>
            <w:hideMark/>
          </w:tcPr>
          <w:p w:rsidR="00671FBC" w:rsidRPr="00843EDC" w:rsidRDefault="00671FBC" w:rsidP="00671FBC">
            <w:pPr>
              <w:spacing w:after="0" w:line="240" w:lineRule="auto"/>
              <w:rPr>
                <w:rFonts w:eastAsia="MS Mincho" w:cs="Calibri"/>
                <w:sz w:val="16"/>
                <w:szCs w:val="16"/>
                <w:lang w:eastAsia="ja-JP"/>
              </w:rPr>
            </w:pPr>
          </w:p>
        </w:tc>
        <w:tc>
          <w:tcPr>
            <w:cnfStyle w:val="000010000000" w:firstRow="0" w:lastRow="0" w:firstColumn="0" w:lastColumn="0" w:oddVBand="1" w:evenVBand="0" w:oddHBand="0" w:evenHBand="0" w:firstRowFirstColumn="0" w:firstRowLastColumn="0" w:lastRowFirstColumn="0" w:lastRowLastColumn="0"/>
            <w:tcW w:w="6260" w:type="dxa"/>
            <w:tcBorders>
              <w:top w:val="nil"/>
              <w:bottom w:val="nil"/>
            </w:tcBorders>
            <w:hideMark/>
          </w:tcPr>
          <w:p w:rsidR="00671FBC" w:rsidRPr="00843EDC" w:rsidRDefault="00671FBC" w:rsidP="00671FBC">
            <w:pPr>
              <w:autoSpaceDE w:val="0"/>
              <w:autoSpaceDN w:val="0"/>
              <w:adjustRightInd w:val="0"/>
              <w:jc w:val="both"/>
              <w:rPr>
                <w:rFonts w:cs="Calibri"/>
                <w:sz w:val="16"/>
                <w:szCs w:val="16"/>
              </w:rPr>
            </w:pPr>
            <w:r w:rsidRPr="00843EDC">
              <w:rPr>
                <w:rFonts w:eastAsia="TTE22ACBD0t00" w:cs="Calibri"/>
                <w:sz w:val="16"/>
                <w:szCs w:val="16"/>
              </w:rPr>
              <w:t>Provedba Akcijskog plana za 2014. godinu</w:t>
            </w:r>
          </w:p>
        </w:tc>
        <w:tc>
          <w:tcPr>
            <w:tcW w:w="2247" w:type="dxa"/>
            <w:gridSpan w:val="2"/>
            <w:vMerge/>
            <w:tcBorders>
              <w:top w:val="nil"/>
              <w:left w:val="single" w:sz="8" w:space="0" w:color="4F81BD" w:themeColor="accent1"/>
              <w:bottom w:val="nil"/>
            </w:tcBorders>
            <w:vAlign w:val="center"/>
            <w:hideMark/>
          </w:tcPr>
          <w:p w:rsidR="00671FBC" w:rsidRPr="00843EDC" w:rsidRDefault="00671FBC" w:rsidP="00671FBC">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16"/>
                <w:szCs w:val="16"/>
              </w:rPr>
            </w:pPr>
          </w:p>
        </w:tc>
        <w:tc>
          <w:tcPr>
            <w:cnfStyle w:val="000010000000" w:firstRow="0" w:lastRow="0" w:firstColumn="0" w:lastColumn="0" w:oddVBand="1" w:evenVBand="0" w:oddHBand="0" w:evenHBand="0" w:firstRowFirstColumn="0" w:firstRowLastColumn="0" w:lastRowFirstColumn="0" w:lastRowLastColumn="0"/>
            <w:tcW w:w="5508" w:type="dxa"/>
            <w:gridSpan w:val="2"/>
            <w:vMerge/>
            <w:tcBorders>
              <w:top w:val="nil"/>
              <w:bottom w:val="nil"/>
            </w:tcBorders>
            <w:vAlign w:val="center"/>
            <w:hideMark/>
          </w:tcPr>
          <w:p w:rsidR="00671FBC" w:rsidRPr="00843EDC" w:rsidRDefault="00671FBC" w:rsidP="00671FBC">
            <w:pPr>
              <w:spacing w:after="0" w:line="240" w:lineRule="auto"/>
              <w:rPr>
                <w:rFonts w:cs="Calibri"/>
                <w:sz w:val="16"/>
                <w:szCs w:val="16"/>
              </w:rPr>
            </w:pPr>
          </w:p>
        </w:tc>
        <w:tc>
          <w:tcPr>
            <w:tcW w:w="1530" w:type="dxa"/>
            <w:vMerge/>
            <w:tcBorders>
              <w:top w:val="single" w:sz="8" w:space="0" w:color="4F81BD" w:themeColor="accent1"/>
              <w:left w:val="nil"/>
              <w:bottom w:val="nil"/>
              <w:right w:val="single" w:sz="8" w:space="0" w:color="4F81BD" w:themeColor="accent1"/>
            </w:tcBorders>
            <w:vAlign w:val="center"/>
            <w:hideMark/>
          </w:tcPr>
          <w:p w:rsidR="00671FBC" w:rsidRPr="00843EDC" w:rsidRDefault="00671FBC" w:rsidP="00671FBC">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16"/>
                <w:szCs w:val="16"/>
              </w:rPr>
            </w:pPr>
          </w:p>
        </w:tc>
      </w:tr>
      <w:tr w:rsidR="00671FBC" w:rsidRPr="00843EDC" w:rsidTr="00671FBC">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3027" w:type="dxa"/>
            <w:vMerge w:val="restart"/>
            <w:tcBorders>
              <w:bottom w:val="nil"/>
              <w:right w:val="nil"/>
            </w:tcBorders>
            <w:hideMark/>
          </w:tcPr>
          <w:p w:rsidR="00671FBC" w:rsidRPr="00843EDC" w:rsidRDefault="00671FBC" w:rsidP="00671FBC">
            <w:pPr>
              <w:spacing w:line="264" w:lineRule="auto"/>
              <w:rPr>
                <w:rFonts w:eastAsia="MS Mincho" w:cs="Calibri"/>
                <w:sz w:val="16"/>
                <w:szCs w:val="16"/>
                <w:lang w:eastAsia="ja-JP"/>
              </w:rPr>
            </w:pPr>
            <w:r w:rsidRPr="00843EDC">
              <w:rPr>
                <w:rFonts w:eastAsia="MS Mincho" w:cs="Calibri"/>
                <w:sz w:val="16"/>
                <w:szCs w:val="16"/>
                <w:lang w:eastAsia="ja-JP"/>
              </w:rPr>
              <w:t>2.2 Izrada hrvatskog 'paketa prednosti' i investicijskog profila zemlje po sektorima</w:t>
            </w:r>
          </w:p>
        </w:tc>
        <w:tc>
          <w:tcPr>
            <w:cnfStyle w:val="000010000000" w:firstRow="0" w:lastRow="0" w:firstColumn="0" w:lastColumn="0" w:oddVBand="1" w:evenVBand="0" w:oddHBand="0" w:evenHBand="0" w:firstRowFirstColumn="0" w:firstRowLastColumn="0" w:lastRowFirstColumn="0" w:lastRowLastColumn="0"/>
            <w:tcW w:w="6260" w:type="dxa"/>
          </w:tcPr>
          <w:p w:rsidR="00671FBC" w:rsidRPr="00843EDC" w:rsidRDefault="00671FBC" w:rsidP="00671FBC">
            <w:pPr>
              <w:jc w:val="both"/>
              <w:rPr>
                <w:rFonts w:eastAsia="MS Mincho" w:cs="Calibri"/>
                <w:sz w:val="16"/>
                <w:szCs w:val="16"/>
                <w:lang w:eastAsia="ja-JP"/>
              </w:rPr>
            </w:pPr>
            <w:r w:rsidRPr="00843EDC">
              <w:rPr>
                <w:rFonts w:cs="Calibri"/>
                <w:sz w:val="16"/>
                <w:szCs w:val="16"/>
              </w:rPr>
              <w:t xml:space="preserve">Izrada hrvatskog </w:t>
            </w:r>
            <w:r w:rsidRPr="00843EDC">
              <w:rPr>
                <w:rFonts w:eastAsia="MS Mincho" w:cs="Calibri"/>
                <w:sz w:val="16"/>
                <w:szCs w:val="16"/>
                <w:lang w:eastAsia="ja-JP"/>
              </w:rPr>
              <w:t>'paketa prednosti'</w:t>
            </w:r>
          </w:p>
          <w:p w:rsidR="00671FBC" w:rsidRPr="00843EDC" w:rsidRDefault="00671FBC" w:rsidP="00671FBC">
            <w:pPr>
              <w:jc w:val="both"/>
              <w:rPr>
                <w:rFonts w:eastAsia="MS Mincho" w:cs="Calibri"/>
                <w:sz w:val="16"/>
                <w:szCs w:val="16"/>
                <w:lang w:eastAsia="ja-JP"/>
              </w:rPr>
            </w:pPr>
          </w:p>
          <w:p w:rsidR="00671FBC" w:rsidRPr="00843EDC" w:rsidRDefault="00671FBC" w:rsidP="00671FBC">
            <w:pPr>
              <w:jc w:val="both"/>
              <w:rPr>
                <w:rFonts w:cs="Calibri"/>
                <w:sz w:val="16"/>
                <w:szCs w:val="16"/>
              </w:rPr>
            </w:pPr>
          </w:p>
        </w:tc>
        <w:tc>
          <w:tcPr>
            <w:tcW w:w="1113" w:type="dxa"/>
            <w:gridSpan w:val="2"/>
            <w:vMerge w:val="restart"/>
            <w:tcBorders>
              <w:left w:val="nil"/>
              <w:bottom w:val="nil"/>
              <w:right w:val="nil"/>
            </w:tcBorders>
          </w:tcPr>
          <w:p w:rsidR="00671FBC" w:rsidRPr="00843EDC" w:rsidRDefault="00671FBC" w:rsidP="00671FBC">
            <w:pPr>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p>
          <w:p w:rsidR="00671FBC" w:rsidRPr="00843EDC" w:rsidRDefault="00671FBC" w:rsidP="00671FBC">
            <w:pPr>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843EDC">
              <w:rPr>
                <w:rFonts w:cs="Calibri"/>
                <w:sz w:val="16"/>
                <w:szCs w:val="16"/>
              </w:rPr>
              <w:t>AIK</w:t>
            </w:r>
          </w:p>
          <w:p w:rsidR="00671FBC" w:rsidRPr="00843EDC" w:rsidRDefault="00671FBC" w:rsidP="00671FBC">
            <w:pPr>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cnfStyle w:val="000010000000" w:firstRow="0" w:lastRow="0" w:firstColumn="0" w:lastColumn="0" w:oddVBand="1" w:evenVBand="0" w:oddHBand="0" w:evenHBand="0" w:firstRowFirstColumn="0" w:firstRowLastColumn="0" w:lastRowFirstColumn="0" w:lastRowLastColumn="0"/>
            <w:tcW w:w="2782" w:type="dxa"/>
            <w:gridSpan w:val="2"/>
            <w:vMerge w:val="restart"/>
            <w:tcBorders>
              <w:bottom w:val="nil"/>
            </w:tcBorders>
            <w:hideMark/>
          </w:tcPr>
          <w:p w:rsidR="00671FBC" w:rsidRPr="00843EDC" w:rsidRDefault="00671FBC" w:rsidP="00671FBC">
            <w:pPr>
              <w:rPr>
                <w:rFonts w:cs="Calibri"/>
                <w:sz w:val="16"/>
                <w:szCs w:val="16"/>
              </w:rPr>
            </w:pPr>
            <w:r w:rsidRPr="00843EDC">
              <w:rPr>
                <w:rFonts w:cs="Calibri"/>
                <w:sz w:val="16"/>
                <w:szCs w:val="16"/>
              </w:rPr>
              <w:t>MINGO, MINPO, MVEP, MT, MRRFEU, HAMAG  INVEST, HGK, HTZ, ARR RH,</w:t>
            </w:r>
            <w:r w:rsidRPr="00843EDC">
              <w:rPr>
                <w:sz w:val="16"/>
                <w:szCs w:val="16"/>
              </w:rPr>
              <w:t xml:space="preserve"> Jedinice lokalne i područne (regionalne) samouprave</w:t>
            </w:r>
            <w:r w:rsidRPr="00843EDC">
              <w:rPr>
                <w:rFonts w:cs="Calibri"/>
                <w:sz w:val="16"/>
                <w:szCs w:val="16"/>
              </w:rPr>
              <w:t xml:space="preserve"> , Županijske razvojne agencije</w:t>
            </w:r>
          </w:p>
        </w:tc>
        <w:tc>
          <w:tcPr>
            <w:tcW w:w="1530" w:type="dxa"/>
            <w:vMerge w:val="restart"/>
            <w:tcBorders>
              <w:left w:val="nil"/>
              <w:bottom w:val="nil"/>
            </w:tcBorders>
          </w:tcPr>
          <w:p w:rsidR="00671FBC" w:rsidRPr="00843EDC" w:rsidRDefault="00C91A1D" w:rsidP="00671FBC">
            <w:pPr>
              <w:spacing w:line="288" w:lineRule="auto"/>
              <w:jc w:val="both"/>
              <w:cnfStyle w:val="000000100000" w:firstRow="0" w:lastRow="0" w:firstColumn="0" w:lastColumn="0" w:oddVBand="0" w:evenVBand="0" w:oddHBand="1" w:evenHBand="0" w:firstRowFirstColumn="0" w:firstRowLastColumn="0" w:lastRowFirstColumn="0" w:lastRowLastColumn="0"/>
              <w:rPr>
                <w:rFonts w:cs="Calibri"/>
                <w:sz w:val="16"/>
                <w:szCs w:val="16"/>
              </w:rPr>
            </w:pPr>
            <w:r>
              <w:rPr>
                <w:rFonts w:cs="Calibri"/>
                <w:sz w:val="16"/>
                <w:szCs w:val="16"/>
              </w:rPr>
              <w:t>Treći kvartal 2014.</w:t>
            </w:r>
          </w:p>
          <w:p w:rsidR="00671FBC" w:rsidRPr="00843EDC" w:rsidRDefault="00671FBC" w:rsidP="00671FBC">
            <w:pPr>
              <w:spacing w:line="288" w:lineRule="auto"/>
              <w:jc w:val="both"/>
              <w:cnfStyle w:val="000000100000" w:firstRow="0" w:lastRow="0" w:firstColumn="0" w:lastColumn="0" w:oddVBand="0" w:evenVBand="0" w:oddHBand="1" w:evenHBand="0" w:firstRowFirstColumn="0" w:firstRowLastColumn="0" w:lastRowFirstColumn="0" w:lastRowLastColumn="0"/>
              <w:rPr>
                <w:rFonts w:cs="Calibri"/>
                <w:sz w:val="16"/>
                <w:szCs w:val="16"/>
              </w:rPr>
            </w:pPr>
          </w:p>
        </w:tc>
      </w:tr>
      <w:tr w:rsidR="00671FBC" w:rsidRPr="00843EDC" w:rsidTr="00671FBC">
        <w:trPr>
          <w:trHeight w:val="635"/>
        </w:trPr>
        <w:tc>
          <w:tcPr>
            <w:cnfStyle w:val="001000000000" w:firstRow="0" w:lastRow="0" w:firstColumn="1" w:lastColumn="0" w:oddVBand="0" w:evenVBand="0" w:oddHBand="0" w:evenHBand="0" w:firstRowFirstColumn="0" w:firstRowLastColumn="0" w:lastRowFirstColumn="0" w:lastRowLastColumn="0"/>
            <w:tcW w:w="3027" w:type="dxa"/>
            <w:vMerge/>
            <w:tcBorders>
              <w:top w:val="single" w:sz="8" w:space="0" w:color="4F81BD" w:themeColor="accent1"/>
              <w:left w:val="single" w:sz="8" w:space="0" w:color="4F81BD" w:themeColor="accent1"/>
              <w:bottom w:val="nil"/>
              <w:right w:val="nil"/>
            </w:tcBorders>
            <w:vAlign w:val="center"/>
            <w:hideMark/>
          </w:tcPr>
          <w:p w:rsidR="00671FBC" w:rsidRPr="00843EDC" w:rsidRDefault="00671FBC" w:rsidP="00671FBC">
            <w:pPr>
              <w:spacing w:after="0" w:line="240" w:lineRule="auto"/>
              <w:rPr>
                <w:rFonts w:eastAsia="MS Mincho" w:cs="Calibri"/>
                <w:sz w:val="16"/>
                <w:szCs w:val="16"/>
                <w:lang w:eastAsia="ja-JP"/>
              </w:rPr>
            </w:pPr>
          </w:p>
        </w:tc>
        <w:tc>
          <w:tcPr>
            <w:cnfStyle w:val="000010000000" w:firstRow="0" w:lastRow="0" w:firstColumn="0" w:lastColumn="0" w:oddVBand="1" w:evenVBand="0" w:oddHBand="0" w:evenHBand="0" w:firstRowFirstColumn="0" w:firstRowLastColumn="0" w:lastRowFirstColumn="0" w:lastRowLastColumn="0"/>
            <w:tcW w:w="6260" w:type="dxa"/>
            <w:tcBorders>
              <w:top w:val="nil"/>
              <w:bottom w:val="nil"/>
            </w:tcBorders>
          </w:tcPr>
          <w:p w:rsidR="00671FBC" w:rsidRPr="00843EDC" w:rsidRDefault="00671FBC" w:rsidP="00671FBC">
            <w:pPr>
              <w:jc w:val="both"/>
              <w:rPr>
                <w:rFonts w:cs="Calibri"/>
                <w:sz w:val="16"/>
                <w:szCs w:val="16"/>
              </w:rPr>
            </w:pPr>
            <w:r w:rsidRPr="00843EDC">
              <w:rPr>
                <w:rFonts w:eastAsia="MS Mincho" w:cs="Calibri"/>
                <w:sz w:val="16"/>
                <w:szCs w:val="16"/>
                <w:lang w:eastAsia="ja-JP"/>
              </w:rPr>
              <w:t>Izrada investicijskog profila zemlje po prioritetnim sektorima za Republiku Hrvatsku</w:t>
            </w:r>
          </w:p>
          <w:p w:rsidR="00671FBC" w:rsidRPr="00843EDC" w:rsidRDefault="00671FBC" w:rsidP="00671FBC">
            <w:pPr>
              <w:jc w:val="both"/>
              <w:rPr>
                <w:rFonts w:cs="Calibri"/>
                <w:sz w:val="16"/>
                <w:szCs w:val="16"/>
              </w:rPr>
            </w:pPr>
          </w:p>
        </w:tc>
        <w:tc>
          <w:tcPr>
            <w:tcW w:w="2247" w:type="dxa"/>
            <w:gridSpan w:val="2"/>
            <w:vMerge/>
            <w:tcBorders>
              <w:top w:val="nil"/>
              <w:left w:val="single" w:sz="8" w:space="0" w:color="4F81BD" w:themeColor="accent1"/>
              <w:bottom w:val="nil"/>
            </w:tcBorders>
            <w:vAlign w:val="center"/>
            <w:hideMark/>
          </w:tcPr>
          <w:p w:rsidR="00671FBC" w:rsidRPr="00843EDC" w:rsidRDefault="00671FBC" w:rsidP="00671FBC">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16"/>
                <w:szCs w:val="16"/>
              </w:rPr>
            </w:pPr>
          </w:p>
        </w:tc>
        <w:tc>
          <w:tcPr>
            <w:cnfStyle w:val="000010000000" w:firstRow="0" w:lastRow="0" w:firstColumn="0" w:lastColumn="0" w:oddVBand="1" w:evenVBand="0" w:oddHBand="0" w:evenHBand="0" w:firstRowFirstColumn="0" w:firstRowLastColumn="0" w:lastRowFirstColumn="0" w:lastRowLastColumn="0"/>
            <w:tcW w:w="5508" w:type="dxa"/>
            <w:gridSpan w:val="2"/>
            <w:vMerge/>
            <w:tcBorders>
              <w:top w:val="nil"/>
              <w:bottom w:val="nil"/>
            </w:tcBorders>
            <w:vAlign w:val="center"/>
            <w:hideMark/>
          </w:tcPr>
          <w:p w:rsidR="00671FBC" w:rsidRPr="00843EDC" w:rsidRDefault="00671FBC" w:rsidP="00671FBC">
            <w:pPr>
              <w:spacing w:after="0" w:line="240" w:lineRule="auto"/>
              <w:rPr>
                <w:rFonts w:cs="Calibri"/>
                <w:sz w:val="16"/>
                <w:szCs w:val="16"/>
              </w:rPr>
            </w:pPr>
          </w:p>
        </w:tc>
        <w:tc>
          <w:tcPr>
            <w:tcW w:w="1530" w:type="dxa"/>
            <w:vMerge/>
            <w:tcBorders>
              <w:top w:val="single" w:sz="8" w:space="0" w:color="4F81BD" w:themeColor="accent1"/>
              <w:left w:val="nil"/>
              <w:bottom w:val="nil"/>
              <w:right w:val="single" w:sz="8" w:space="0" w:color="4F81BD" w:themeColor="accent1"/>
            </w:tcBorders>
            <w:vAlign w:val="center"/>
            <w:hideMark/>
          </w:tcPr>
          <w:p w:rsidR="00671FBC" w:rsidRPr="00843EDC" w:rsidRDefault="00671FBC" w:rsidP="00671FBC">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16"/>
                <w:szCs w:val="16"/>
              </w:rPr>
            </w:pPr>
          </w:p>
        </w:tc>
      </w:tr>
      <w:tr w:rsidR="00671FBC" w:rsidRPr="00843EDC" w:rsidTr="00671FBC">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027" w:type="dxa"/>
            <w:vMerge w:val="restart"/>
            <w:tcBorders>
              <w:bottom w:val="single" w:sz="4" w:space="0" w:color="4F81BD" w:themeColor="accent1"/>
              <w:right w:val="nil"/>
            </w:tcBorders>
          </w:tcPr>
          <w:p w:rsidR="00671FBC" w:rsidRPr="00843EDC" w:rsidRDefault="00671FBC" w:rsidP="00671FBC">
            <w:pPr>
              <w:spacing w:line="264" w:lineRule="auto"/>
              <w:ind w:right="480"/>
              <w:jc w:val="both"/>
              <w:rPr>
                <w:rFonts w:cs="Calibri"/>
                <w:sz w:val="16"/>
                <w:szCs w:val="16"/>
              </w:rPr>
            </w:pPr>
            <w:r w:rsidRPr="00843EDC">
              <w:rPr>
                <w:rFonts w:cs="Calibri"/>
                <w:sz w:val="16"/>
                <w:szCs w:val="16"/>
              </w:rPr>
              <w:lastRenderedPageBreak/>
              <w:t xml:space="preserve"> 2.3 Sektorsko </w:t>
            </w:r>
            <w:proofErr w:type="spellStart"/>
            <w:r w:rsidRPr="00843EDC">
              <w:rPr>
                <w:rFonts w:cs="Calibri"/>
                <w:sz w:val="16"/>
                <w:szCs w:val="16"/>
              </w:rPr>
              <w:t>brendiranje</w:t>
            </w:r>
            <w:proofErr w:type="spellEnd"/>
            <w:r w:rsidRPr="00843EDC">
              <w:rPr>
                <w:rFonts w:cs="Calibri"/>
                <w:sz w:val="16"/>
                <w:szCs w:val="16"/>
              </w:rPr>
              <w:t xml:space="preserve"> i </w:t>
            </w:r>
            <w:proofErr w:type="spellStart"/>
            <w:r w:rsidRPr="00843EDC">
              <w:rPr>
                <w:rFonts w:cs="Calibri"/>
                <w:sz w:val="16"/>
                <w:szCs w:val="16"/>
              </w:rPr>
              <w:t>brendiranje</w:t>
            </w:r>
            <w:proofErr w:type="spellEnd"/>
            <w:r w:rsidRPr="00843EDC">
              <w:rPr>
                <w:rFonts w:cs="Calibri"/>
                <w:sz w:val="16"/>
                <w:szCs w:val="16"/>
              </w:rPr>
              <w:t xml:space="preserve"> regija i velikih gradova</w:t>
            </w:r>
          </w:p>
          <w:p w:rsidR="00671FBC" w:rsidRPr="00843EDC" w:rsidRDefault="00671FBC" w:rsidP="00671FBC">
            <w:pPr>
              <w:spacing w:line="288" w:lineRule="auto"/>
              <w:jc w:val="both"/>
              <w:rPr>
                <w:rFonts w:cs="Calibri"/>
                <w:sz w:val="16"/>
                <w:szCs w:val="16"/>
              </w:rPr>
            </w:pPr>
          </w:p>
        </w:tc>
        <w:tc>
          <w:tcPr>
            <w:cnfStyle w:val="000010000000" w:firstRow="0" w:lastRow="0" w:firstColumn="0" w:lastColumn="0" w:oddVBand="1" w:evenVBand="0" w:oddHBand="0" w:evenHBand="0" w:firstRowFirstColumn="0" w:firstRowLastColumn="0" w:lastRowFirstColumn="0" w:lastRowLastColumn="0"/>
            <w:tcW w:w="6260" w:type="dxa"/>
            <w:tcBorders>
              <w:bottom w:val="single" w:sz="4" w:space="0" w:color="4F81BD" w:themeColor="accent1"/>
            </w:tcBorders>
            <w:hideMark/>
          </w:tcPr>
          <w:p w:rsidR="00671FBC" w:rsidRPr="00843EDC" w:rsidRDefault="00671FBC" w:rsidP="00671FBC">
            <w:pPr>
              <w:spacing w:line="288" w:lineRule="auto"/>
              <w:jc w:val="both"/>
              <w:rPr>
                <w:rFonts w:cs="Calibri"/>
                <w:sz w:val="16"/>
                <w:szCs w:val="16"/>
              </w:rPr>
            </w:pPr>
            <w:r w:rsidRPr="00843EDC">
              <w:rPr>
                <w:rFonts w:eastAsia="MS Mincho" w:cs="Calibri"/>
                <w:sz w:val="16"/>
                <w:szCs w:val="16"/>
                <w:lang w:eastAsia="ja-JP"/>
              </w:rPr>
              <w:t xml:space="preserve">Izrada Komunikacijske strategije hrvatskih </w:t>
            </w:r>
            <w:proofErr w:type="spellStart"/>
            <w:r w:rsidRPr="00843EDC">
              <w:rPr>
                <w:rFonts w:eastAsia="MS Mincho" w:cs="Calibri"/>
                <w:sz w:val="16"/>
                <w:szCs w:val="16"/>
                <w:lang w:eastAsia="ja-JP"/>
              </w:rPr>
              <w:t>klastera</w:t>
            </w:r>
            <w:proofErr w:type="spellEnd"/>
            <w:r w:rsidRPr="00843EDC">
              <w:rPr>
                <w:rFonts w:eastAsia="MS Mincho" w:cs="Calibri"/>
                <w:sz w:val="16"/>
                <w:szCs w:val="16"/>
                <w:lang w:eastAsia="ja-JP"/>
              </w:rPr>
              <w:t xml:space="preserve"> konkurentnosti (HKK)</w:t>
            </w:r>
          </w:p>
        </w:tc>
        <w:tc>
          <w:tcPr>
            <w:tcW w:w="1113" w:type="dxa"/>
            <w:gridSpan w:val="2"/>
            <w:vMerge w:val="restart"/>
            <w:tcBorders>
              <w:left w:val="nil"/>
              <w:bottom w:val="single" w:sz="4" w:space="0" w:color="4F81BD" w:themeColor="accent1"/>
              <w:right w:val="nil"/>
            </w:tcBorders>
          </w:tcPr>
          <w:p w:rsidR="00671FBC" w:rsidRPr="00843EDC" w:rsidRDefault="00671FBC" w:rsidP="00671FBC">
            <w:pPr>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r w:rsidRPr="00843EDC">
              <w:rPr>
                <w:rFonts w:cs="Calibri"/>
                <w:sz w:val="16"/>
                <w:szCs w:val="16"/>
              </w:rPr>
              <w:t xml:space="preserve">MINGO </w:t>
            </w:r>
          </w:p>
          <w:p w:rsidR="00671FBC" w:rsidRPr="00843EDC" w:rsidRDefault="00671FBC" w:rsidP="00671FBC">
            <w:pPr>
              <w:jc w:val="cente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cnfStyle w:val="000010000000" w:firstRow="0" w:lastRow="0" w:firstColumn="0" w:lastColumn="0" w:oddVBand="1" w:evenVBand="0" w:oddHBand="0" w:evenHBand="0" w:firstRowFirstColumn="0" w:firstRowLastColumn="0" w:lastRowFirstColumn="0" w:lastRowLastColumn="0"/>
            <w:tcW w:w="2782" w:type="dxa"/>
            <w:gridSpan w:val="2"/>
            <w:vMerge w:val="restart"/>
            <w:tcBorders>
              <w:bottom w:val="single" w:sz="4" w:space="0" w:color="4F81BD" w:themeColor="accent1"/>
            </w:tcBorders>
            <w:hideMark/>
          </w:tcPr>
          <w:p w:rsidR="00671FBC" w:rsidRPr="00843EDC" w:rsidRDefault="00671FBC" w:rsidP="00671FBC">
            <w:pPr>
              <w:jc w:val="center"/>
              <w:rPr>
                <w:rFonts w:cs="Calibri"/>
                <w:sz w:val="16"/>
                <w:szCs w:val="16"/>
              </w:rPr>
            </w:pPr>
            <w:r w:rsidRPr="00843EDC">
              <w:rPr>
                <w:rFonts w:cs="Calibri"/>
                <w:sz w:val="16"/>
                <w:szCs w:val="16"/>
              </w:rPr>
              <w:t>MRRFEU,</w:t>
            </w:r>
          </w:p>
          <w:p w:rsidR="00671FBC" w:rsidRPr="00843EDC" w:rsidRDefault="00671FBC" w:rsidP="00671FBC">
            <w:pPr>
              <w:jc w:val="center"/>
              <w:rPr>
                <w:rFonts w:cs="Calibri"/>
                <w:sz w:val="16"/>
                <w:szCs w:val="16"/>
              </w:rPr>
            </w:pPr>
            <w:r w:rsidRPr="00843EDC">
              <w:rPr>
                <w:rFonts w:cs="Calibri"/>
                <w:sz w:val="16"/>
                <w:szCs w:val="16"/>
              </w:rPr>
              <w:t>AIK, ARR RH, Županijske razvojne agencije, HGK</w:t>
            </w:r>
          </w:p>
        </w:tc>
        <w:tc>
          <w:tcPr>
            <w:tcW w:w="1530" w:type="dxa"/>
            <w:vMerge w:val="restart"/>
            <w:tcBorders>
              <w:left w:val="nil"/>
              <w:bottom w:val="single" w:sz="4" w:space="0" w:color="4F81BD" w:themeColor="accent1"/>
            </w:tcBorders>
          </w:tcPr>
          <w:p w:rsidR="00671FBC" w:rsidRPr="00843EDC" w:rsidRDefault="00C91A1D" w:rsidP="00671FBC">
            <w:pPr>
              <w:spacing w:line="288" w:lineRule="auto"/>
              <w:jc w:val="both"/>
              <w:cnfStyle w:val="000000100000" w:firstRow="0" w:lastRow="0" w:firstColumn="0" w:lastColumn="0" w:oddVBand="0" w:evenVBand="0" w:oddHBand="1" w:evenHBand="0" w:firstRowFirstColumn="0" w:firstRowLastColumn="0" w:lastRowFirstColumn="0" w:lastRowLastColumn="0"/>
              <w:rPr>
                <w:rFonts w:cs="Calibri"/>
                <w:sz w:val="16"/>
                <w:szCs w:val="16"/>
              </w:rPr>
            </w:pPr>
            <w:r>
              <w:rPr>
                <w:rFonts w:cs="Calibri"/>
                <w:sz w:val="16"/>
                <w:szCs w:val="16"/>
              </w:rPr>
              <w:t>Treći kvartal 2014.</w:t>
            </w:r>
          </w:p>
          <w:p w:rsidR="00671FBC" w:rsidRPr="00843EDC" w:rsidRDefault="00671FBC" w:rsidP="00671FBC">
            <w:pPr>
              <w:spacing w:line="288" w:lineRule="auto"/>
              <w:jc w:val="both"/>
              <w:cnfStyle w:val="000000100000" w:firstRow="0" w:lastRow="0" w:firstColumn="0" w:lastColumn="0" w:oddVBand="0" w:evenVBand="0" w:oddHBand="1" w:evenHBand="0" w:firstRowFirstColumn="0" w:firstRowLastColumn="0" w:lastRowFirstColumn="0" w:lastRowLastColumn="0"/>
              <w:rPr>
                <w:rFonts w:cs="Calibri"/>
                <w:sz w:val="16"/>
                <w:szCs w:val="16"/>
              </w:rPr>
            </w:pPr>
          </w:p>
          <w:p w:rsidR="00671FBC" w:rsidRPr="00843EDC" w:rsidRDefault="00671FBC" w:rsidP="00671FBC">
            <w:pPr>
              <w:spacing w:line="288" w:lineRule="auto"/>
              <w:jc w:val="both"/>
              <w:cnfStyle w:val="000000100000" w:firstRow="0" w:lastRow="0" w:firstColumn="0" w:lastColumn="0" w:oddVBand="0" w:evenVBand="0" w:oddHBand="1" w:evenHBand="0" w:firstRowFirstColumn="0" w:firstRowLastColumn="0" w:lastRowFirstColumn="0" w:lastRowLastColumn="0"/>
              <w:rPr>
                <w:rFonts w:cs="Calibri"/>
                <w:sz w:val="16"/>
                <w:szCs w:val="16"/>
              </w:rPr>
            </w:pPr>
          </w:p>
          <w:p w:rsidR="00671FBC" w:rsidRPr="00843EDC" w:rsidRDefault="00671FBC" w:rsidP="00671FBC">
            <w:pPr>
              <w:spacing w:line="288" w:lineRule="auto"/>
              <w:jc w:val="both"/>
              <w:cnfStyle w:val="000000100000" w:firstRow="0" w:lastRow="0" w:firstColumn="0" w:lastColumn="0" w:oddVBand="0" w:evenVBand="0" w:oddHBand="1" w:evenHBand="0" w:firstRowFirstColumn="0" w:firstRowLastColumn="0" w:lastRowFirstColumn="0" w:lastRowLastColumn="0"/>
              <w:rPr>
                <w:rFonts w:cs="Calibri"/>
                <w:sz w:val="16"/>
                <w:szCs w:val="16"/>
              </w:rPr>
            </w:pPr>
          </w:p>
          <w:p w:rsidR="00671FBC" w:rsidRPr="00843EDC" w:rsidRDefault="00671FBC" w:rsidP="00671FBC">
            <w:pPr>
              <w:spacing w:line="288" w:lineRule="auto"/>
              <w:jc w:val="both"/>
              <w:cnfStyle w:val="000000100000" w:firstRow="0" w:lastRow="0" w:firstColumn="0" w:lastColumn="0" w:oddVBand="0" w:evenVBand="0" w:oddHBand="1" w:evenHBand="0" w:firstRowFirstColumn="0" w:firstRowLastColumn="0" w:lastRowFirstColumn="0" w:lastRowLastColumn="0"/>
              <w:rPr>
                <w:rFonts w:cs="Calibri"/>
                <w:sz w:val="16"/>
                <w:szCs w:val="16"/>
              </w:rPr>
            </w:pPr>
            <w:r w:rsidRPr="00843EDC">
              <w:rPr>
                <w:rFonts w:cs="Calibri"/>
                <w:sz w:val="16"/>
                <w:szCs w:val="16"/>
              </w:rPr>
              <w:t>Kontinuirano</w:t>
            </w:r>
          </w:p>
        </w:tc>
      </w:tr>
      <w:tr w:rsidR="00671FBC" w:rsidRPr="00843EDC" w:rsidTr="00671FBC">
        <w:trPr>
          <w:trHeight w:val="665"/>
        </w:trPr>
        <w:tc>
          <w:tcPr>
            <w:cnfStyle w:val="001000000000" w:firstRow="0" w:lastRow="0" w:firstColumn="1" w:lastColumn="0" w:oddVBand="0" w:evenVBand="0" w:oddHBand="0" w:evenHBand="0" w:firstRowFirstColumn="0" w:firstRowLastColumn="0" w:lastRowFirstColumn="0" w:lastRowLastColumn="0"/>
            <w:tcW w:w="3027" w:type="dxa"/>
            <w:vMerge/>
            <w:tcBorders>
              <w:top w:val="single" w:sz="8" w:space="0" w:color="4F81BD" w:themeColor="accent1"/>
              <w:left w:val="single" w:sz="8" w:space="0" w:color="4F81BD" w:themeColor="accent1"/>
              <w:bottom w:val="single" w:sz="4" w:space="0" w:color="4F81BD" w:themeColor="accent1"/>
              <w:right w:val="nil"/>
            </w:tcBorders>
            <w:vAlign w:val="center"/>
            <w:hideMark/>
          </w:tcPr>
          <w:p w:rsidR="00671FBC" w:rsidRPr="00843EDC" w:rsidRDefault="00671FBC" w:rsidP="00671FBC">
            <w:pPr>
              <w:spacing w:after="0" w:line="240" w:lineRule="auto"/>
              <w:rPr>
                <w:rFonts w:cs="Calibri"/>
                <w:sz w:val="16"/>
                <w:szCs w:val="16"/>
              </w:rPr>
            </w:pPr>
          </w:p>
        </w:tc>
        <w:tc>
          <w:tcPr>
            <w:cnfStyle w:val="000010000000" w:firstRow="0" w:lastRow="0" w:firstColumn="0" w:lastColumn="0" w:oddVBand="1" w:evenVBand="0" w:oddHBand="0" w:evenHBand="0" w:firstRowFirstColumn="0" w:firstRowLastColumn="0" w:lastRowFirstColumn="0" w:lastRowLastColumn="0"/>
            <w:tcW w:w="6260" w:type="dxa"/>
            <w:tcBorders>
              <w:top w:val="nil"/>
              <w:bottom w:val="single" w:sz="4" w:space="0" w:color="4F81BD" w:themeColor="accent1"/>
            </w:tcBorders>
            <w:hideMark/>
          </w:tcPr>
          <w:p w:rsidR="00671FBC" w:rsidRPr="00843EDC" w:rsidRDefault="00671FBC" w:rsidP="00671FBC">
            <w:pPr>
              <w:jc w:val="both"/>
              <w:rPr>
                <w:rFonts w:cs="Calibri"/>
                <w:sz w:val="16"/>
                <w:szCs w:val="16"/>
              </w:rPr>
            </w:pPr>
            <w:r w:rsidRPr="00843EDC">
              <w:rPr>
                <w:rFonts w:eastAsia="MS Mincho" w:cs="Calibri"/>
                <w:sz w:val="16"/>
                <w:szCs w:val="16"/>
                <w:lang w:eastAsia="ja-JP"/>
              </w:rPr>
              <w:t xml:space="preserve">Podrška u izradi Komunikacijske strategije za </w:t>
            </w:r>
            <w:proofErr w:type="spellStart"/>
            <w:r w:rsidRPr="00843EDC">
              <w:rPr>
                <w:rFonts w:eastAsia="MS Mincho" w:cs="Calibri"/>
                <w:sz w:val="16"/>
                <w:szCs w:val="16"/>
                <w:lang w:eastAsia="ja-JP"/>
              </w:rPr>
              <w:t>brendiranje</w:t>
            </w:r>
            <w:proofErr w:type="spellEnd"/>
            <w:r w:rsidRPr="00843EDC">
              <w:rPr>
                <w:rFonts w:eastAsia="MS Mincho" w:cs="Calibri"/>
                <w:sz w:val="16"/>
                <w:szCs w:val="16"/>
                <w:lang w:eastAsia="ja-JP"/>
              </w:rPr>
              <w:t xml:space="preserve"> regija i velikih gradova </w:t>
            </w:r>
          </w:p>
        </w:tc>
        <w:tc>
          <w:tcPr>
            <w:tcW w:w="2247" w:type="dxa"/>
            <w:gridSpan w:val="2"/>
            <w:vMerge/>
            <w:tcBorders>
              <w:top w:val="nil"/>
              <w:left w:val="single" w:sz="8" w:space="0" w:color="4F81BD" w:themeColor="accent1"/>
              <w:bottom w:val="single" w:sz="4" w:space="0" w:color="4F81BD" w:themeColor="accent1"/>
            </w:tcBorders>
            <w:vAlign w:val="center"/>
            <w:hideMark/>
          </w:tcPr>
          <w:p w:rsidR="00671FBC" w:rsidRPr="00843EDC" w:rsidRDefault="00671FBC" w:rsidP="00671FBC">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16"/>
                <w:szCs w:val="16"/>
              </w:rPr>
            </w:pPr>
          </w:p>
        </w:tc>
        <w:tc>
          <w:tcPr>
            <w:cnfStyle w:val="000010000000" w:firstRow="0" w:lastRow="0" w:firstColumn="0" w:lastColumn="0" w:oddVBand="1" w:evenVBand="0" w:oddHBand="0" w:evenHBand="0" w:firstRowFirstColumn="0" w:firstRowLastColumn="0" w:lastRowFirstColumn="0" w:lastRowLastColumn="0"/>
            <w:tcW w:w="5508" w:type="dxa"/>
            <w:gridSpan w:val="2"/>
            <w:vMerge/>
            <w:tcBorders>
              <w:top w:val="nil"/>
              <w:bottom w:val="single" w:sz="4" w:space="0" w:color="4F81BD" w:themeColor="accent1"/>
            </w:tcBorders>
            <w:vAlign w:val="center"/>
            <w:hideMark/>
          </w:tcPr>
          <w:p w:rsidR="00671FBC" w:rsidRPr="00843EDC" w:rsidRDefault="00671FBC" w:rsidP="00671FBC">
            <w:pPr>
              <w:spacing w:after="0" w:line="240" w:lineRule="auto"/>
              <w:rPr>
                <w:rFonts w:cs="Calibri"/>
                <w:sz w:val="16"/>
                <w:szCs w:val="16"/>
              </w:rPr>
            </w:pPr>
          </w:p>
        </w:tc>
        <w:tc>
          <w:tcPr>
            <w:tcW w:w="1530" w:type="dxa"/>
            <w:vMerge/>
            <w:tcBorders>
              <w:top w:val="single" w:sz="8" w:space="0" w:color="4F81BD" w:themeColor="accent1"/>
              <w:left w:val="nil"/>
              <w:bottom w:val="single" w:sz="4" w:space="0" w:color="4F81BD" w:themeColor="accent1"/>
              <w:right w:val="single" w:sz="8" w:space="0" w:color="4F81BD" w:themeColor="accent1"/>
            </w:tcBorders>
            <w:vAlign w:val="center"/>
            <w:hideMark/>
          </w:tcPr>
          <w:p w:rsidR="00671FBC" w:rsidRPr="00843EDC" w:rsidRDefault="00671FBC" w:rsidP="00671FBC">
            <w:pPr>
              <w:spacing w:after="0" w:line="240" w:lineRule="auto"/>
              <w:cnfStyle w:val="000000000000" w:firstRow="0" w:lastRow="0" w:firstColumn="0" w:lastColumn="0" w:oddVBand="0" w:evenVBand="0" w:oddHBand="0" w:evenHBand="0" w:firstRowFirstColumn="0" w:firstRowLastColumn="0" w:lastRowFirstColumn="0" w:lastRowLastColumn="0"/>
              <w:rPr>
                <w:rFonts w:cs="Calibri"/>
                <w:sz w:val="16"/>
                <w:szCs w:val="16"/>
              </w:rPr>
            </w:pPr>
          </w:p>
        </w:tc>
      </w:tr>
      <w:tr w:rsidR="00671FBC" w:rsidRPr="00843EDC" w:rsidTr="00671FBC">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3027" w:type="dxa"/>
            <w:vMerge/>
            <w:tcBorders>
              <w:bottom w:val="single" w:sz="4" w:space="0" w:color="4F81BD" w:themeColor="accent1"/>
              <w:right w:val="nil"/>
            </w:tcBorders>
            <w:vAlign w:val="center"/>
            <w:hideMark/>
          </w:tcPr>
          <w:p w:rsidR="00671FBC" w:rsidRPr="00843EDC" w:rsidRDefault="00671FBC" w:rsidP="00671FBC">
            <w:pPr>
              <w:spacing w:after="0" w:line="240" w:lineRule="auto"/>
              <w:rPr>
                <w:rFonts w:cs="Calibri"/>
                <w:sz w:val="16"/>
                <w:szCs w:val="16"/>
              </w:rPr>
            </w:pPr>
          </w:p>
        </w:tc>
        <w:tc>
          <w:tcPr>
            <w:cnfStyle w:val="000010000000" w:firstRow="0" w:lastRow="0" w:firstColumn="0" w:lastColumn="0" w:oddVBand="1" w:evenVBand="0" w:oddHBand="0" w:evenHBand="0" w:firstRowFirstColumn="0" w:firstRowLastColumn="0" w:lastRowFirstColumn="0" w:lastRowLastColumn="0"/>
            <w:tcW w:w="6260" w:type="dxa"/>
            <w:tcBorders>
              <w:bottom w:val="single" w:sz="4" w:space="0" w:color="4F81BD" w:themeColor="accent1"/>
            </w:tcBorders>
            <w:hideMark/>
          </w:tcPr>
          <w:p w:rsidR="00671FBC" w:rsidRPr="00843EDC" w:rsidRDefault="00671FBC" w:rsidP="00671FBC">
            <w:pPr>
              <w:spacing w:line="288" w:lineRule="auto"/>
              <w:jc w:val="both"/>
              <w:rPr>
                <w:rFonts w:eastAsia="MS Mincho" w:cs="Calibri"/>
                <w:sz w:val="16"/>
                <w:szCs w:val="16"/>
                <w:lang w:eastAsia="ja-JP"/>
              </w:rPr>
            </w:pPr>
            <w:r w:rsidRPr="00843EDC">
              <w:rPr>
                <w:rFonts w:cs="Calibri"/>
                <w:sz w:val="16"/>
                <w:szCs w:val="16"/>
              </w:rPr>
              <w:t>Provedba  Akcijskih planova</w:t>
            </w:r>
          </w:p>
        </w:tc>
        <w:tc>
          <w:tcPr>
            <w:tcW w:w="2247" w:type="dxa"/>
            <w:gridSpan w:val="2"/>
            <w:vMerge/>
            <w:tcBorders>
              <w:left w:val="single" w:sz="8" w:space="0" w:color="4F81BD" w:themeColor="accent1"/>
              <w:bottom w:val="single" w:sz="4" w:space="0" w:color="4F81BD" w:themeColor="accent1"/>
            </w:tcBorders>
            <w:vAlign w:val="center"/>
            <w:hideMark/>
          </w:tcPr>
          <w:p w:rsidR="00671FBC" w:rsidRPr="00843EDC" w:rsidRDefault="00671FBC" w:rsidP="00671FBC">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cnfStyle w:val="000010000000" w:firstRow="0" w:lastRow="0" w:firstColumn="0" w:lastColumn="0" w:oddVBand="1" w:evenVBand="0" w:oddHBand="0" w:evenHBand="0" w:firstRowFirstColumn="0" w:firstRowLastColumn="0" w:lastRowFirstColumn="0" w:lastRowLastColumn="0"/>
            <w:tcW w:w="5508" w:type="dxa"/>
            <w:gridSpan w:val="2"/>
            <w:vMerge/>
            <w:tcBorders>
              <w:bottom w:val="single" w:sz="4" w:space="0" w:color="4F81BD" w:themeColor="accent1"/>
            </w:tcBorders>
            <w:vAlign w:val="center"/>
            <w:hideMark/>
          </w:tcPr>
          <w:p w:rsidR="00671FBC" w:rsidRPr="00843EDC" w:rsidRDefault="00671FBC" w:rsidP="00671FBC">
            <w:pPr>
              <w:spacing w:after="0" w:line="240" w:lineRule="auto"/>
              <w:rPr>
                <w:rFonts w:cs="Calibri"/>
                <w:sz w:val="16"/>
                <w:szCs w:val="16"/>
              </w:rPr>
            </w:pPr>
          </w:p>
        </w:tc>
        <w:tc>
          <w:tcPr>
            <w:tcW w:w="1530" w:type="dxa"/>
            <w:vMerge/>
            <w:tcBorders>
              <w:left w:val="nil"/>
              <w:bottom w:val="single" w:sz="4" w:space="0" w:color="4F81BD" w:themeColor="accent1"/>
            </w:tcBorders>
            <w:vAlign w:val="center"/>
            <w:hideMark/>
          </w:tcPr>
          <w:p w:rsidR="00671FBC" w:rsidRPr="00843EDC" w:rsidRDefault="00671FBC" w:rsidP="00671FBC">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16"/>
                <w:szCs w:val="16"/>
              </w:rPr>
            </w:pPr>
          </w:p>
        </w:tc>
      </w:tr>
      <w:tr w:rsidR="00671FBC" w:rsidRPr="00843EDC" w:rsidTr="00671FBC">
        <w:trPr>
          <w:trHeight w:val="690"/>
        </w:trPr>
        <w:tc>
          <w:tcPr>
            <w:cnfStyle w:val="001000000000" w:firstRow="0" w:lastRow="0" w:firstColumn="1" w:lastColumn="0" w:oddVBand="0" w:evenVBand="0" w:oddHBand="0" w:evenHBand="0" w:firstRowFirstColumn="0" w:firstRowLastColumn="0" w:lastRowFirstColumn="0" w:lastRowLastColumn="0"/>
            <w:tcW w:w="3027" w:type="dxa"/>
            <w:vMerge w:val="restart"/>
            <w:tcBorders>
              <w:top w:val="nil"/>
              <w:left w:val="single" w:sz="8" w:space="0" w:color="4F81BD" w:themeColor="accent1"/>
              <w:bottom w:val="nil"/>
              <w:right w:val="nil"/>
            </w:tcBorders>
            <w:vAlign w:val="center"/>
            <w:hideMark/>
          </w:tcPr>
          <w:p w:rsidR="00671FBC" w:rsidRPr="00843EDC" w:rsidRDefault="00671FBC" w:rsidP="00671FBC">
            <w:pPr>
              <w:tabs>
                <w:tab w:val="left" w:pos="9072"/>
              </w:tabs>
              <w:spacing w:line="288" w:lineRule="auto"/>
              <w:jc w:val="both"/>
              <w:rPr>
                <w:rFonts w:cs="Calibri"/>
                <w:sz w:val="16"/>
                <w:szCs w:val="16"/>
              </w:rPr>
            </w:pPr>
            <w:r>
              <w:rPr>
                <w:rFonts w:cs="Calibri"/>
                <w:sz w:val="16"/>
                <w:szCs w:val="16"/>
              </w:rPr>
              <w:t>2.4.</w:t>
            </w:r>
            <w:r w:rsidRPr="00843EDC">
              <w:rPr>
                <w:sz w:val="16"/>
                <w:szCs w:val="16"/>
              </w:rPr>
              <w:t>Jačanje uloge gospodarske diplomacije u privlačenju investicija</w:t>
            </w:r>
          </w:p>
        </w:tc>
        <w:tc>
          <w:tcPr>
            <w:cnfStyle w:val="000010000000" w:firstRow="0" w:lastRow="0" w:firstColumn="0" w:lastColumn="0" w:oddVBand="1" w:evenVBand="0" w:oddHBand="0" w:evenHBand="0" w:firstRowFirstColumn="0" w:firstRowLastColumn="0" w:lastRowFirstColumn="0" w:lastRowLastColumn="0"/>
            <w:tcW w:w="6260" w:type="dxa"/>
            <w:tcBorders>
              <w:top w:val="nil"/>
              <w:bottom w:val="nil"/>
            </w:tcBorders>
            <w:hideMark/>
          </w:tcPr>
          <w:p w:rsidR="00671FBC" w:rsidRPr="00843EDC" w:rsidRDefault="00671FBC" w:rsidP="00671FBC">
            <w:pPr>
              <w:spacing w:line="288" w:lineRule="auto"/>
              <w:jc w:val="both"/>
              <w:rPr>
                <w:rFonts w:cs="Arial"/>
                <w:sz w:val="16"/>
                <w:szCs w:val="16"/>
              </w:rPr>
            </w:pPr>
            <w:r w:rsidRPr="00843EDC">
              <w:rPr>
                <w:rFonts w:cs="Arial"/>
                <w:sz w:val="16"/>
                <w:szCs w:val="16"/>
              </w:rPr>
              <w:t xml:space="preserve">Davanje podrške promociji konkretnih investicijskih projekata, uspostava mreže partnera na stranim tržištima, potpora </w:t>
            </w:r>
            <w:proofErr w:type="spellStart"/>
            <w:r w:rsidRPr="00843EDC">
              <w:rPr>
                <w:rFonts w:cs="Arial"/>
                <w:sz w:val="16"/>
                <w:szCs w:val="16"/>
              </w:rPr>
              <w:t>Outreach</w:t>
            </w:r>
            <w:proofErr w:type="spellEnd"/>
            <w:r w:rsidRPr="00843EDC">
              <w:rPr>
                <w:rFonts w:cs="Arial"/>
                <w:sz w:val="16"/>
                <w:szCs w:val="16"/>
              </w:rPr>
              <w:t xml:space="preserve"> kampanjama, jačanje prepoznatljivosti RH kao investicijske destinacije i identifikacija potencijalnih investitora („</w:t>
            </w:r>
            <w:proofErr w:type="spellStart"/>
            <w:r w:rsidRPr="00843EDC">
              <w:rPr>
                <w:rFonts w:cs="Arial"/>
                <w:sz w:val="16"/>
                <w:szCs w:val="16"/>
              </w:rPr>
              <w:t>generating</w:t>
            </w:r>
            <w:proofErr w:type="spellEnd"/>
            <w:r w:rsidRPr="00843EDC">
              <w:rPr>
                <w:rFonts w:cs="Arial"/>
                <w:sz w:val="16"/>
                <w:szCs w:val="16"/>
              </w:rPr>
              <w:t xml:space="preserve"> </w:t>
            </w:r>
            <w:proofErr w:type="spellStart"/>
            <w:r w:rsidRPr="00843EDC">
              <w:rPr>
                <w:rFonts w:cs="Arial"/>
                <w:sz w:val="16"/>
                <w:szCs w:val="16"/>
              </w:rPr>
              <w:t>leads</w:t>
            </w:r>
            <w:proofErr w:type="spellEnd"/>
            <w:r w:rsidRPr="00843EDC">
              <w:rPr>
                <w:rFonts w:cs="Arial"/>
                <w:sz w:val="16"/>
                <w:szCs w:val="16"/>
              </w:rPr>
              <w:t>“)</w:t>
            </w:r>
          </w:p>
        </w:tc>
        <w:tc>
          <w:tcPr>
            <w:tcW w:w="1113" w:type="dxa"/>
            <w:gridSpan w:val="2"/>
            <w:tcBorders>
              <w:top w:val="nil"/>
              <w:left w:val="nil"/>
              <w:bottom w:val="nil"/>
              <w:right w:val="nil"/>
            </w:tcBorders>
            <w:hideMark/>
          </w:tcPr>
          <w:p w:rsidR="00671FBC" w:rsidRPr="00843EDC" w:rsidRDefault="00671FBC" w:rsidP="00671FBC">
            <w:pPr>
              <w:spacing w:line="288" w:lineRule="auto"/>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843EDC">
              <w:rPr>
                <w:rFonts w:cs="Arial"/>
                <w:sz w:val="16"/>
                <w:szCs w:val="16"/>
              </w:rPr>
              <w:t>MVEP</w:t>
            </w:r>
          </w:p>
        </w:tc>
        <w:tc>
          <w:tcPr>
            <w:cnfStyle w:val="000010000000" w:firstRow="0" w:lastRow="0" w:firstColumn="0" w:lastColumn="0" w:oddVBand="1" w:evenVBand="0" w:oddHBand="0" w:evenHBand="0" w:firstRowFirstColumn="0" w:firstRowLastColumn="0" w:lastRowFirstColumn="0" w:lastRowLastColumn="0"/>
            <w:tcW w:w="2782" w:type="dxa"/>
            <w:gridSpan w:val="2"/>
            <w:vMerge w:val="restart"/>
            <w:tcBorders>
              <w:top w:val="nil"/>
              <w:bottom w:val="nil"/>
            </w:tcBorders>
          </w:tcPr>
          <w:p w:rsidR="00671FBC" w:rsidRDefault="00671FBC" w:rsidP="00671FBC">
            <w:pPr>
              <w:spacing w:line="288" w:lineRule="auto"/>
              <w:rPr>
                <w:rFonts w:cs="Arial"/>
                <w:sz w:val="16"/>
                <w:szCs w:val="16"/>
              </w:rPr>
            </w:pPr>
          </w:p>
          <w:p w:rsidR="00671FBC" w:rsidRPr="00843EDC" w:rsidRDefault="00671FBC" w:rsidP="00671FBC">
            <w:pPr>
              <w:spacing w:line="288" w:lineRule="auto"/>
              <w:rPr>
                <w:rFonts w:cs="Arial"/>
                <w:sz w:val="16"/>
                <w:szCs w:val="16"/>
              </w:rPr>
            </w:pPr>
            <w:r w:rsidRPr="00843EDC">
              <w:rPr>
                <w:rFonts w:cs="Arial"/>
                <w:sz w:val="16"/>
                <w:szCs w:val="16"/>
              </w:rPr>
              <w:t>Diplomatsko konzularna predstavništva RH,</w:t>
            </w:r>
          </w:p>
          <w:p w:rsidR="00671FBC" w:rsidRPr="00843EDC" w:rsidRDefault="00671FBC" w:rsidP="00671FBC">
            <w:pPr>
              <w:spacing w:line="288" w:lineRule="auto"/>
              <w:rPr>
                <w:rFonts w:cs="Arial"/>
                <w:sz w:val="16"/>
                <w:szCs w:val="16"/>
              </w:rPr>
            </w:pPr>
            <w:r w:rsidRPr="00843EDC">
              <w:rPr>
                <w:rFonts w:cs="Arial"/>
                <w:sz w:val="16"/>
                <w:szCs w:val="16"/>
              </w:rPr>
              <w:t>MINGO, MINPO, AIK, HAMAG INVEST, HGK</w:t>
            </w:r>
          </w:p>
          <w:p w:rsidR="00671FBC" w:rsidRPr="00843EDC" w:rsidRDefault="00671FBC" w:rsidP="00671FBC">
            <w:pPr>
              <w:spacing w:line="288" w:lineRule="auto"/>
              <w:rPr>
                <w:rFonts w:cs="Arial"/>
                <w:sz w:val="16"/>
                <w:szCs w:val="16"/>
              </w:rPr>
            </w:pPr>
          </w:p>
        </w:tc>
        <w:tc>
          <w:tcPr>
            <w:tcW w:w="1530" w:type="dxa"/>
            <w:vMerge w:val="restart"/>
            <w:tcBorders>
              <w:top w:val="nil"/>
              <w:left w:val="nil"/>
              <w:bottom w:val="nil"/>
              <w:right w:val="single" w:sz="8" w:space="0" w:color="4F81BD" w:themeColor="accent1"/>
            </w:tcBorders>
          </w:tcPr>
          <w:p w:rsidR="00671FBC" w:rsidRPr="00843EDC" w:rsidRDefault="00671FBC" w:rsidP="00671FBC">
            <w:pPr>
              <w:spacing w:line="288"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843EDC">
              <w:rPr>
                <w:rFonts w:cs="Arial"/>
                <w:sz w:val="16"/>
                <w:szCs w:val="16"/>
              </w:rPr>
              <w:t>Kontinuirano</w:t>
            </w:r>
          </w:p>
          <w:p w:rsidR="00671FBC" w:rsidRPr="00843EDC" w:rsidRDefault="00671FBC" w:rsidP="00671FBC">
            <w:pPr>
              <w:spacing w:line="288" w:lineRule="auto"/>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671FBC" w:rsidRPr="00843EDC" w:rsidTr="00671FBC">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3027" w:type="dxa"/>
            <w:vMerge/>
            <w:tcBorders>
              <w:top w:val="nil"/>
              <w:bottom w:val="nil"/>
              <w:right w:val="nil"/>
            </w:tcBorders>
            <w:vAlign w:val="center"/>
            <w:hideMark/>
          </w:tcPr>
          <w:p w:rsidR="00671FBC" w:rsidRPr="00843EDC" w:rsidRDefault="00671FBC" w:rsidP="00671FBC">
            <w:pPr>
              <w:spacing w:after="0" w:line="240" w:lineRule="auto"/>
              <w:rPr>
                <w:rFonts w:cs="Calibri"/>
                <w:sz w:val="16"/>
                <w:szCs w:val="16"/>
              </w:rPr>
            </w:pPr>
          </w:p>
        </w:tc>
        <w:tc>
          <w:tcPr>
            <w:cnfStyle w:val="000010000000" w:firstRow="0" w:lastRow="0" w:firstColumn="0" w:lastColumn="0" w:oddVBand="1" w:evenVBand="0" w:oddHBand="0" w:evenHBand="0" w:firstRowFirstColumn="0" w:firstRowLastColumn="0" w:lastRowFirstColumn="0" w:lastRowLastColumn="0"/>
            <w:tcW w:w="6260" w:type="dxa"/>
            <w:hideMark/>
          </w:tcPr>
          <w:p w:rsidR="00671FBC" w:rsidRPr="00843EDC" w:rsidRDefault="00671FBC" w:rsidP="00671FBC">
            <w:pPr>
              <w:spacing w:line="288" w:lineRule="auto"/>
              <w:jc w:val="both"/>
              <w:rPr>
                <w:rFonts w:cs="Calibri"/>
                <w:sz w:val="16"/>
                <w:szCs w:val="16"/>
              </w:rPr>
            </w:pPr>
            <w:r w:rsidRPr="00843EDC">
              <w:rPr>
                <w:rFonts w:cs="Arial"/>
                <w:sz w:val="16"/>
                <w:szCs w:val="16"/>
              </w:rPr>
              <w:t>Organizacija Gospodarskih klubova hrvatske dijaspore</w:t>
            </w:r>
          </w:p>
        </w:tc>
        <w:tc>
          <w:tcPr>
            <w:tcW w:w="1113" w:type="dxa"/>
            <w:gridSpan w:val="2"/>
            <w:tcBorders>
              <w:left w:val="nil"/>
              <w:right w:val="nil"/>
            </w:tcBorders>
            <w:hideMark/>
          </w:tcPr>
          <w:p w:rsidR="00671FBC" w:rsidRPr="00843EDC" w:rsidRDefault="00671FBC" w:rsidP="00671FBC">
            <w:pPr>
              <w:spacing w:line="288"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843EDC">
              <w:rPr>
                <w:rFonts w:cs="Arial"/>
                <w:sz w:val="16"/>
                <w:szCs w:val="16"/>
              </w:rPr>
              <w:t>Ured za dijasporu RH</w:t>
            </w:r>
          </w:p>
        </w:tc>
        <w:tc>
          <w:tcPr>
            <w:cnfStyle w:val="000010000000" w:firstRow="0" w:lastRow="0" w:firstColumn="0" w:lastColumn="0" w:oddVBand="1" w:evenVBand="0" w:oddHBand="0" w:evenHBand="0" w:firstRowFirstColumn="0" w:firstRowLastColumn="0" w:lastRowFirstColumn="0" w:lastRowLastColumn="0"/>
            <w:tcW w:w="5508" w:type="dxa"/>
            <w:gridSpan w:val="2"/>
            <w:vMerge/>
            <w:tcBorders>
              <w:top w:val="nil"/>
              <w:bottom w:val="nil"/>
            </w:tcBorders>
            <w:vAlign w:val="center"/>
            <w:hideMark/>
          </w:tcPr>
          <w:p w:rsidR="00671FBC" w:rsidRPr="00843EDC" w:rsidRDefault="00671FBC" w:rsidP="00671FBC">
            <w:pPr>
              <w:spacing w:after="0" w:line="240" w:lineRule="auto"/>
              <w:rPr>
                <w:rFonts w:cs="Arial"/>
                <w:sz w:val="16"/>
                <w:szCs w:val="16"/>
              </w:rPr>
            </w:pPr>
          </w:p>
        </w:tc>
        <w:tc>
          <w:tcPr>
            <w:tcW w:w="1530" w:type="dxa"/>
            <w:vMerge/>
            <w:tcBorders>
              <w:top w:val="nil"/>
              <w:left w:val="nil"/>
              <w:bottom w:val="nil"/>
            </w:tcBorders>
            <w:vAlign w:val="center"/>
            <w:hideMark/>
          </w:tcPr>
          <w:p w:rsidR="00671FBC" w:rsidRPr="00843EDC" w:rsidRDefault="00671FBC" w:rsidP="00671FBC">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671FBC" w:rsidRPr="00843EDC" w:rsidTr="00671FBC">
        <w:trPr>
          <w:trHeight w:val="598"/>
        </w:trPr>
        <w:tc>
          <w:tcPr>
            <w:cnfStyle w:val="001000000000" w:firstRow="0" w:lastRow="0" w:firstColumn="1" w:lastColumn="0" w:oddVBand="0" w:evenVBand="0" w:oddHBand="0" w:evenHBand="0" w:firstRowFirstColumn="0" w:firstRowLastColumn="0" w:lastRowFirstColumn="0" w:lastRowLastColumn="0"/>
            <w:tcW w:w="3027" w:type="dxa"/>
            <w:vMerge/>
            <w:tcBorders>
              <w:top w:val="nil"/>
              <w:left w:val="single" w:sz="8" w:space="0" w:color="4F81BD" w:themeColor="accent1"/>
              <w:bottom w:val="nil"/>
              <w:right w:val="nil"/>
            </w:tcBorders>
            <w:vAlign w:val="center"/>
            <w:hideMark/>
          </w:tcPr>
          <w:p w:rsidR="00671FBC" w:rsidRPr="00843EDC" w:rsidRDefault="00671FBC" w:rsidP="00671FBC">
            <w:pPr>
              <w:spacing w:after="0" w:line="240" w:lineRule="auto"/>
              <w:rPr>
                <w:rFonts w:cs="Calibri"/>
                <w:sz w:val="16"/>
                <w:szCs w:val="16"/>
              </w:rPr>
            </w:pPr>
          </w:p>
        </w:tc>
        <w:tc>
          <w:tcPr>
            <w:cnfStyle w:val="000010000000" w:firstRow="0" w:lastRow="0" w:firstColumn="0" w:lastColumn="0" w:oddVBand="1" w:evenVBand="0" w:oddHBand="0" w:evenHBand="0" w:firstRowFirstColumn="0" w:firstRowLastColumn="0" w:lastRowFirstColumn="0" w:lastRowLastColumn="0"/>
            <w:tcW w:w="6260" w:type="dxa"/>
            <w:tcBorders>
              <w:top w:val="nil"/>
              <w:bottom w:val="nil"/>
            </w:tcBorders>
            <w:hideMark/>
          </w:tcPr>
          <w:p w:rsidR="00671FBC" w:rsidRPr="00843EDC" w:rsidRDefault="00671FBC" w:rsidP="00671FBC">
            <w:pPr>
              <w:spacing w:line="288" w:lineRule="auto"/>
              <w:jc w:val="both"/>
              <w:rPr>
                <w:rFonts w:cs="Calibri"/>
                <w:sz w:val="16"/>
                <w:szCs w:val="16"/>
              </w:rPr>
            </w:pPr>
            <w:r w:rsidRPr="00843EDC">
              <w:rPr>
                <w:rFonts w:cs="Arial"/>
                <w:sz w:val="16"/>
                <w:szCs w:val="16"/>
              </w:rPr>
              <w:t>Edukacijski program za gospodarsku diplomaciju</w:t>
            </w:r>
          </w:p>
        </w:tc>
        <w:tc>
          <w:tcPr>
            <w:tcW w:w="1113" w:type="dxa"/>
            <w:gridSpan w:val="2"/>
            <w:tcBorders>
              <w:top w:val="nil"/>
              <w:left w:val="nil"/>
              <w:bottom w:val="nil"/>
              <w:right w:val="nil"/>
            </w:tcBorders>
            <w:hideMark/>
          </w:tcPr>
          <w:p w:rsidR="00671FBC" w:rsidRPr="00843EDC" w:rsidRDefault="00671FBC" w:rsidP="00671FBC">
            <w:pPr>
              <w:spacing w:line="288" w:lineRule="auto"/>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843EDC">
              <w:rPr>
                <w:rFonts w:cs="Arial"/>
                <w:sz w:val="16"/>
                <w:szCs w:val="16"/>
              </w:rPr>
              <w:t>MVEP</w:t>
            </w:r>
          </w:p>
        </w:tc>
        <w:tc>
          <w:tcPr>
            <w:cnfStyle w:val="000010000000" w:firstRow="0" w:lastRow="0" w:firstColumn="0" w:lastColumn="0" w:oddVBand="1" w:evenVBand="0" w:oddHBand="0" w:evenHBand="0" w:firstRowFirstColumn="0" w:firstRowLastColumn="0" w:lastRowFirstColumn="0" w:lastRowLastColumn="0"/>
            <w:tcW w:w="5508" w:type="dxa"/>
            <w:gridSpan w:val="2"/>
            <w:vMerge/>
            <w:tcBorders>
              <w:top w:val="nil"/>
              <w:bottom w:val="nil"/>
            </w:tcBorders>
            <w:vAlign w:val="center"/>
            <w:hideMark/>
          </w:tcPr>
          <w:p w:rsidR="00671FBC" w:rsidRPr="00843EDC" w:rsidRDefault="00671FBC" w:rsidP="00671FBC">
            <w:pPr>
              <w:spacing w:after="0" w:line="240" w:lineRule="auto"/>
              <w:rPr>
                <w:rFonts w:cs="Arial"/>
                <w:sz w:val="16"/>
                <w:szCs w:val="16"/>
              </w:rPr>
            </w:pPr>
          </w:p>
        </w:tc>
        <w:tc>
          <w:tcPr>
            <w:tcW w:w="1530" w:type="dxa"/>
            <w:vMerge/>
            <w:tcBorders>
              <w:top w:val="nil"/>
              <w:left w:val="nil"/>
              <w:bottom w:val="nil"/>
              <w:right w:val="single" w:sz="8" w:space="0" w:color="4F81BD" w:themeColor="accent1"/>
            </w:tcBorders>
            <w:vAlign w:val="center"/>
            <w:hideMark/>
          </w:tcPr>
          <w:p w:rsidR="00671FBC" w:rsidRPr="00843EDC" w:rsidRDefault="00671FBC" w:rsidP="00671FBC">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671FBC" w:rsidRPr="00843EDC" w:rsidTr="00671FBC">
        <w:trPr>
          <w:cnfStyle w:val="000000100000" w:firstRow="0" w:lastRow="0" w:firstColumn="0" w:lastColumn="0" w:oddVBand="0" w:evenVBand="0" w:oddHBand="1" w:evenHBand="0" w:firstRowFirstColumn="0" w:firstRowLastColumn="0" w:lastRowFirstColumn="0" w:lastRowLastColumn="0"/>
          <w:trHeight w:val="2420"/>
        </w:trPr>
        <w:tc>
          <w:tcPr>
            <w:cnfStyle w:val="001000000000" w:firstRow="0" w:lastRow="0" w:firstColumn="1" w:lastColumn="0" w:oddVBand="0" w:evenVBand="0" w:oddHBand="0" w:evenHBand="0" w:firstRowFirstColumn="0" w:firstRowLastColumn="0" w:lastRowFirstColumn="0" w:lastRowLastColumn="0"/>
            <w:tcW w:w="3027" w:type="dxa"/>
            <w:tcBorders>
              <w:right w:val="nil"/>
            </w:tcBorders>
            <w:shd w:val="clear" w:color="auto" w:fill="DBE5F1" w:themeFill="accent1" w:themeFillTint="33"/>
            <w:vAlign w:val="center"/>
            <w:hideMark/>
          </w:tcPr>
          <w:p w:rsidR="00671FBC" w:rsidRPr="00843EDC" w:rsidRDefault="00671FBC" w:rsidP="00671FBC">
            <w:pPr>
              <w:tabs>
                <w:tab w:val="left" w:pos="9072"/>
              </w:tabs>
              <w:spacing w:line="288" w:lineRule="auto"/>
              <w:jc w:val="both"/>
              <w:rPr>
                <w:rFonts w:cs="Calibri"/>
                <w:sz w:val="16"/>
                <w:szCs w:val="16"/>
              </w:rPr>
            </w:pPr>
            <w:r w:rsidRPr="00843EDC">
              <w:rPr>
                <w:rFonts w:cs="Calibri"/>
                <w:sz w:val="16"/>
                <w:szCs w:val="16"/>
              </w:rPr>
              <w:t>Prioritet 3. Ciljano privlačenje investicija</w:t>
            </w:r>
          </w:p>
        </w:tc>
        <w:tc>
          <w:tcPr>
            <w:cnfStyle w:val="000010000000" w:firstRow="0" w:lastRow="0" w:firstColumn="0" w:lastColumn="0" w:oddVBand="1" w:evenVBand="0" w:oddHBand="0" w:evenHBand="0" w:firstRowFirstColumn="0" w:firstRowLastColumn="0" w:lastRowFirstColumn="0" w:lastRowLastColumn="0"/>
            <w:tcW w:w="6260" w:type="dxa"/>
            <w:shd w:val="clear" w:color="auto" w:fill="DBE5F1" w:themeFill="accent1" w:themeFillTint="33"/>
            <w:hideMark/>
          </w:tcPr>
          <w:p w:rsidR="00671FBC" w:rsidRPr="00843EDC" w:rsidRDefault="00671FBC" w:rsidP="00671FBC">
            <w:pPr>
              <w:spacing w:line="288" w:lineRule="auto"/>
              <w:jc w:val="both"/>
              <w:rPr>
                <w:rFonts w:cs="Calibri"/>
                <w:sz w:val="16"/>
                <w:szCs w:val="16"/>
              </w:rPr>
            </w:pPr>
            <w:r w:rsidRPr="00843EDC">
              <w:rPr>
                <w:rFonts w:cs="Calibri"/>
                <w:sz w:val="16"/>
                <w:szCs w:val="16"/>
              </w:rPr>
              <w:t xml:space="preserve">Izrada i provedba Programa privlačenja </w:t>
            </w:r>
            <w:proofErr w:type="spellStart"/>
            <w:r w:rsidRPr="00843EDC">
              <w:rPr>
                <w:rFonts w:cs="Calibri"/>
                <w:i/>
                <w:sz w:val="16"/>
                <w:szCs w:val="16"/>
              </w:rPr>
              <w:t>greenfield</w:t>
            </w:r>
            <w:proofErr w:type="spellEnd"/>
            <w:r w:rsidRPr="00843EDC">
              <w:rPr>
                <w:rFonts w:cs="Calibri"/>
                <w:sz w:val="16"/>
                <w:szCs w:val="16"/>
              </w:rPr>
              <w:t xml:space="preserve"> investicija u izvozno-orijentirane sektore i turizam</w:t>
            </w:r>
          </w:p>
          <w:p w:rsidR="00671FBC" w:rsidRPr="00843EDC" w:rsidRDefault="00671FBC" w:rsidP="00671FBC">
            <w:pPr>
              <w:spacing w:line="288" w:lineRule="auto"/>
              <w:jc w:val="both"/>
              <w:rPr>
                <w:rFonts w:eastAsia="MS Mincho" w:cs="Calibri"/>
                <w:sz w:val="16"/>
                <w:szCs w:val="16"/>
                <w:lang w:eastAsia="ja-JP"/>
              </w:rPr>
            </w:pPr>
            <w:r w:rsidRPr="00843EDC">
              <w:rPr>
                <w:rFonts w:eastAsia="MS Mincho" w:cs="Calibri"/>
                <w:sz w:val="16"/>
                <w:szCs w:val="16"/>
                <w:lang w:eastAsia="ja-JP"/>
              </w:rPr>
              <w:t xml:space="preserve">Izrada i provedba Programa privlačenja </w:t>
            </w:r>
            <w:proofErr w:type="spellStart"/>
            <w:r w:rsidRPr="00843EDC">
              <w:rPr>
                <w:rFonts w:eastAsia="MS Mincho" w:cs="Calibri"/>
                <w:i/>
                <w:sz w:val="16"/>
                <w:szCs w:val="16"/>
                <w:lang w:eastAsia="ja-JP"/>
              </w:rPr>
              <w:t>greenfield</w:t>
            </w:r>
            <w:proofErr w:type="spellEnd"/>
            <w:r w:rsidRPr="00843EDC">
              <w:rPr>
                <w:rFonts w:eastAsia="MS Mincho" w:cs="Calibri"/>
                <w:sz w:val="16"/>
                <w:szCs w:val="16"/>
                <w:lang w:eastAsia="ja-JP"/>
              </w:rPr>
              <w:t xml:space="preserve"> investicija u industrije u nastajanju</w:t>
            </w:r>
          </w:p>
          <w:p w:rsidR="00671FBC" w:rsidRPr="00843EDC" w:rsidRDefault="00671FBC" w:rsidP="00671FBC">
            <w:pPr>
              <w:spacing w:line="288" w:lineRule="auto"/>
              <w:jc w:val="both"/>
              <w:rPr>
                <w:rFonts w:eastAsia="MS Mincho" w:cs="Calibri"/>
                <w:sz w:val="16"/>
                <w:szCs w:val="16"/>
                <w:lang w:eastAsia="ja-JP"/>
              </w:rPr>
            </w:pPr>
            <w:r w:rsidRPr="00843EDC">
              <w:rPr>
                <w:rFonts w:eastAsia="MS Mincho" w:cs="Calibri"/>
                <w:sz w:val="16"/>
                <w:szCs w:val="16"/>
                <w:lang w:eastAsia="ja-JP"/>
              </w:rPr>
              <w:t>Izrada i provedba Programa privlačenja</w:t>
            </w:r>
            <w:r w:rsidRPr="00843EDC">
              <w:rPr>
                <w:rFonts w:eastAsia="MS Mincho" w:cs="Calibri"/>
                <w:i/>
                <w:sz w:val="16"/>
                <w:szCs w:val="16"/>
                <w:lang w:eastAsia="ja-JP"/>
              </w:rPr>
              <w:t xml:space="preserve"> </w:t>
            </w:r>
            <w:proofErr w:type="spellStart"/>
            <w:r w:rsidRPr="00843EDC">
              <w:rPr>
                <w:rFonts w:eastAsia="MS Mincho" w:cs="Calibri"/>
                <w:i/>
                <w:sz w:val="16"/>
                <w:szCs w:val="16"/>
                <w:lang w:eastAsia="ja-JP"/>
              </w:rPr>
              <w:t>greenfield</w:t>
            </w:r>
            <w:proofErr w:type="spellEnd"/>
            <w:r w:rsidRPr="00843EDC">
              <w:rPr>
                <w:rFonts w:eastAsia="MS Mincho" w:cs="Calibri"/>
                <w:sz w:val="16"/>
                <w:szCs w:val="16"/>
                <w:lang w:eastAsia="ja-JP"/>
              </w:rPr>
              <w:t xml:space="preserve"> investicija u potpomognuta područja RH</w:t>
            </w:r>
          </w:p>
          <w:p w:rsidR="00671FBC" w:rsidRPr="00843EDC" w:rsidRDefault="00671FBC" w:rsidP="00671FBC">
            <w:pPr>
              <w:spacing w:line="288" w:lineRule="auto"/>
              <w:ind w:right="480"/>
              <w:jc w:val="both"/>
              <w:rPr>
                <w:rFonts w:cs="Calibri"/>
                <w:sz w:val="16"/>
                <w:szCs w:val="16"/>
              </w:rPr>
            </w:pPr>
            <w:r w:rsidRPr="00843EDC">
              <w:rPr>
                <w:rFonts w:eastAsia="MS Mincho" w:cs="Calibri"/>
                <w:sz w:val="16"/>
                <w:szCs w:val="16"/>
                <w:lang w:eastAsia="ja-JP"/>
              </w:rPr>
              <w:t>Izrada i</w:t>
            </w:r>
            <w:r>
              <w:rPr>
                <w:rFonts w:eastAsia="MS Mincho" w:cs="Calibri"/>
                <w:sz w:val="16"/>
                <w:szCs w:val="16"/>
                <w:lang w:eastAsia="ja-JP"/>
              </w:rPr>
              <w:t xml:space="preserve"> provedba Programa realizacije </w:t>
            </w:r>
            <w:proofErr w:type="spellStart"/>
            <w:r w:rsidRPr="00843EDC">
              <w:rPr>
                <w:rFonts w:eastAsia="MS Mincho" w:cs="Calibri"/>
                <w:i/>
                <w:sz w:val="16"/>
                <w:szCs w:val="16"/>
                <w:lang w:eastAsia="ja-JP"/>
              </w:rPr>
              <w:t>brownfield</w:t>
            </w:r>
            <w:proofErr w:type="spellEnd"/>
            <w:r w:rsidRPr="00843EDC">
              <w:rPr>
                <w:rFonts w:eastAsia="MS Mincho" w:cs="Calibri"/>
                <w:sz w:val="16"/>
                <w:szCs w:val="16"/>
                <w:lang w:eastAsia="ja-JP"/>
              </w:rPr>
              <w:t xml:space="preserve"> investicija putem stavljanja u funkciju državne imovine</w:t>
            </w:r>
          </w:p>
        </w:tc>
        <w:tc>
          <w:tcPr>
            <w:tcW w:w="1113" w:type="dxa"/>
            <w:gridSpan w:val="2"/>
            <w:tcBorders>
              <w:left w:val="nil"/>
              <w:right w:val="nil"/>
            </w:tcBorders>
            <w:shd w:val="clear" w:color="auto" w:fill="DBE5F1" w:themeFill="accent1" w:themeFillTint="33"/>
            <w:hideMark/>
          </w:tcPr>
          <w:p w:rsidR="00671FBC" w:rsidRPr="00843EDC" w:rsidRDefault="00671FBC" w:rsidP="00671FBC">
            <w:pPr>
              <w:spacing w:line="288" w:lineRule="auto"/>
              <w:jc w:val="both"/>
              <w:cnfStyle w:val="000000100000" w:firstRow="0" w:lastRow="0" w:firstColumn="0" w:lastColumn="0" w:oddVBand="0" w:evenVBand="0" w:oddHBand="1" w:evenHBand="0" w:firstRowFirstColumn="0" w:firstRowLastColumn="0" w:lastRowFirstColumn="0" w:lastRowLastColumn="0"/>
              <w:rPr>
                <w:rFonts w:cs="Calibri"/>
                <w:sz w:val="16"/>
                <w:szCs w:val="16"/>
              </w:rPr>
            </w:pPr>
            <w:r w:rsidRPr="00843EDC">
              <w:rPr>
                <w:rFonts w:cs="Calibri"/>
                <w:sz w:val="16"/>
                <w:szCs w:val="16"/>
              </w:rPr>
              <w:t>MINGO/AIK/ D</w:t>
            </w:r>
            <w:r>
              <w:rPr>
                <w:rFonts w:cs="Calibri"/>
                <w:sz w:val="16"/>
                <w:szCs w:val="16"/>
              </w:rPr>
              <w:t>U</w:t>
            </w:r>
            <w:r w:rsidRPr="00843EDC">
              <w:rPr>
                <w:rFonts w:cs="Calibri"/>
                <w:sz w:val="16"/>
                <w:szCs w:val="16"/>
              </w:rPr>
              <w:t>UDI</w:t>
            </w:r>
            <w:r>
              <w:rPr>
                <w:rFonts w:cs="Calibri"/>
                <w:sz w:val="16"/>
                <w:szCs w:val="16"/>
              </w:rPr>
              <w:t>/CERP</w:t>
            </w:r>
          </w:p>
        </w:tc>
        <w:tc>
          <w:tcPr>
            <w:cnfStyle w:val="000010000000" w:firstRow="0" w:lastRow="0" w:firstColumn="0" w:lastColumn="0" w:oddVBand="1" w:evenVBand="0" w:oddHBand="0" w:evenHBand="0" w:firstRowFirstColumn="0" w:firstRowLastColumn="0" w:lastRowFirstColumn="0" w:lastRowLastColumn="0"/>
            <w:tcW w:w="2782" w:type="dxa"/>
            <w:gridSpan w:val="2"/>
            <w:shd w:val="clear" w:color="auto" w:fill="DBE5F1" w:themeFill="accent1" w:themeFillTint="33"/>
            <w:hideMark/>
          </w:tcPr>
          <w:p w:rsidR="00671FBC" w:rsidRPr="00843EDC" w:rsidRDefault="00671FBC" w:rsidP="00671FBC">
            <w:pPr>
              <w:spacing w:line="288" w:lineRule="auto"/>
              <w:rPr>
                <w:rFonts w:cs="Calibri"/>
                <w:sz w:val="16"/>
                <w:szCs w:val="16"/>
              </w:rPr>
            </w:pPr>
            <w:r w:rsidRPr="00843EDC">
              <w:rPr>
                <w:rFonts w:cs="Calibri"/>
                <w:sz w:val="16"/>
                <w:szCs w:val="16"/>
              </w:rPr>
              <w:t xml:space="preserve">Resorna središnja tijela državne uprave, HAMAG INVEST, Županijske razvojna agencije, Državni ured za Hrvate </w:t>
            </w:r>
            <w:r>
              <w:rPr>
                <w:rFonts w:cs="Calibri"/>
                <w:sz w:val="16"/>
                <w:szCs w:val="16"/>
              </w:rPr>
              <w:t>izvan Republike Hrvatske, HGK</w:t>
            </w:r>
            <w:r w:rsidRPr="00843EDC">
              <w:rPr>
                <w:rFonts w:cs="Calibri"/>
                <w:sz w:val="16"/>
                <w:szCs w:val="16"/>
              </w:rPr>
              <w:t xml:space="preserve"> </w:t>
            </w:r>
          </w:p>
        </w:tc>
        <w:tc>
          <w:tcPr>
            <w:tcW w:w="1530" w:type="dxa"/>
            <w:tcBorders>
              <w:left w:val="nil"/>
            </w:tcBorders>
            <w:shd w:val="clear" w:color="auto" w:fill="DBE5F1" w:themeFill="accent1" w:themeFillTint="33"/>
            <w:hideMark/>
          </w:tcPr>
          <w:p w:rsidR="00671FBC" w:rsidRPr="00843EDC" w:rsidRDefault="00671FBC" w:rsidP="00671FBC">
            <w:pPr>
              <w:spacing w:line="288" w:lineRule="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843EDC">
              <w:rPr>
                <w:rFonts w:cs="Calibri"/>
                <w:sz w:val="16"/>
                <w:szCs w:val="16"/>
              </w:rPr>
              <w:t>Kontinuirano</w:t>
            </w:r>
          </w:p>
        </w:tc>
      </w:tr>
      <w:tr w:rsidR="00671FBC" w:rsidRPr="00843EDC" w:rsidTr="00671FBC">
        <w:trPr>
          <w:trHeight w:val="994"/>
        </w:trPr>
        <w:tc>
          <w:tcPr>
            <w:cnfStyle w:val="001000000000" w:firstRow="0" w:lastRow="0" w:firstColumn="1" w:lastColumn="0" w:oddVBand="0" w:evenVBand="0" w:oddHBand="0" w:evenHBand="0" w:firstRowFirstColumn="0" w:firstRowLastColumn="0" w:lastRowFirstColumn="0" w:lastRowLastColumn="0"/>
            <w:tcW w:w="3027" w:type="dxa"/>
            <w:vMerge w:val="restart"/>
            <w:tcBorders>
              <w:top w:val="nil"/>
              <w:left w:val="single" w:sz="8" w:space="0" w:color="4F81BD" w:themeColor="accent1"/>
              <w:bottom w:val="single" w:sz="8" w:space="0" w:color="4F81BD" w:themeColor="accent1"/>
              <w:right w:val="nil"/>
            </w:tcBorders>
            <w:vAlign w:val="center"/>
            <w:hideMark/>
          </w:tcPr>
          <w:p w:rsidR="00671FBC" w:rsidRPr="00843EDC" w:rsidRDefault="00671FBC" w:rsidP="00671FBC">
            <w:pPr>
              <w:tabs>
                <w:tab w:val="left" w:pos="9072"/>
              </w:tabs>
              <w:spacing w:line="288" w:lineRule="auto"/>
              <w:rPr>
                <w:rFonts w:cs="Calibri"/>
                <w:sz w:val="16"/>
                <w:szCs w:val="16"/>
              </w:rPr>
            </w:pPr>
            <w:r w:rsidRPr="00843EDC">
              <w:rPr>
                <w:rFonts w:cs="Calibri"/>
                <w:sz w:val="16"/>
                <w:szCs w:val="16"/>
              </w:rPr>
              <w:t xml:space="preserve">3.1 Izrada i provedba Plana privlačenja </w:t>
            </w:r>
            <w:proofErr w:type="spellStart"/>
            <w:r w:rsidRPr="00BA6A16">
              <w:rPr>
                <w:rFonts w:cs="Calibri"/>
                <w:i/>
                <w:sz w:val="16"/>
                <w:szCs w:val="16"/>
              </w:rPr>
              <w:t>greenfield</w:t>
            </w:r>
            <w:proofErr w:type="spellEnd"/>
            <w:r w:rsidRPr="00843EDC">
              <w:rPr>
                <w:rFonts w:cs="Calibri"/>
                <w:sz w:val="16"/>
                <w:szCs w:val="16"/>
              </w:rPr>
              <w:t xml:space="preserve"> investicija u izvozno-orijentirane sektore i turizam</w:t>
            </w:r>
          </w:p>
        </w:tc>
        <w:tc>
          <w:tcPr>
            <w:cnfStyle w:val="000010000000" w:firstRow="0" w:lastRow="0" w:firstColumn="0" w:lastColumn="0" w:oddVBand="1" w:evenVBand="0" w:oddHBand="0" w:evenHBand="0" w:firstRowFirstColumn="0" w:firstRowLastColumn="0" w:lastRowFirstColumn="0" w:lastRowLastColumn="0"/>
            <w:tcW w:w="6260" w:type="dxa"/>
            <w:tcBorders>
              <w:top w:val="nil"/>
              <w:bottom w:val="nil"/>
            </w:tcBorders>
            <w:hideMark/>
          </w:tcPr>
          <w:p w:rsidR="00671FBC" w:rsidRPr="00843EDC" w:rsidRDefault="00671FBC" w:rsidP="00671FBC">
            <w:pPr>
              <w:spacing w:line="288" w:lineRule="auto"/>
              <w:jc w:val="both"/>
              <w:rPr>
                <w:rFonts w:cs="Calibri"/>
                <w:sz w:val="16"/>
                <w:szCs w:val="16"/>
              </w:rPr>
            </w:pPr>
            <w:r w:rsidRPr="00843EDC">
              <w:rPr>
                <w:rFonts w:cs="Calibri"/>
                <w:sz w:val="16"/>
                <w:szCs w:val="16"/>
              </w:rPr>
              <w:t xml:space="preserve">Izrada Plana privlačenja </w:t>
            </w:r>
            <w:proofErr w:type="spellStart"/>
            <w:r w:rsidRPr="00843EDC">
              <w:rPr>
                <w:rFonts w:cs="Calibri"/>
                <w:sz w:val="16"/>
                <w:szCs w:val="16"/>
              </w:rPr>
              <w:t>greenfield</w:t>
            </w:r>
            <w:proofErr w:type="spellEnd"/>
            <w:r w:rsidRPr="00843EDC">
              <w:rPr>
                <w:rFonts w:cs="Calibri"/>
                <w:sz w:val="16"/>
                <w:szCs w:val="16"/>
              </w:rPr>
              <w:t xml:space="preserve"> investicija u izvozno-orijentirane sektore</w:t>
            </w:r>
          </w:p>
          <w:p w:rsidR="00671FBC" w:rsidRPr="00843EDC" w:rsidRDefault="00671FBC" w:rsidP="00671FBC">
            <w:pPr>
              <w:spacing w:line="288" w:lineRule="auto"/>
              <w:jc w:val="both"/>
              <w:rPr>
                <w:rFonts w:cs="Calibri"/>
                <w:sz w:val="16"/>
                <w:szCs w:val="16"/>
              </w:rPr>
            </w:pPr>
            <w:r w:rsidRPr="00843EDC">
              <w:rPr>
                <w:rFonts w:cs="Calibri"/>
                <w:sz w:val="16"/>
                <w:szCs w:val="16"/>
              </w:rPr>
              <w:t xml:space="preserve">(Definiranje konkurentnih sektora i niša za investiranje u hrvatskim regijama na temelju teritorijalnog kapitala određenog područja;  Identifikacija najvećih emitivnih tržišta i </w:t>
            </w:r>
            <w:r w:rsidRPr="00843EDC">
              <w:rPr>
                <w:rFonts w:cs="Calibri"/>
                <w:sz w:val="16"/>
                <w:szCs w:val="16"/>
              </w:rPr>
              <w:lastRenderedPageBreak/>
              <w:t>identifikacija potencijalnih investitora u strateške gospodarske sektore u RH)</w:t>
            </w:r>
          </w:p>
        </w:tc>
        <w:tc>
          <w:tcPr>
            <w:tcW w:w="1113" w:type="dxa"/>
            <w:gridSpan w:val="2"/>
            <w:tcBorders>
              <w:top w:val="nil"/>
              <w:left w:val="nil"/>
              <w:bottom w:val="nil"/>
              <w:right w:val="nil"/>
            </w:tcBorders>
            <w:hideMark/>
          </w:tcPr>
          <w:p w:rsidR="00671FBC" w:rsidRPr="00843EDC" w:rsidRDefault="00671FBC" w:rsidP="00671FBC">
            <w:pPr>
              <w:spacing w:line="288" w:lineRule="auto"/>
              <w:jc w:val="both"/>
              <w:cnfStyle w:val="000000000000" w:firstRow="0" w:lastRow="0" w:firstColumn="0" w:lastColumn="0" w:oddVBand="0" w:evenVBand="0" w:oddHBand="0" w:evenHBand="0" w:firstRowFirstColumn="0" w:firstRowLastColumn="0" w:lastRowFirstColumn="0" w:lastRowLastColumn="0"/>
              <w:rPr>
                <w:rFonts w:cs="Calibri"/>
                <w:sz w:val="16"/>
                <w:szCs w:val="16"/>
              </w:rPr>
            </w:pPr>
            <w:r w:rsidRPr="00843EDC">
              <w:rPr>
                <w:rFonts w:cs="Calibri"/>
                <w:sz w:val="16"/>
                <w:szCs w:val="16"/>
              </w:rPr>
              <w:lastRenderedPageBreak/>
              <w:t>MINGO, MT</w:t>
            </w:r>
          </w:p>
        </w:tc>
        <w:tc>
          <w:tcPr>
            <w:cnfStyle w:val="000010000000" w:firstRow="0" w:lastRow="0" w:firstColumn="0" w:lastColumn="0" w:oddVBand="1" w:evenVBand="0" w:oddHBand="0" w:evenHBand="0" w:firstRowFirstColumn="0" w:firstRowLastColumn="0" w:lastRowFirstColumn="0" w:lastRowLastColumn="0"/>
            <w:tcW w:w="2782" w:type="dxa"/>
            <w:gridSpan w:val="2"/>
            <w:tcBorders>
              <w:top w:val="nil"/>
              <w:bottom w:val="nil"/>
            </w:tcBorders>
            <w:hideMark/>
          </w:tcPr>
          <w:p w:rsidR="00671FBC" w:rsidRPr="00843EDC" w:rsidRDefault="00671FBC" w:rsidP="00671FBC">
            <w:pPr>
              <w:spacing w:line="288" w:lineRule="auto"/>
              <w:rPr>
                <w:rFonts w:cs="Calibri"/>
                <w:sz w:val="16"/>
                <w:szCs w:val="16"/>
              </w:rPr>
            </w:pPr>
            <w:r w:rsidRPr="00843EDC">
              <w:rPr>
                <w:rFonts w:cs="Calibri"/>
                <w:sz w:val="16"/>
                <w:szCs w:val="16"/>
              </w:rPr>
              <w:t>AIK, HAMAG INVEST, EIZ, IMO, HGK, Hrvatski izvoznici, HUP, Državni ured za Hrvate izvan Republike Hrvatske, HTZ</w:t>
            </w:r>
          </w:p>
        </w:tc>
        <w:tc>
          <w:tcPr>
            <w:tcW w:w="1530" w:type="dxa"/>
            <w:tcBorders>
              <w:top w:val="nil"/>
              <w:left w:val="nil"/>
              <w:bottom w:val="nil"/>
              <w:right w:val="single" w:sz="8" w:space="0" w:color="4F81BD" w:themeColor="accent1"/>
            </w:tcBorders>
            <w:hideMark/>
          </w:tcPr>
          <w:p w:rsidR="00671FBC" w:rsidRPr="00843EDC" w:rsidRDefault="00C91A1D" w:rsidP="00671FBC">
            <w:pPr>
              <w:spacing w:line="288" w:lineRule="auto"/>
              <w:cnfStyle w:val="000000000000" w:firstRow="0" w:lastRow="0" w:firstColumn="0" w:lastColumn="0" w:oddVBand="0" w:evenVBand="0" w:oddHBand="0" w:evenHBand="0" w:firstRowFirstColumn="0" w:firstRowLastColumn="0" w:lastRowFirstColumn="0" w:lastRowLastColumn="0"/>
              <w:rPr>
                <w:rFonts w:cs="Calibri"/>
                <w:sz w:val="16"/>
                <w:szCs w:val="16"/>
              </w:rPr>
            </w:pPr>
            <w:r>
              <w:rPr>
                <w:rFonts w:cs="Calibri"/>
                <w:sz w:val="16"/>
                <w:szCs w:val="16"/>
              </w:rPr>
              <w:t xml:space="preserve">Treći kvartal </w:t>
            </w:r>
            <w:r w:rsidR="00671FBC" w:rsidRPr="00843EDC">
              <w:rPr>
                <w:rFonts w:cs="Calibri"/>
                <w:sz w:val="16"/>
                <w:szCs w:val="16"/>
              </w:rPr>
              <w:t>2014.</w:t>
            </w:r>
          </w:p>
        </w:tc>
      </w:tr>
      <w:tr w:rsidR="00671FBC" w:rsidRPr="00843EDC" w:rsidTr="00671FBC">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3027" w:type="dxa"/>
            <w:vMerge/>
            <w:tcBorders>
              <w:top w:val="nil"/>
              <w:right w:val="nil"/>
            </w:tcBorders>
            <w:vAlign w:val="center"/>
            <w:hideMark/>
          </w:tcPr>
          <w:p w:rsidR="00671FBC" w:rsidRPr="00843EDC" w:rsidRDefault="00671FBC" w:rsidP="00671FBC">
            <w:pPr>
              <w:spacing w:after="0" w:line="240" w:lineRule="auto"/>
              <w:rPr>
                <w:rFonts w:cs="Calibri"/>
                <w:sz w:val="16"/>
                <w:szCs w:val="16"/>
              </w:rPr>
            </w:pPr>
          </w:p>
        </w:tc>
        <w:tc>
          <w:tcPr>
            <w:cnfStyle w:val="000010000000" w:firstRow="0" w:lastRow="0" w:firstColumn="0" w:lastColumn="0" w:oddVBand="1" w:evenVBand="0" w:oddHBand="0" w:evenHBand="0" w:firstRowFirstColumn="0" w:firstRowLastColumn="0" w:lastRowFirstColumn="0" w:lastRowLastColumn="0"/>
            <w:tcW w:w="6260" w:type="dxa"/>
            <w:hideMark/>
          </w:tcPr>
          <w:p w:rsidR="00671FBC" w:rsidRPr="00843EDC" w:rsidRDefault="00671FBC" w:rsidP="00671FBC">
            <w:pPr>
              <w:spacing w:line="288" w:lineRule="auto"/>
              <w:jc w:val="both"/>
              <w:rPr>
                <w:rFonts w:cs="Calibri"/>
                <w:sz w:val="16"/>
                <w:szCs w:val="16"/>
              </w:rPr>
            </w:pPr>
            <w:r w:rsidRPr="00843EDC">
              <w:rPr>
                <w:rFonts w:cs="Calibri"/>
                <w:sz w:val="16"/>
                <w:szCs w:val="16"/>
              </w:rPr>
              <w:t>Provedba „</w:t>
            </w:r>
            <w:proofErr w:type="spellStart"/>
            <w:r w:rsidRPr="00843EDC">
              <w:rPr>
                <w:rFonts w:cs="Calibri"/>
                <w:sz w:val="16"/>
                <w:szCs w:val="16"/>
              </w:rPr>
              <w:t>Investors</w:t>
            </w:r>
            <w:proofErr w:type="spellEnd"/>
            <w:r w:rsidRPr="00843EDC">
              <w:rPr>
                <w:rFonts w:cs="Calibri"/>
                <w:sz w:val="16"/>
                <w:szCs w:val="16"/>
              </w:rPr>
              <w:t xml:space="preserve"> </w:t>
            </w:r>
            <w:proofErr w:type="spellStart"/>
            <w:r w:rsidRPr="00843EDC">
              <w:rPr>
                <w:rFonts w:cs="Calibri"/>
                <w:sz w:val="16"/>
                <w:szCs w:val="16"/>
              </w:rPr>
              <w:t>Outreach</w:t>
            </w:r>
            <w:proofErr w:type="spellEnd"/>
            <w:r w:rsidRPr="00843EDC">
              <w:rPr>
                <w:rFonts w:cs="Calibri"/>
                <w:sz w:val="16"/>
                <w:szCs w:val="16"/>
              </w:rPr>
              <w:t>“ kampanja</w:t>
            </w:r>
          </w:p>
        </w:tc>
        <w:tc>
          <w:tcPr>
            <w:tcW w:w="1113" w:type="dxa"/>
            <w:gridSpan w:val="2"/>
            <w:tcBorders>
              <w:left w:val="nil"/>
              <w:right w:val="nil"/>
            </w:tcBorders>
            <w:hideMark/>
          </w:tcPr>
          <w:p w:rsidR="00671FBC" w:rsidRPr="00843EDC" w:rsidRDefault="00671FBC" w:rsidP="00671FBC">
            <w:pPr>
              <w:spacing w:line="288" w:lineRule="auto"/>
              <w:jc w:val="both"/>
              <w:cnfStyle w:val="000000100000" w:firstRow="0" w:lastRow="0" w:firstColumn="0" w:lastColumn="0" w:oddVBand="0" w:evenVBand="0" w:oddHBand="1" w:evenHBand="0" w:firstRowFirstColumn="0" w:firstRowLastColumn="0" w:lastRowFirstColumn="0" w:lastRowLastColumn="0"/>
              <w:rPr>
                <w:rFonts w:cs="Calibri"/>
                <w:sz w:val="16"/>
                <w:szCs w:val="16"/>
              </w:rPr>
            </w:pPr>
            <w:r w:rsidRPr="00843EDC">
              <w:rPr>
                <w:rFonts w:cs="Calibri"/>
                <w:sz w:val="16"/>
                <w:szCs w:val="16"/>
              </w:rPr>
              <w:t xml:space="preserve">AIK </w:t>
            </w:r>
          </w:p>
        </w:tc>
        <w:tc>
          <w:tcPr>
            <w:cnfStyle w:val="000010000000" w:firstRow="0" w:lastRow="0" w:firstColumn="0" w:lastColumn="0" w:oddVBand="1" w:evenVBand="0" w:oddHBand="0" w:evenHBand="0" w:firstRowFirstColumn="0" w:firstRowLastColumn="0" w:lastRowFirstColumn="0" w:lastRowLastColumn="0"/>
            <w:tcW w:w="2782" w:type="dxa"/>
            <w:gridSpan w:val="2"/>
            <w:hideMark/>
          </w:tcPr>
          <w:p w:rsidR="00671FBC" w:rsidRPr="00843EDC" w:rsidRDefault="00671FBC" w:rsidP="00671FBC">
            <w:pPr>
              <w:spacing w:line="288" w:lineRule="auto"/>
              <w:rPr>
                <w:rFonts w:cs="Calibri"/>
                <w:sz w:val="16"/>
                <w:szCs w:val="16"/>
              </w:rPr>
            </w:pPr>
            <w:r w:rsidRPr="00843EDC">
              <w:rPr>
                <w:rFonts w:cs="Calibri"/>
                <w:sz w:val="16"/>
                <w:szCs w:val="16"/>
              </w:rPr>
              <w:t>HAMAG INVEST, Županijske razvojne agencije, HGK</w:t>
            </w:r>
          </w:p>
        </w:tc>
        <w:tc>
          <w:tcPr>
            <w:tcW w:w="1530" w:type="dxa"/>
            <w:tcBorders>
              <w:left w:val="nil"/>
            </w:tcBorders>
            <w:hideMark/>
          </w:tcPr>
          <w:p w:rsidR="00671FBC" w:rsidRPr="00843EDC" w:rsidRDefault="00671FBC" w:rsidP="00671FBC">
            <w:pPr>
              <w:spacing w:line="288" w:lineRule="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843EDC">
              <w:rPr>
                <w:rFonts w:cs="Calibri"/>
                <w:sz w:val="16"/>
                <w:szCs w:val="16"/>
              </w:rPr>
              <w:t>Kontinuirano</w:t>
            </w:r>
          </w:p>
        </w:tc>
      </w:tr>
      <w:tr w:rsidR="00671FBC" w:rsidRPr="00843EDC" w:rsidTr="00671FBC">
        <w:trPr>
          <w:trHeight w:val="565"/>
        </w:trPr>
        <w:tc>
          <w:tcPr>
            <w:cnfStyle w:val="001000000000" w:firstRow="0" w:lastRow="0" w:firstColumn="1" w:lastColumn="0" w:oddVBand="0" w:evenVBand="0" w:oddHBand="0" w:evenHBand="0" w:firstRowFirstColumn="0" w:firstRowLastColumn="0" w:lastRowFirstColumn="0" w:lastRowLastColumn="0"/>
            <w:tcW w:w="3027" w:type="dxa"/>
            <w:vMerge w:val="restart"/>
            <w:tcBorders>
              <w:top w:val="nil"/>
              <w:left w:val="single" w:sz="8" w:space="0" w:color="4F81BD" w:themeColor="accent1"/>
              <w:bottom w:val="single" w:sz="8" w:space="0" w:color="4F81BD" w:themeColor="accent1"/>
              <w:right w:val="nil"/>
            </w:tcBorders>
            <w:vAlign w:val="center"/>
            <w:hideMark/>
          </w:tcPr>
          <w:p w:rsidR="00671FBC" w:rsidRPr="00843EDC" w:rsidRDefault="00671FBC" w:rsidP="00671FBC">
            <w:pPr>
              <w:spacing w:line="288" w:lineRule="auto"/>
              <w:ind w:right="480"/>
              <w:rPr>
                <w:rFonts w:eastAsia="MS Mincho" w:cs="Calibri"/>
                <w:sz w:val="16"/>
                <w:szCs w:val="16"/>
                <w:lang w:eastAsia="ja-JP"/>
              </w:rPr>
            </w:pPr>
            <w:r w:rsidRPr="00843EDC">
              <w:rPr>
                <w:rFonts w:eastAsia="MS Mincho" w:cs="Calibri"/>
                <w:sz w:val="16"/>
                <w:szCs w:val="16"/>
                <w:lang w:eastAsia="ja-JP"/>
              </w:rPr>
              <w:t xml:space="preserve">3.2 Izrada i provedba Plana privlačenja </w:t>
            </w:r>
            <w:proofErr w:type="spellStart"/>
            <w:r w:rsidRPr="00843EDC">
              <w:rPr>
                <w:rFonts w:eastAsia="MS Mincho" w:cs="Calibri"/>
                <w:i/>
                <w:sz w:val="16"/>
                <w:szCs w:val="16"/>
                <w:lang w:eastAsia="ja-JP"/>
              </w:rPr>
              <w:t>greenfield</w:t>
            </w:r>
            <w:proofErr w:type="spellEnd"/>
            <w:r w:rsidRPr="00843EDC">
              <w:rPr>
                <w:rFonts w:eastAsia="MS Mincho" w:cs="Calibri"/>
                <w:sz w:val="16"/>
                <w:szCs w:val="16"/>
                <w:lang w:eastAsia="ja-JP"/>
              </w:rPr>
              <w:t xml:space="preserve"> investicija u industrije u nastajanju i visoko-tehnološke sektore</w:t>
            </w:r>
          </w:p>
        </w:tc>
        <w:tc>
          <w:tcPr>
            <w:cnfStyle w:val="000010000000" w:firstRow="0" w:lastRow="0" w:firstColumn="0" w:lastColumn="0" w:oddVBand="1" w:evenVBand="0" w:oddHBand="0" w:evenHBand="0" w:firstRowFirstColumn="0" w:firstRowLastColumn="0" w:lastRowFirstColumn="0" w:lastRowLastColumn="0"/>
            <w:tcW w:w="6260" w:type="dxa"/>
            <w:tcBorders>
              <w:top w:val="nil"/>
              <w:bottom w:val="nil"/>
            </w:tcBorders>
            <w:hideMark/>
          </w:tcPr>
          <w:p w:rsidR="00671FBC" w:rsidRPr="00843EDC" w:rsidRDefault="00671FBC" w:rsidP="00671FBC">
            <w:pPr>
              <w:spacing w:line="288" w:lineRule="auto"/>
              <w:jc w:val="both"/>
              <w:rPr>
                <w:rFonts w:cs="Calibri"/>
                <w:sz w:val="16"/>
                <w:szCs w:val="16"/>
              </w:rPr>
            </w:pPr>
            <w:r w:rsidRPr="00843EDC">
              <w:rPr>
                <w:rFonts w:cs="Calibri"/>
                <w:sz w:val="16"/>
                <w:szCs w:val="16"/>
              </w:rPr>
              <w:t xml:space="preserve">Izrada Plana privlačenja </w:t>
            </w:r>
            <w:proofErr w:type="spellStart"/>
            <w:r w:rsidRPr="00843EDC">
              <w:rPr>
                <w:rFonts w:cs="Calibri"/>
                <w:sz w:val="16"/>
                <w:szCs w:val="16"/>
              </w:rPr>
              <w:t>greenfield</w:t>
            </w:r>
            <w:proofErr w:type="spellEnd"/>
            <w:r w:rsidRPr="00843EDC">
              <w:rPr>
                <w:rFonts w:cs="Calibri"/>
                <w:sz w:val="16"/>
                <w:szCs w:val="16"/>
              </w:rPr>
              <w:t xml:space="preserve"> investicija u industrije u nastajanju bazirane i visoko-tehnološke</w:t>
            </w:r>
            <w:r>
              <w:rPr>
                <w:rFonts w:cs="Calibri"/>
                <w:sz w:val="16"/>
                <w:szCs w:val="16"/>
              </w:rPr>
              <w:t xml:space="preserve"> </w:t>
            </w:r>
            <w:r w:rsidRPr="00843EDC">
              <w:rPr>
                <w:rFonts w:cs="Calibri"/>
                <w:sz w:val="16"/>
                <w:szCs w:val="16"/>
              </w:rPr>
              <w:t>sektore (Izrada liste potencijalnih ulagača u industrije u nastajanju;  Identifikacija mogućnosti domaćih subjekata za prihvat KET tehnologije)</w:t>
            </w:r>
          </w:p>
        </w:tc>
        <w:tc>
          <w:tcPr>
            <w:tcW w:w="1113" w:type="dxa"/>
            <w:gridSpan w:val="2"/>
            <w:tcBorders>
              <w:top w:val="nil"/>
              <w:left w:val="nil"/>
              <w:bottom w:val="nil"/>
              <w:right w:val="nil"/>
            </w:tcBorders>
            <w:hideMark/>
          </w:tcPr>
          <w:p w:rsidR="00671FBC" w:rsidRPr="00843EDC" w:rsidRDefault="00671FBC" w:rsidP="00671FBC">
            <w:pPr>
              <w:spacing w:line="288" w:lineRule="auto"/>
              <w:jc w:val="both"/>
              <w:cnfStyle w:val="000000000000" w:firstRow="0" w:lastRow="0" w:firstColumn="0" w:lastColumn="0" w:oddVBand="0" w:evenVBand="0" w:oddHBand="0" w:evenHBand="0" w:firstRowFirstColumn="0" w:firstRowLastColumn="0" w:lastRowFirstColumn="0" w:lastRowLastColumn="0"/>
              <w:rPr>
                <w:rFonts w:cs="Calibri"/>
                <w:sz w:val="16"/>
                <w:szCs w:val="16"/>
              </w:rPr>
            </w:pPr>
            <w:r w:rsidRPr="00843EDC">
              <w:rPr>
                <w:rFonts w:cs="Calibri"/>
                <w:sz w:val="16"/>
                <w:szCs w:val="16"/>
              </w:rPr>
              <w:t>MINGO</w:t>
            </w:r>
          </w:p>
        </w:tc>
        <w:tc>
          <w:tcPr>
            <w:cnfStyle w:val="000010000000" w:firstRow="0" w:lastRow="0" w:firstColumn="0" w:lastColumn="0" w:oddVBand="1" w:evenVBand="0" w:oddHBand="0" w:evenHBand="0" w:firstRowFirstColumn="0" w:firstRowLastColumn="0" w:lastRowFirstColumn="0" w:lastRowLastColumn="0"/>
            <w:tcW w:w="2782" w:type="dxa"/>
            <w:gridSpan w:val="2"/>
            <w:tcBorders>
              <w:top w:val="nil"/>
              <w:bottom w:val="nil"/>
            </w:tcBorders>
            <w:hideMark/>
          </w:tcPr>
          <w:p w:rsidR="00671FBC" w:rsidRPr="00843EDC" w:rsidRDefault="00671FBC" w:rsidP="00671FBC">
            <w:pPr>
              <w:spacing w:line="288" w:lineRule="auto"/>
              <w:rPr>
                <w:rFonts w:cs="Calibri"/>
                <w:sz w:val="16"/>
                <w:szCs w:val="16"/>
              </w:rPr>
            </w:pPr>
            <w:r w:rsidRPr="00843EDC">
              <w:rPr>
                <w:rFonts w:cs="Calibri"/>
                <w:sz w:val="16"/>
                <w:szCs w:val="16"/>
              </w:rPr>
              <w:t>MINPO, MZOS, AIK, HAMAG INVEST, BICRO, HGK</w:t>
            </w:r>
          </w:p>
        </w:tc>
        <w:tc>
          <w:tcPr>
            <w:tcW w:w="1530" w:type="dxa"/>
            <w:tcBorders>
              <w:top w:val="nil"/>
              <w:left w:val="nil"/>
              <w:bottom w:val="nil"/>
              <w:right w:val="single" w:sz="8" w:space="0" w:color="4F81BD" w:themeColor="accent1"/>
            </w:tcBorders>
            <w:hideMark/>
          </w:tcPr>
          <w:p w:rsidR="00671FBC" w:rsidRPr="00843EDC" w:rsidRDefault="00671FBC" w:rsidP="00671FBC">
            <w:pPr>
              <w:spacing w:line="288" w:lineRule="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843EDC">
              <w:rPr>
                <w:rFonts w:cs="Calibri"/>
                <w:sz w:val="16"/>
                <w:szCs w:val="16"/>
              </w:rPr>
              <w:t>Lipanj 2014</w:t>
            </w:r>
          </w:p>
        </w:tc>
      </w:tr>
      <w:tr w:rsidR="00671FBC" w:rsidRPr="00843EDC" w:rsidTr="00671FBC">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3027" w:type="dxa"/>
            <w:vMerge/>
            <w:tcBorders>
              <w:top w:val="nil"/>
              <w:right w:val="nil"/>
            </w:tcBorders>
            <w:vAlign w:val="center"/>
            <w:hideMark/>
          </w:tcPr>
          <w:p w:rsidR="00671FBC" w:rsidRPr="00843EDC" w:rsidRDefault="00671FBC" w:rsidP="00671FBC">
            <w:pPr>
              <w:spacing w:after="0" w:line="240" w:lineRule="auto"/>
              <w:rPr>
                <w:rFonts w:eastAsia="MS Mincho" w:cs="Calibri"/>
                <w:sz w:val="16"/>
                <w:szCs w:val="16"/>
                <w:lang w:eastAsia="ja-JP"/>
              </w:rPr>
            </w:pPr>
          </w:p>
        </w:tc>
        <w:tc>
          <w:tcPr>
            <w:cnfStyle w:val="000010000000" w:firstRow="0" w:lastRow="0" w:firstColumn="0" w:lastColumn="0" w:oddVBand="1" w:evenVBand="0" w:oddHBand="0" w:evenHBand="0" w:firstRowFirstColumn="0" w:firstRowLastColumn="0" w:lastRowFirstColumn="0" w:lastRowLastColumn="0"/>
            <w:tcW w:w="6260" w:type="dxa"/>
            <w:hideMark/>
          </w:tcPr>
          <w:p w:rsidR="00671FBC" w:rsidRPr="00843EDC" w:rsidRDefault="00671FBC" w:rsidP="00671FBC">
            <w:pPr>
              <w:spacing w:line="288" w:lineRule="auto"/>
              <w:jc w:val="both"/>
              <w:rPr>
                <w:rFonts w:cs="Calibri"/>
                <w:sz w:val="16"/>
                <w:szCs w:val="16"/>
              </w:rPr>
            </w:pPr>
            <w:r w:rsidRPr="00843EDC">
              <w:rPr>
                <w:rFonts w:cs="Calibri"/>
                <w:sz w:val="16"/>
                <w:szCs w:val="16"/>
              </w:rPr>
              <w:t>Ciljano predstavljanje mogućnosti ulaganja u industrije u nastajanju i visoko-tehnološke sektore</w:t>
            </w:r>
          </w:p>
        </w:tc>
        <w:tc>
          <w:tcPr>
            <w:tcW w:w="1113" w:type="dxa"/>
            <w:gridSpan w:val="2"/>
            <w:tcBorders>
              <w:left w:val="nil"/>
              <w:right w:val="nil"/>
            </w:tcBorders>
            <w:hideMark/>
          </w:tcPr>
          <w:p w:rsidR="00671FBC" w:rsidRPr="00843EDC" w:rsidRDefault="00671FBC" w:rsidP="00671FBC">
            <w:pPr>
              <w:spacing w:line="288" w:lineRule="auto"/>
              <w:jc w:val="both"/>
              <w:cnfStyle w:val="000000100000" w:firstRow="0" w:lastRow="0" w:firstColumn="0" w:lastColumn="0" w:oddVBand="0" w:evenVBand="0" w:oddHBand="1" w:evenHBand="0" w:firstRowFirstColumn="0" w:firstRowLastColumn="0" w:lastRowFirstColumn="0" w:lastRowLastColumn="0"/>
              <w:rPr>
                <w:rFonts w:cs="Calibri"/>
                <w:sz w:val="16"/>
                <w:szCs w:val="16"/>
              </w:rPr>
            </w:pPr>
            <w:r w:rsidRPr="00843EDC">
              <w:rPr>
                <w:rFonts w:cs="Calibri"/>
                <w:sz w:val="16"/>
                <w:szCs w:val="16"/>
              </w:rPr>
              <w:t>MINGO</w:t>
            </w:r>
          </w:p>
        </w:tc>
        <w:tc>
          <w:tcPr>
            <w:cnfStyle w:val="000010000000" w:firstRow="0" w:lastRow="0" w:firstColumn="0" w:lastColumn="0" w:oddVBand="1" w:evenVBand="0" w:oddHBand="0" w:evenHBand="0" w:firstRowFirstColumn="0" w:firstRowLastColumn="0" w:lastRowFirstColumn="0" w:lastRowLastColumn="0"/>
            <w:tcW w:w="2782" w:type="dxa"/>
            <w:gridSpan w:val="2"/>
            <w:hideMark/>
          </w:tcPr>
          <w:p w:rsidR="00671FBC" w:rsidRPr="00843EDC" w:rsidRDefault="00671FBC" w:rsidP="00671FBC">
            <w:pPr>
              <w:spacing w:line="288" w:lineRule="auto"/>
              <w:rPr>
                <w:rFonts w:cs="Calibri"/>
                <w:sz w:val="16"/>
                <w:szCs w:val="16"/>
              </w:rPr>
            </w:pPr>
            <w:r w:rsidRPr="00843EDC">
              <w:rPr>
                <w:rFonts w:cs="Calibri"/>
                <w:sz w:val="16"/>
                <w:szCs w:val="16"/>
              </w:rPr>
              <w:t>AIK, HAMAG INVEST, RRA</w:t>
            </w:r>
          </w:p>
        </w:tc>
        <w:tc>
          <w:tcPr>
            <w:tcW w:w="1530" w:type="dxa"/>
            <w:tcBorders>
              <w:left w:val="nil"/>
            </w:tcBorders>
            <w:hideMark/>
          </w:tcPr>
          <w:p w:rsidR="00671FBC" w:rsidRPr="00843EDC" w:rsidRDefault="00671FBC" w:rsidP="00671FBC">
            <w:pPr>
              <w:spacing w:line="288" w:lineRule="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843EDC">
              <w:rPr>
                <w:rFonts w:cs="Calibri"/>
                <w:sz w:val="16"/>
                <w:szCs w:val="16"/>
              </w:rPr>
              <w:t xml:space="preserve">Kontinuirano </w:t>
            </w:r>
          </w:p>
        </w:tc>
      </w:tr>
      <w:tr w:rsidR="00671FBC" w:rsidRPr="00843EDC" w:rsidTr="00671FBC">
        <w:trPr>
          <w:trHeight w:val="1589"/>
        </w:trPr>
        <w:tc>
          <w:tcPr>
            <w:cnfStyle w:val="001000000000" w:firstRow="0" w:lastRow="0" w:firstColumn="1" w:lastColumn="0" w:oddVBand="0" w:evenVBand="0" w:oddHBand="0" w:evenHBand="0" w:firstRowFirstColumn="0" w:firstRowLastColumn="0" w:lastRowFirstColumn="0" w:lastRowLastColumn="0"/>
            <w:tcW w:w="3027" w:type="dxa"/>
            <w:tcBorders>
              <w:top w:val="nil"/>
              <w:left w:val="single" w:sz="8" w:space="0" w:color="4F81BD" w:themeColor="accent1"/>
              <w:bottom w:val="nil"/>
              <w:right w:val="nil"/>
            </w:tcBorders>
            <w:hideMark/>
          </w:tcPr>
          <w:p w:rsidR="00671FBC" w:rsidRPr="00843EDC" w:rsidRDefault="00671FBC" w:rsidP="00671FBC">
            <w:pPr>
              <w:spacing w:line="288" w:lineRule="auto"/>
              <w:ind w:right="480"/>
              <w:jc w:val="both"/>
              <w:rPr>
                <w:rFonts w:eastAsia="MS Mincho" w:cs="Calibri"/>
                <w:sz w:val="16"/>
                <w:szCs w:val="16"/>
                <w:lang w:eastAsia="ja-JP"/>
              </w:rPr>
            </w:pPr>
            <w:r w:rsidRPr="00843EDC">
              <w:rPr>
                <w:rFonts w:eastAsia="MS Mincho" w:cs="Calibri"/>
                <w:sz w:val="16"/>
                <w:szCs w:val="16"/>
                <w:lang w:eastAsia="ja-JP"/>
              </w:rPr>
              <w:t>3.3 Izrad</w:t>
            </w:r>
            <w:r>
              <w:rPr>
                <w:rFonts w:eastAsia="MS Mincho" w:cs="Calibri"/>
                <w:sz w:val="16"/>
                <w:szCs w:val="16"/>
                <w:lang w:eastAsia="ja-JP"/>
              </w:rPr>
              <w:t xml:space="preserve">a i provedba Plana privlačenja </w:t>
            </w:r>
            <w:proofErr w:type="spellStart"/>
            <w:r w:rsidRPr="00843EDC">
              <w:rPr>
                <w:rFonts w:eastAsia="MS Mincho" w:cs="Calibri"/>
                <w:i/>
                <w:sz w:val="16"/>
                <w:szCs w:val="16"/>
                <w:lang w:eastAsia="ja-JP"/>
              </w:rPr>
              <w:t>greenfield</w:t>
            </w:r>
            <w:proofErr w:type="spellEnd"/>
            <w:r>
              <w:rPr>
                <w:rFonts w:eastAsia="MS Mincho" w:cs="Calibri"/>
                <w:sz w:val="16"/>
                <w:szCs w:val="16"/>
                <w:lang w:eastAsia="ja-JP"/>
              </w:rPr>
              <w:t xml:space="preserve"> investicija</w:t>
            </w:r>
            <w:r w:rsidRPr="00843EDC">
              <w:rPr>
                <w:rFonts w:eastAsia="MS Mincho" w:cs="Calibri"/>
                <w:sz w:val="16"/>
                <w:szCs w:val="16"/>
                <w:lang w:eastAsia="ja-JP"/>
              </w:rPr>
              <w:t xml:space="preserve"> u potpomognuta područja RH</w:t>
            </w:r>
          </w:p>
        </w:tc>
        <w:tc>
          <w:tcPr>
            <w:cnfStyle w:val="000010000000" w:firstRow="0" w:lastRow="0" w:firstColumn="0" w:lastColumn="0" w:oddVBand="1" w:evenVBand="0" w:oddHBand="0" w:evenHBand="0" w:firstRowFirstColumn="0" w:firstRowLastColumn="0" w:lastRowFirstColumn="0" w:lastRowLastColumn="0"/>
            <w:tcW w:w="6260" w:type="dxa"/>
            <w:tcBorders>
              <w:top w:val="nil"/>
              <w:bottom w:val="nil"/>
            </w:tcBorders>
            <w:hideMark/>
          </w:tcPr>
          <w:p w:rsidR="00671FBC" w:rsidRPr="00843EDC" w:rsidRDefault="00671FBC" w:rsidP="00671FBC">
            <w:pPr>
              <w:jc w:val="both"/>
              <w:rPr>
                <w:rFonts w:cs="Calibri"/>
                <w:sz w:val="16"/>
                <w:szCs w:val="16"/>
              </w:rPr>
            </w:pPr>
            <w:r w:rsidRPr="00843EDC">
              <w:rPr>
                <w:rFonts w:cs="Calibri"/>
                <w:sz w:val="16"/>
                <w:szCs w:val="16"/>
              </w:rPr>
              <w:t xml:space="preserve">Izrada i provedba Plana privlačenja </w:t>
            </w:r>
            <w:proofErr w:type="spellStart"/>
            <w:r w:rsidRPr="00843EDC">
              <w:rPr>
                <w:rFonts w:cs="Calibri"/>
                <w:sz w:val="16"/>
                <w:szCs w:val="16"/>
              </w:rPr>
              <w:t>greenfield</w:t>
            </w:r>
            <w:proofErr w:type="spellEnd"/>
            <w:r w:rsidRPr="00843EDC">
              <w:rPr>
                <w:rFonts w:cs="Calibri"/>
                <w:sz w:val="16"/>
                <w:szCs w:val="16"/>
              </w:rPr>
              <w:t xml:space="preserve"> investicija u potpomognutim područjima RH</w:t>
            </w:r>
          </w:p>
        </w:tc>
        <w:tc>
          <w:tcPr>
            <w:tcW w:w="1113" w:type="dxa"/>
            <w:gridSpan w:val="2"/>
            <w:tcBorders>
              <w:top w:val="nil"/>
              <w:left w:val="nil"/>
              <w:bottom w:val="nil"/>
              <w:right w:val="nil"/>
            </w:tcBorders>
            <w:hideMark/>
          </w:tcPr>
          <w:p w:rsidR="00671FBC" w:rsidRPr="00843EDC" w:rsidRDefault="00671FBC" w:rsidP="00671FBC">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843EDC">
              <w:rPr>
                <w:rFonts w:cs="Calibri"/>
                <w:sz w:val="16"/>
                <w:szCs w:val="16"/>
              </w:rPr>
              <w:t xml:space="preserve">MRRFEU </w:t>
            </w:r>
          </w:p>
        </w:tc>
        <w:tc>
          <w:tcPr>
            <w:cnfStyle w:val="000010000000" w:firstRow="0" w:lastRow="0" w:firstColumn="0" w:lastColumn="0" w:oddVBand="1" w:evenVBand="0" w:oddHBand="0" w:evenHBand="0" w:firstRowFirstColumn="0" w:firstRowLastColumn="0" w:lastRowFirstColumn="0" w:lastRowLastColumn="0"/>
            <w:tcW w:w="2782" w:type="dxa"/>
            <w:gridSpan w:val="2"/>
            <w:tcBorders>
              <w:top w:val="nil"/>
              <w:bottom w:val="nil"/>
            </w:tcBorders>
            <w:hideMark/>
          </w:tcPr>
          <w:p w:rsidR="00671FBC" w:rsidRPr="00843EDC" w:rsidRDefault="00671FBC" w:rsidP="00671FBC">
            <w:pPr>
              <w:rPr>
                <w:rFonts w:cs="Calibri"/>
                <w:sz w:val="16"/>
                <w:szCs w:val="16"/>
              </w:rPr>
            </w:pPr>
            <w:r w:rsidRPr="00843EDC">
              <w:rPr>
                <w:rFonts w:cs="Calibri"/>
                <w:sz w:val="16"/>
                <w:szCs w:val="16"/>
              </w:rPr>
              <w:t xml:space="preserve">MINGO, MINPO, AIK, ARR RH, </w:t>
            </w:r>
            <w:r w:rsidRPr="00843EDC">
              <w:rPr>
                <w:color w:val="FF0000"/>
                <w:sz w:val="16"/>
                <w:szCs w:val="16"/>
              </w:rPr>
              <w:t xml:space="preserve"> </w:t>
            </w:r>
            <w:r w:rsidRPr="00843EDC">
              <w:rPr>
                <w:sz w:val="16"/>
                <w:szCs w:val="16"/>
              </w:rPr>
              <w:t>Jedinice lokalne i područne (regionalne) samouprave</w:t>
            </w:r>
            <w:r w:rsidRPr="00843EDC">
              <w:rPr>
                <w:rFonts w:cs="Calibri"/>
                <w:sz w:val="16"/>
                <w:szCs w:val="16"/>
              </w:rPr>
              <w:t>, Županijske razvojne agencije</w:t>
            </w:r>
          </w:p>
        </w:tc>
        <w:tc>
          <w:tcPr>
            <w:tcW w:w="1530" w:type="dxa"/>
            <w:tcBorders>
              <w:top w:val="nil"/>
              <w:left w:val="nil"/>
              <w:bottom w:val="nil"/>
              <w:right w:val="single" w:sz="8" w:space="0" w:color="4F81BD" w:themeColor="accent1"/>
            </w:tcBorders>
          </w:tcPr>
          <w:p w:rsidR="00671FBC" w:rsidRPr="00843EDC" w:rsidRDefault="00C91A1D" w:rsidP="00671FBC">
            <w:pPr>
              <w:cnfStyle w:val="000000000000" w:firstRow="0" w:lastRow="0" w:firstColumn="0" w:lastColumn="0" w:oddVBand="0" w:evenVBand="0" w:oddHBand="0" w:evenHBand="0" w:firstRowFirstColumn="0" w:firstRowLastColumn="0" w:lastRowFirstColumn="0" w:lastRowLastColumn="0"/>
              <w:rPr>
                <w:rFonts w:cs="Calibri"/>
                <w:sz w:val="16"/>
                <w:szCs w:val="16"/>
              </w:rPr>
            </w:pPr>
            <w:r>
              <w:rPr>
                <w:rFonts w:cs="Calibri"/>
                <w:sz w:val="16"/>
                <w:szCs w:val="16"/>
              </w:rPr>
              <w:t>Treći kvartal</w:t>
            </w:r>
            <w:r w:rsidR="00671FBC" w:rsidRPr="00843EDC">
              <w:rPr>
                <w:rFonts w:cs="Calibri"/>
                <w:sz w:val="16"/>
                <w:szCs w:val="16"/>
              </w:rPr>
              <w:t xml:space="preserve"> 2014.</w:t>
            </w:r>
          </w:p>
          <w:p w:rsidR="00671FBC" w:rsidRPr="00843EDC" w:rsidRDefault="00671FBC" w:rsidP="00671FBC">
            <w:pPr>
              <w:cnfStyle w:val="000000000000" w:firstRow="0" w:lastRow="0" w:firstColumn="0" w:lastColumn="0" w:oddVBand="0" w:evenVBand="0" w:oddHBand="0" w:evenHBand="0" w:firstRowFirstColumn="0" w:firstRowLastColumn="0" w:lastRowFirstColumn="0" w:lastRowLastColumn="0"/>
              <w:rPr>
                <w:rFonts w:cs="Calibri"/>
                <w:sz w:val="16"/>
                <w:szCs w:val="16"/>
              </w:rPr>
            </w:pPr>
          </w:p>
          <w:p w:rsidR="00671FBC" w:rsidRPr="00843EDC" w:rsidRDefault="00671FBC" w:rsidP="00671FBC">
            <w:pPr>
              <w:cnfStyle w:val="000000000000" w:firstRow="0" w:lastRow="0" w:firstColumn="0" w:lastColumn="0" w:oddVBand="0" w:evenVBand="0" w:oddHBand="0" w:evenHBand="0" w:firstRowFirstColumn="0" w:firstRowLastColumn="0" w:lastRowFirstColumn="0" w:lastRowLastColumn="0"/>
              <w:rPr>
                <w:rFonts w:cs="Calibri"/>
                <w:sz w:val="16"/>
                <w:szCs w:val="16"/>
              </w:rPr>
            </w:pPr>
            <w:r w:rsidRPr="00843EDC">
              <w:rPr>
                <w:rFonts w:cs="Calibri"/>
                <w:sz w:val="16"/>
                <w:szCs w:val="16"/>
              </w:rPr>
              <w:t>Kontinuirano</w:t>
            </w:r>
          </w:p>
        </w:tc>
      </w:tr>
      <w:tr w:rsidR="00671FBC" w:rsidRPr="00843EDC" w:rsidTr="00671FBC">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3027" w:type="dxa"/>
            <w:vMerge w:val="restart"/>
            <w:tcBorders>
              <w:right w:val="nil"/>
            </w:tcBorders>
            <w:vAlign w:val="center"/>
            <w:hideMark/>
          </w:tcPr>
          <w:p w:rsidR="00671FBC" w:rsidRPr="00843EDC" w:rsidRDefault="00671FBC" w:rsidP="00671FBC">
            <w:pPr>
              <w:spacing w:line="288" w:lineRule="auto"/>
              <w:ind w:right="480"/>
              <w:rPr>
                <w:rFonts w:eastAsia="MS Mincho" w:cs="Calibri"/>
                <w:sz w:val="16"/>
                <w:szCs w:val="16"/>
                <w:lang w:eastAsia="ja-JP"/>
              </w:rPr>
            </w:pPr>
            <w:r w:rsidRPr="00843EDC">
              <w:rPr>
                <w:rFonts w:eastAsia="MS Mincho" w:cs="Calibri"/>
                <w:sz w:val="16"/>
                <w:szCs w:val="16"/>
                <w:lang w:eastAsia="ja-JP"/>
              </w:rPr>
              <w:t>3.4. Izrad</w:t>
            </w:r>
            <w:r>
              <w:rPr>
                <w:rFonts w:eastAsia="MS Mincho" w:cs="Calibri"/>
                <w:sz w:val="16"/>
                <w:szCs w:val="16"/>
                <w:lang w:eastAsia="ja-JP"/>
              </w:rPr>
              <w:t xml:space="preserve">a i provedba Plana realizacije </w:t>
            </w:r>
            <w:proofErr w:type="spellStart"/>
            <w:r w:rsidRPr="00BA6A16">
              <w:rPr>
                <w:rFonts w:eastAsia="MS Mincho" w:cs="Calibri"/>
                <w:i/>
                <w:sz w:val="16"/>
                <w:szCs w:val="16"/>
                <w:lang w:eastAsia="ja-JP"/>
              </w:rPr>
              <w:t>brownfield</w:t>
            </w:r>
            <w:proofErr w:type="spellEnd"/>
            <w:r w:rsidRPr="00843EDC">
              <w:rPr>
                <w:rFonts w:eastAsia="MS Mincho" w:cs="Calibri"/>
                <w:sz w:val="16"/>
                <w:szCs w:val="16"/>
                <w:lang w:eastAsia="ja-JP"/>
              </w:rPr>
              <w:t xml:space="preserve"> investicija putem stavljanja u funkciju državne imovine</w:t>
            </w:r>
          </w:p>
        </w:tc>
        <w:tc>
          <w:tcPr>
            <w:cnfStyle w:val="000010000000" w:firstRow="0" w:lastRow="0" w:firstColumn="0" w:lastColumn="0" w:oddVBand="1" w:evenVBand="0" w:oddHBand="0" w:evenHBand="0" w:firstRowFirstColumn="0" w:firstRowLastColumn="0" w:lastRowFirstColumn="0" w:lastRowLastColumn="0"/>
            <w:tcW w:w="6260" w:type="dxa"/>
            <w:hideMark/>
          </w:tcPr>
          <w:p w:rsidR="00671FBC" w:rsidRPr="00843EDC" w:rsidRDefault="00671FBC" w:rsidP="00671FBC">
            <w:pPr>
              <w:spacing w:line="288" w:lineRule="auto"/>
              <w:jc w:val="both"/>
              <w:rPr>
                <w:rFonts w:cs="Calibri"/>
                <w:sz w:val="16"/>
                <w:szCs w:val="16"/>
              </w:rPr>
            </w:pPr>
            <w:r w:rsidRPr="00843EDC">
              <w:rPr>
                <w:rFonts w:cs="Calibri"/>
                <w:sz w:val="16"/>
                <w:szCs w:val="16"/>
              </w:rPr>
              <w:t>Izrada liste imovine/nekretnina u državnom vlasništvu</w:t>
            </w:r>
          </w:p>
        </w:tc>
        <w:tc>
          <w:tcPr>
            <w:tcW w:w="1113" w:type="dxa"/>
            <w:gridSpan w:val="2"/>
            <w:tcBorders>
              <w:left w:val="nil"/>
              <w:right w:val="nil"/>
            </w:tcBorders>
            <w:hideMark/>
          </w:tcPr>
          <w:p w:rsidR="00671FBC" w:rsidRPr="00843EDC" w:rsidRDefault="00671FBC" w:rsidP="00671FBC">
            <w:pPr>
              <w:spacing w:line="288" w:lineRule="auto"/>
              <w:jc w:val="both"/>
              <w:cnfStyle w:val="000000100000" w:firstRow="0" w:lastRow="0" w:firstColumn="0" w:lastColumn="0" w:oddVBand="0" w:evenVBand="0" w:oddHBand="1" w:evenHBand="0" w:firstRowFirstColumn="0" w:firstRowLastColumn="0" w:lastRowFirstColumn="0" w:lastRowLastColumn="0"/>
              <w:rPr>
                <w:rFonts w:cs="Calibri"/>
                <w:sz w:val="16"/>
                <w:szCs w:val="16"/>
              </w:rPr>
            </w:pPr>
            <w:r w:rsidRPr="00843EDC">
              <w:rPr>
                <w:rFonts w:cs="Calibri"/>
                <w:sz w:val="16"/>
                <w:szCs w:val="16"/>
              </w:rPr>
              <w:t>MORH, DU</w:t>
            </w:r>
            <w:r>
              <w:rPr>
                <w:rFonts w:cs="Calibri"/>
                <w:sz w:val="16"/>
                <w:szCs w:val="16"/>
              </w:rPr>
              <w:t>U</w:t>
            </w:r>
            <w:r w:rsidRPr="00843EDC">
              <w:rPr>
                <w:rFonts w:cs="Calibri"/>
                <w:sz w:val="16"/>
                <w:szCs w:val="16"/>
              </w:rPr>
              <w:t>DI</w:t>
            </w:r>
          </w:p>
        </w:tc>
        <w:tc>
          <w:tcPr>
            <w:cnfStyle w:val="000010000000" w:firstRow="0" w:lastRow="0" w:firstColumn="0" w:lastColumn="0" w:oddVBand="1" w:evenVBand="0" w:oddHBand="0" w:evenHBand="0" w:firstRowFirstColumn="0" w:firstRowLastColumn="0" w:lastRowFirstColumn="0" w:lastRowLastColumn="0"/>
            <w:tcW w:w="2782" w:type="dxa"/>
            <w:gridSpan w:val="2"/>
            <w:hideMark/>
          </w:tcPr>
          <w:p w:rsidR="00671FBC" w:rsidRPr="00843EDC" w:rsidRDefault="00671FBC" w:rsidP="00671FBC">
            <w:pPr>
              <w:spacing w:line="288" w:lineRule="auto"/>
              <w:rPr>
                <w:rFonts w:cs="Calibri"/>
                <w:sz w:val="16"/>
                <w:szCs w:val="16"/>
              </w:rPr>
            </w:pPr>
            <w:r w:rsidRPr="00843EDC">
              <w:rPr>
                <w:rFonts w:cs="Calibri"/>
                <w:sz w:val="16"/>
                <w:szCs w:val="16"/>
              </w:rPr>
              <w:t>MINGO, MINPO</w:t>
            </w:r>
          </w:p>
        </w:tc>
        <w:tc>
          <w:tcPr>
            <w:tcW w:w="1530" w:type="dxa"/>
            <w:tcBorders>
              <w:left w:val="nil"/>
            </w:tcBorders>
            <w:hideMark/>
          </w:tcPr>
          <w:p w:rsidR="00671FBC" w:rsidRPr="00843EDC" w:rsidRDefault="00671FBC" w:rsidP="00671FBC">
            <w:pPr>
              <w:spacing w:line="288" w:lineRule="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843EDC">
              <w:rPr>
                <w:rFonts w:cs="Calibri"/>
                <w:sz w:val="16"/>
                <w:szCs w:val="16"/>
              </w:rPr>
              <w:t>Kraj 2014.</w:t>
            </w:r>
          </w:p>
        </w:tc>
      </w:tr>
      <w:tr w:rsidR="00671FBC" w:rsidRPr="00843EDC" w:rsidTr="00671FBC">
        <w:trPr>
          <w:trHeight w:val="688"/>
        </w:trPr>
        <w:tc>
          <w:tcPr>
            <w:cnfStyle w:val="001000000000" w:firstRow="0" w:lastRow="0" w:firstColumn="1" w:lastColumn="0" w:oddVBand="0" w:evenVBand="0" w:oddHBand="0" w:evenHBand="0" w:firstRowFirstColumn="0" w:firstRowLastColumn="0" w:lastRowFirstColumn="0" w:lastRowLastColumn="0"/>
            <w:tcW w:w="3027" w:type="dxa"/>
            <w:vMerge/>
            <w:tcBorders>
              <w:top w:val="single" w:sz="8" w:space="0" w:color="4F81BD" w:themeColor="accent1"/>
              <w:left w:val="single" w:sz="8" w:space="0" w:color="4F81BD" w:themeColor="accent1"/>
              <w:bottom w:val="single" w:sz="8" w:space="0" w:color="4F81BD" w:themeColor="accent1"/>
              <w:right w:val="nil"/>
            </w:tcBorders>
            <w:vAlign w:val="center"/>
            <w:hideMark/>
          </w:tcPr>
          <w:p w:rsidR="00671FBC" w:rsidRPr="00843EDC" w:rsidRDefault="00671FBC" w:rsidP="00671FBC">
            <w:pPr>
              <w:spacing w:after="0" w:line="240" w:lineRule="auto"/>
              <w:rPr>
                <w:rFonts w:eastAsia="MS Mincho" w:cs="Calibri"/>
                <w:sz w:val="16"/>
                <w:szCs w:val="16"/>
                <w:lang w:eastAsia="ja-JP"/>
              </w:rPr>
            </w:pPr>
          </w:p>
        </w:tc>
        <w:tc>
          <w:tcPr>
            <w:cnfStyle w:val="000010000000" w:firstRow="0" w:lastRow="0" w:firstColumn="0" w:lastColumn="0" w:oddVBand="1" w:evenVBand="0" w:oddHBand="0" w:evenHBand="0" w:firstRowFirstColumn="0" w:firstRowLastColumn="0" w:lastRowFirstColumn="0" w:lastRowLastColumn="0"/>
            <w:tcW w:w="6260" w:type="dxa"/>
            <w:tcBorders>
              <w:top w:val="nil"/>
              <w:bottom w:val="nil"/>
            </w:tcBorders>
            <w:hideMark/>
          </w:tcPr>
          <w:p w:rsidR="00671FBC" w:rsidRPr="00843EDC" w:rsidRDefault="00671FBC" w:rsidP="00671FBC">
            <w:pPr>
              <w:spacing w:line="288" w:lineRule="auto"/>
              <w:jc w:val="both"/>
              <w:rPr>
                <w:rFonts w:cs="Calibri"/>
                <w:sz w:val="16"/>
                <w:szCs w:val="16"/>
              </w:rPr>
            </w:pPr>
            <w:r w:rsidRPr="00843EDC">
              <w:rPr>
                <w:rFonts w:cs="Calibri"/>
                <w:sz w:val="16"/>
                <w:szCs w:val="16"/>
              </w:rPr>
              <w:t>Klasifikacija imovine prema A-B-C modelu</w:t>
            </w:r>
          </w:p>
        </w:tc>
        <w:tc>
          <w:tcPr>
            <w:tcW w:w="1113" w:type="dxa"/>
            <w:gridSpan w:val="2"/>
            <w:tcBorders>
              <w:top w:val="nil"/>
              <w:left w:val="nil"/>
              <w:bottom w:val="nil"/>
              <w:right w:val="nil"/>
            </w:tcBorders>
            <w:hideMark/>
          </w:tcPr>
          <w:p w:rsidR="00671FBC" w:rsidRPr="00843EDC" w:rsidRDefault="00671FBC" w:rsidP="00671FBC">
            <w:pPr>
              <w:spacing w:line="288" w:lineRule="auto"/>
              <w:jc w:val="both"/>
              <w:cnfStyle w:val="000000000000" w:firstRow="0" w:lastRow="0" w:firstColumn="0" w:lastColumn="0" w:oddVBand="0" w:evenVBand="0" w:oddHBand="0" w:evenHBand="0" w:firstRowFirstColumn="0" w:firstRowLastColumn="0" w:lastRowFirstColumn="0" w:lastRowLastColumn="0"/>
              <w:rPr>
                <w:rFonts w:cs="Calibri"/>
                <w:sz w:val="16"/>
                <w:szCs w:val="16"/>
              </w:rPr>
            </w:pPr>
            <w:r w:rsidRPr="00843EDC">
              <w:rPr>
                <w:rFonts w:cs="Calibri"/>
                <w:sz w:val="16"/>
                <w:szCs w:val="16"/>
              </w:rPr>
              <w:t>DU</w:t>
            </w:r>
            <w:r>
              <w:rPr>
                <w:rFonts w:cs="Calibri"/>
                <w:sz w:val="16"/>
                <w:szCs w:val="16"/>
              </w:rPr>
              <w:t>U</w:t>
            </w:r>
            <w:r w:rsidRPr="00843EDC">
              <w:rPr>
                <w:rFonts w:cs="Calibri"/>
                <w:sz w:val="16"/>
                <w:szCs w:val="16"/>
              </w:rPr>
              <w:t>DI</w:t>
            </w:r>
          </w:p>
        </w:tc>
        <w:tc>
          <w:tcPr>
            <w:cnfStyle w:val="000010000000" w:firstRow="0" w:lastRow="0" w:firstColumn="0" w:lastColumn="0" w:oddVBand="1" w:evenVBand="0" w:oddHBand="0" w:evenHBand="0" w:firstRowFirstColumn="0" w:firstRowLastColumn="0" w:lastRowFirstColumn="0" w:lastRowLastColumn="0"/>
            <w:tcW w:w="2782" w:type="dxa"/>
            <w:gridSpan w:val="2"/>
            <w:tcBorders>
              <w:top w:val="nil"/>
              <w:bottom w:val="nil"/>
            </w:tcBorders>
            <w:hideMark/>
          </w:tcPr>
          <w:p w:rsidR="00671FBC" w:rsidRPr="00843EDC" w:rsidRDefault="00671FBC" w:rsidP="00671FBC">
            <w:pPr>
              <w:spacing w:line="288" w:lineRule="auto"/>
              <w:rPr>
                <w:rFonts w:cs="Calibri"/>
                <w:sz w:val="16"/>
                <w:szCs w:val="16"/>
              </w:rPr>
            </w:pPr>
            <w:r w:rsidRPr="00843EDC">
              <w:rPr>
                <w:rFonts w:cs="Calibri"/>
                <w:sz w:val="16"/>
                <w:szCs w:val="16"/>
              </w:rPr>
              <w:t>EIZ, MINGO, AIK, HAMAG INVEST</w:t>
            </w:r>
          </w:p>
        </w:tc>
        <w:tc>
          <w:tcPr>
            <w:tcW w:w="1530" w:type="dxa"/>
            <w:tcBorders>
              <w:top w:val="nil"/>
              <w:left w:val="nil"/>
              <w:bottom w:val="nil"/>
              <w:right w:val="single" w:sz="8" w:space="0" w:color="4F81BD" w:themeColor="accent1"/>
            </w:tcBorders>
            <w:hideMark/>
          </w:tcPr>
          <w:p w:rsidR="00671FBC" w:rsidRPr="00843EDC" w:rsidRDefault="00C91A1D" w:rsidP="00671FBC">
            <w:pPr>
              <w:spacing w:line="288" w:lineRule="auto"/>
              <w:cnfStyle w:val="000000000000" w:firstRow="0" w:lastRow="0" w:firstColumn="0" w:lastColumn="0" w:oddVBand="0" w:evenVBand="0" w:oddHBand="0" w:evenHBand="0" w:firstRowFirstColumn="0" w:firstRowLastColumn="0" w:lastRowFirstColumn="0" w:lastRowLastColumn="0"/>
              <w:rPr>
                <w:rFonts w:cs="Calibri"/>
                <w:sz w:val="16"/>
                <w:szCs w:val="16"/>
              </w:rPr>
            </w:pPr>
            <w:r>
              <w:rPr>
                <w:rFonts w:cs="Calibri"/>
                <w:sz w:val="16"/>
                <w:szCs w:val="16"/>
              </w:rPr>
              <w:t>Kraj</w:t>
            </w:r>
            <w:r w:rsidR="00671FBC" w:rsidRPr="00843EDC">
              <w:rPr>
                <w:rFonts w:cs="Calibri"/>
                <w:sz w:val="16"/>
                <w:szCs w:val="16"/>
              </w:rPr>
              <w:t xml:space="preserve"> 2014.</w:t>
            </w:r>
          </w:p>
        </w:tc>
      </w:tr>
      <w:tr w:rsidR="00671FBC" w:rsidRPr="00843EDC" w:rsidTr="00671FBC">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3027" w:type="dxa"/>
            <w:vMerge/>
            <w:tcBorders>
              <w:right w:val="nil"/>
            </w:tcBorders>
            <w:vAlign w:val="center"/>
            <w:hideMark/>
          </w:tcPr>
          <w:p w:rsidR="00671FBC" w:rsidRPr="00843EDC" w:rsidRDefault="00671FBC" w:rsidP="00671FBC">
            <w:pPr>
              <w:spacing w:after="0" w:line="240" w:lineRule="auto"/>
              <w:rPr>
                <w:rFonts w:eastAsia="MS Mincho" w:cs="Calibri"/>
                <w:sz w:val="16"/>
                <w:szCs w:val="16"/>
                <w:lang w:eastAsia="ja-JP"/>
              </w:rPr>
            </w:pPr>
          </w:p>
        </w:tc>
        <w:tc>
          <w:tcPr>
            <w:cnfStyle w:val="000010000000" w:firstRow="0" w:lastRow="0" w:firstColumn="0" w:lastColumn="0" w:oddVBand="1" w:evenVBand="0" w:oddHBand="0" w:evenHBand="0" w:firstRowFirstColumn="0" w:firstRowLastColumn="0" w:lastRowFirstColumn="0" w:lastRowLastColumn="0"/>
            <w:tcW w:w="6260" w:type="dxa"/>
            <w:hideMark/>
          </w:tcPr>
          <w:p w:rsidR="00671FBC" w:rsidRPr="00843EDC" w:rsidRDefault="00671FBC" w:rsidP="00671FBC">
            <w:pPr>
              <w:spacing w:line="288" w:lineRule="auto"/>
              <w:jc w:val="both"/>
              <w:rPr>
                <w:rFonts w:cs="Calibri"/>
                <w:sz w:val="16"/>
                <w:szCs w:val="16"/>
              </w:rPr>
            </w:pPr>
            <w:r w:rsidRPr="00843EDC">
              <w:rPr>
                <w:rFonts w:eastAsia="MS Mincho" w:cs="Calibri"/>
                <w:sz w:val="16"/>
                <w:szCs w:val="16"/>
                <w:lang w:eastAsia="ja-JP"/>
              </w:rPr>
              <w:t>Identifikacija mogućnosti za investiranje i izrada projektne dokumentacije</w:t>
            </w:r>
          </w:p>
        </w:tc>
        <w:tc>
          <w:tcPr>
            <w:tcW w:w="1113" w:type="dxa"/>
            <w:gridSpan w:val="2"/>
            <w:tcBorders>
              <w:left w:val="nil"/>
              <w:right w:val="nil"/>
            </w:tcBorders>
            <w:hideMark/>
          </w:tcPr>
          <w:p w:rsidR="00671FBC" w:rsidRDefault="00671FBC" w:rsidP="00671FBC">
            <w:pPr>
              <w:spacing w:line="288" w:lineRule="auto"/>
              <w:jc w:val="both"/>
              <w:cnfStyle w:val="000000100000" w:firstRow="0" w:lastRow="0" w:firstColumn="0" w:lastColumn="0" w:oddVBand="0" w:evenVBand="0" w:oddHBand="1" w:evenHBand="0" w:firstRowFirstColumn="0" w:firstRowLastColumn="0" w:lastRowFirstColumn="0" w:lastRowLastColumn="0"/>
              <w:rPr>
                <w:rFonts w:cs="Calibri"/>
                <w:sz w:val="16"/>
                <w:szCs w:val="16"/>
              </w:rPr>
            </w:pPr>
            <w:r>
              <w:rPr>
                <w:rFonts w:cs="Calibri"/>
                <w:sz w:val="16"/>
                <w:szCs w:val="16"/>
              </w:rPr>
              <w:t>DUUDI,CEI,</w:t>
            </w:r>
          </w:p>
          <w:p w:rsidR="00671FBC" w:rsidRPr="00843EDC" w:rsidRDefault="00671FBC" w:rsidP="00671FBC">
            <w:pPr>
              <w:spacing w:line="288" w:lineRule="auto"/>
              <w:jc w:val="both"/>
              <w:cnfStyle w:val="000000100000" w:firstRow="0" w:lastRow="0" w:firstColumn="0" w:lastColumn="0" w:oddVBand="0" w:evenVBand="0" w:oddHBand="1" w:evenHBand="0" w:firstRowFirstColumn="0" w:firstRowLastColumn="0" w:lastRowFirstColumn="0" w:lastRowLastColumn="0"/>
              <w:rPr>
                <w:rFonts w:cs="Calibri"/>
                <w:sz w:val="16"/>
                <w:szCs w:val="16"/>
              </w:rPr>
            </w:pPr>
            <w:r>
              <w:rPr>
                <w:rFonts w:cs="Calibri"/>
                <w:sz w:val="16"/>
                <w:szCs w:val="16"/>
              </w:rPr>
              <w:t>CERP</w:t>
            </w:r>
          </w:p>
        </w:tc>
        <w:tc>
          <w:tcPr>
            <w:cnfStyle w:val="000010000000" w:firstRow="0" w:lastRow="0" w:firstColumn="0" w:lastColumn="0" w:oddVBand="1" w:evenVBand="0" w:oddHBand="0" w:evenHBand="0" w:firstRowFirstColumn="0" w:firstRowLastColumn="0" w:lastRowFirstColumn="0" w:lastRowLastColumn="0"/>
            <w:tcW w:w="2782" w:type="dxa"/>
            <w:gridSpan w:val="2"/>
            <w:hideMark/>
          </w:tcPr>
          <w:p w:rsidR="00671FBC" w:rsidRDefault="00671FBC" w:rsidP="00671FBC">
            <w:pPr>
              <w:spacing w:line="288" w:lineRule="auto"/>
              <w:rPr>
                <w:rFonts w:cs="Calibri"/>
                <w:sz w:val="16"/>
                <w:szCs w:val="16"/>
              </w:rPr>
            </w:pPr>
            <w:r w:rsidRPr="00843EDC">
              <w:rPr>
                <w:rFonts w:cs="Calibri"/>
                <w:sz w:val="16"/>
                <w:szCs w:val="16"/>
              </w:rPr>
              <w:t>Resorna središnja tijela državne uprave, Županijske razvojne agencije, DU</w:t>
            </w:r>
            <w:r>
              <w:rPr>
                <w:rFonts w:cs="Calibri"/>
                <w:sz w:val="16"/>
                <w:szCs w:val="16"/>
              </w:rPr>
              <w:t>U</w:t>
            </w:r>
            <w:r w:rsidRPr="00843EDC">
              <w:rPr>
                <w:rFonts w:cs="Calibri"/>
                <w:sz w:val="16"/>
                <w:szCs w:val="16"/>
              </w:rPr>
              <w:t>DI, MORH</w:t>
            </w:r>
          </w:p>
          <w:p w:rsidR="00671FBC" w:rsidRPr="00843EDC" w:rsidRDefault="00671FBC" w:rsidP="00671FBC">
            <w:pPr>
              <w:spacing w:line="288" w:lineRule="auto"/>
              <w:rPr>
                <w:rFonts w:cs="Calibri"/>
                <w:sz w:val="16"/>
                <w:szCs w:val="16"/>
              </w:rPr>
            </w:pPr>
          </w:p>
        </w:tc>
        <w:tc>
          <w:tcPr>
            <w:tcW w:w="1530" w:type="dxa"/>
            <w:tcBorders>
              <w:left w:val="nil"/>
            </w:tcBorders>
            <w:hideMark/>
          </w:tcPr>
          <w:p w:rsidR="00671FBC" w:rsidRPr="00843EDC" w:rsidRDefault="00671FBC" w:rsidP="00671FBC">
            <w:pPr>
              <w:spacing w:line="288" w:lineRule="auto"/>
              <w:jc w:val="both"/>
              <w:cnfStyle w:val="000000100000" w:firstRow="0" w:lastRow="0" w:firstColumn="0" w:lastColumn="0" w:oddVBand="0" w:evenVBand="0" w:oddHBand="1" w:evenHBand="0" w:firstRowFirstColumn="0" w:firstRowLastColumn="0" w:lastRowFirstColumn="0" w:lastRowLastColumn="0"/>
              <w:rPr>
                <w:rFonts w:cs="Calibri"/>
                <w:sz w:val="16"/>
                <w:szCs w:val="16"/>
              </w:rPr>
            </w:pPr>
            <w:r w:rsidRPr="00843EDC">
              <w:rPr>
                <w:rFonts w:cs="Calibri"/>
                <w:sz w:val="16"/>
                <w:szCs w:val="16"/>
              </w:rPr>
              <w:t>Kontinuirano</w:t>
            </w:r>
          </w:p>
        </w:tc>
      </w:tr>
      <w:tr w:rsidR="00671FBC" w:rsidRPr="00843EDC" w:rsidTr="00671FBC">
        <w:trPr>
          <w:trHeight w:val="687"/>
        </w:trPr>
        <w:tc>
          <w:tcPr>
            <w:cnfStyle w:val="001000000000" w:firstRow="0" w:lastRow="0" w:firstColumn="1" w:lastColumn="0" w:oddVBand="0" w:evenVBand="0" w:oddHBand="0" w:evenHBand="0" w:firstRowFirstColumn="0" w:firstRowLastColumn="0" w:lastRowFirstColumn="0" w:lastRowLastColumn="0"/>
            <w:tcW w:w="3027" w:type="dxa"/>
            <w:tcBorders>
              <w:top w:val="nil"/>
              <w:left w:val="single" w:sz="8" w:space="0" w:color="4F81BD" w:themeColor="accent1"/>
              <w:bottom w:val="nil"/>
              <w:right w:val="nil"/>
            </w:tcBorders>
            <w:shd w:val="clear" w:color="auto" w:fill="DBE5F1" w:themeFill="accent1" w:themeFillTint="33"/>
            <w:vAlign w:val="center"/>
            <w:hideMark/>
          </w:tcPr>
          <w:p w:rsidR="00671FBC" w:rsidRPr="00843EDC" w:rsidRDefault="00671FBC" w:rsidP="00671FBC">
            <w:pPr>
              <w:tabs>
                <w:tab w:val="left" w:pos="9072"/>
              </w:tabs>
              <w:spacing w:line="288" w:lineRule="auto"/>
              <w:rPr>
                <w:rFonts w:cs="Calibri"/>
                <w:sz w:val="16"/>
                <w:szCs w:val="16"/>
              </w:rPr>
            </w:pPr>
            <w:r w:rsidRPr="00843EDC">
              <w:rPr>
                <w:rFonts w:cs="Calibri"/>
                <w:sz w:val="16"/>
                <w:szCs w:val="16"/>
              </w:rPr>
              <w:t>Prioritet 4. Pružanje podrške realizaciji investicijskih projekata</w:t>
            </w:r>
          </w:p>
        </w:tc>
        <w:tc>
          <w:tcPr>
            <w:cnfStyle w:val="000010000000" w:firstRow="0" w:lastRow="0" w:firstColumn="0" w:lastColumn="0" w:oddVBand="1" w:evenVBand="0" w:oddHBand="0" w:evenHBand="0" w:firstRowFirstColumn="0" w:firstRowLastColumn="0" w:lastRowFirstColumn="0" w:lastRowLastColumn="0"/>
            <w:tcW w:w="6260" w:type="dxa"/>
            <w:tcBorders>
              <w:top w:val="nil"/>
              <w:bottom w:val="nil"/>
            </w:tcBorders>
            <w:shd w:val="clear" w:color="auto" w:fill="DBE5F1" w:themeFill="accent1" w:themeFillTint="33"/>
            <w:hideMark/>
          </w:tcPr>
          <w:p w:rsidR="00671FBC" w:rsidRPr="00843EDC" w:rsidRDefault="00671FBC" w:rsidP="00671FBC">
            <w:pPr>
              <w:spacing w:line="288" w:lineRule="auto"/>
              <w:jc w:val="both"/>
              <w:rPr>
                <w:rFonts w:cs="Calibri"/>
                <w:sz w:val="16"/>
                <w:szCs w:val="16"/>
              </w:rPr>
            </w:pPr>
            <w:r w:rsidRPr="00843EDC">
              <w:rPr>
                <w:rFonts w:cs="Calibri"/>
                <w:sz w:val="16"/>
                <w:szCs w:val="16"/>
              </w:rPr>
              <w:t>Podrška investitorima u pred-investicijskoj fazi i u realizaciji investicijskih projekata</w:t>
            </w:r>
          </w:p>
          <w:p w:rsidR="00671FBC" w:rsidRPr="00843EDC" w:rsidRDefault="00671FBC" w:rsidP="00671FBC">
            <w:pPr>
              <w:spacing w:line="288" w:lineRule="auto"/>
              <w:jc w:val="both"/>
              <w:rPr>
                <w:rFonts w:eastAsia="MS Mincho" w:cs="Calibri"/>
                <w:sz w:val="16"/>
                <w:szCs w:val="16"/>
                <w:lang w:eastAsia="ja-JP"/>
              </w:rPr>
            </w:pPr>
            <w:r w:rsidRPr="00843EDC">
              <w:rPr>
                <w:rFonts w:eastAsia="MS Mincho" w:cs="Calibri"/>
                <w:sz w:val="16"/>
                <w:szCs w:val="16"/>
                <w:lang w:eastAsia="ja-JP"/>
              </w:rPr>
              <w:lastRenderedPageBreak/>
              <w:t>Praćenje investicija i post-investicijska briga</w:t>
            </w:r>
          </w:p>
        </w:tc>
        <w:tc>
          <w:tcPr>
            <w:tcW w:w="1113" w:type="dxa"/>
            <w:gridSpan w:val="2"/>
            <w:tcBorders>
              <w:top w:val="nil"/>
              <w:left w:val="nil"/>
              <w:bottom w:val="nil"/>
              <w:right w:val="nil"/>
            </w:tcBorders>
            <w:shd w:val="clear" w:color="auto" w:fill="DBE5F1" w:themeFill="accent1" w:themeFillTint="33"/>
            <w:hideMark/>
          </w:tcPr>
          <w:p w:rsidR="00671FBC" w:rsidRPr="00843EDC" w:rsidRDefault="00671FBC" w:rsidP="00671FBC">
            <w:pPr>
              <w:spacing w:line="288" w:lineRule="auto"/>
              <w:jc w:val="both"/>
              <w:cnfStyle w:val="000000000000" w:firstRow="0" w:lastRow="0" w:firstColumn="0" w:lastColumn="0" w:oddVBand="0" w:evenVBand="0" w:oddHBand="0" w:evenHBand="0" w:firstRowFirstColumn="0" w:firstRowLastColumn="0" w:lastRowFirstColumn="0" w:lastRowLastColumn="0"/>
              <w:rPr>
                <w:rFonts w:cs="Calibri"/>
                <w:sz w:val="16"/>
                <w:szCs w:val="16"/>
              </w:rPr>
            </w:pPr>
            <w:r w:rsidRPr="00843EDC">
              <w:rPr>
                <w:rFonts w:cs="Calibri"/>
                <w:sz w:val="16"/>
                <w:szCs w:val="16"/>
              </w:rPr>
              <w:lastRenderedPageBreak/>
              <w:t xml:space="preserve">MINGO, AIK, HAMAG </w:t>
            </w:r>
            <w:r w:rsidRPr="00843EDC">
              <w:rPr>
                <w:rFonts w:cs="Calibri"/>
                <w:sz w:val="16"/>
                <w:szCs w:val="16"/>
              </w:rPr>
              <w:lastRenderedPageBreak/>
              <w:t>INVEST</w:t>
            </w:r>
          </w:p>
        </w:tc>
        <w:tc>
          <w:tcPr>
            <w:cnfStyle w:val="000010000000" w:firstRow="0" w:lastRow="0" w:firstColumn="0" w:lastColumn="0" w:oddVBand="1" w:evenVBand="0" w:oddHBand="0" w:evenHBand="0" w:firstRowFirstColumn="0" w:firstRowLastColumn="0" w:lastRowFirstColumn="0" w:lastRowLastColumn="0"/>
            <w:tcW w:w="2782" w:type="dxa"/>
            <w:gridSpan w:val="2"/>
            <w:tcBorders>
              <w:top w:val="nil"/>
              <w:bottom w:val="nil"/>
            </w:tcBorders>
            <w:shd w:val="clear" w:color="auto" w:fill="DBE5F1" w:themeFill="accent1" w:themeFillTint="33"/>
            <w:hideMark/>
          </w:tcPr>
          <w:p w:rsidR="00671FBC" w:rsidRPr="00843EDC" w:rsidRDefault="00671FBC" w:rsidP="00671FBC">
            <w:pPr>
              <w:spacing w:line="288" w:lineRule="auto"/>
              <w:rPr>
                <w:rFonts w:cs="Calibri"/>
                <w:sz w:val="16"/>
                <w:szCs w:val="16"/>
              </w:rPr>
            </w:pPr>
            <w:r w:rsidRPr="00843EDC">
              <w:rPr>
                <w:rFonts w:cs="Calibri"/>
                <w:sz w:val="16"/>
                <w:szCs w:val="16"/>
              </w:rPr>
              <w:lastRenderedPageBreak/>
              <w:t>Resorna  središnja tijela državne uprave,  tvrtke u pretežitom državnom vlasništvu,</w:t>
            </w:r>
            <w:r w:rsidRPr="00843EDC">
              <w:rPr>
                <w:sz w:val="16"/>
                <w:szCs w:val="16"/>
              </w:rPr>
              <w:t xml:space="preserve"> Jedinice lokalne i područne </w:t>
            </w:r>
            <w:r w:rsidRPr="00843EDC">
              <w:rPr>
                <w:sz w:val="16"/>
                <w:szCs w:val="16"/>
              </w:rPr>
              <w:lastRenderedPageBreak/>
              <w:t>(regionalne) samouprave</w:t>
            </w:r>
            <w:r w:rsidRPr="00843EDC">
              <w:rPr>
                <w:rFonts w:cs="Calibri"/>
                <w:sz w:val="16"/>
                <w:szCs w:val="16"/>
              </w:rPr>
              <w:t>, ŽRA, D</w:t>
            </w:r>
            <w:r>
              <w:rPr>
                <w:rFonts w:cs="Calibri"/>
                <w:sz w:val="16"/>
                <w:szCs w:val="16"/>
              </w:rPr>
              <w:t>U</w:t>
            </w:r>
            <w:r w:rsidRPr="00843EDC">
              <w:rPr>
                <w:rFonts w:cs="Calibri"/>
                <w:sz w:val="16"/>
                <w:szCs w:val="16"/>
              </w:rPr>
              <w:t>UDI, HGK</w:t>
            </w:r>
          </w:p>
        </w:tc>
        <w:tc>
          <w:tcPr>
            <w:tcW w:w="1530" w:type="dxa"/>
            <w:tcBorders>
              <w:top w:val="nil"/>
              <w:left w:val="nil"/>
              <w:bottom w:val="nil"/>
              <w:right w:val="single" w:sz="8" w:space="0" w:color="4F81BD" w:themeColor="accent1"/>
            </w:tcBorders>
            <w:shd w:val="clear" w:color="auto" w:fill="DBE5F1" w:themeFill="accent1" w:themeFillTint="33"/>
            <w:hideMark/>
          </w:tcPr>
          <w:p w:rsidR="00671FBC" w:rsidRPr="00843EDC" w:rsidRDefault="00671FBC" w:rsidP="00671FBC">
            <w:pPr>
              <w:spacing w:line="288" w:lineRule="auto"/>
              <w:jc w:val="both"/>
              <w:cnfStyle w:val="000000000000" w:firstRow="0" w:lastRow="0" w:firstColumn="0" w:lastColumn="0" w:oddVBand="0" w:evenVBand="0" w:oddHBand="0" w:evenHBand="0" w:firstRowFirstColumn="0" w:firstRowLastColumn="0" w:lastRowFirstColumn="0" w:lastRowLastColumn="0"/>
              <w:rPr>
                <w:rFonts w:cs="Calibri"/>
                <w:sz w:val="16"/>
                <w:szCs w:val="16"/>
              </w:rPr>
            </w:pPr>
            <w:r w:rsidRPr="00843EDC">
              <w:rPr>
                <w:rFonts w:cs="Calibri"/>
                <w:sz w:val="16"/>
                <w:szCs w:val="16"/>
              </w:rPr>
              <w:lastRenderedPageBreak/>
              <w:t>Kontinuirano</w:t>
            </w:r>
          </w:p>
        </w:tc>
      </w:tr>
      <w:tr w:rsidR="00671FBC" w:rsidRPr="00843EDC" w:rsidTr="00671FBC">
        <w:trPr>
          <w:cnfStyle w:val="000000100000" w:firstRow="0" w:lastRow="0" w:firstColumn="0" w:lastColumn="0" w:oddVBand="0" w:evenVBand="0" w:oddHBand="1" w:evenHBand="0" w:firstRowFirstColumn="0" w:firstRowLastColumn="0" w:lastRowFirstColumn="0" w:lastRowLastColumn="0"/>
          <w:trHeight w:val="1915"/>
        </w:trPr>
        <w:tc>
          <w:tcPr>
            <w:cnfStyle w:val="001000000000" w:firstRow="0" w:lastRow="0" w:firstColumn="1" w:lastColumn="0" w:oddVBand="0" w:evenVBand="0" w:oddHBand="0" w:evenHBand="0" w:firstRowFirstColumn="0" w:firstRowLastColumn="0" w:lastRowFirstColumn="0" w:lastRowLastColumn="0"/>
            <w:tcW w:w="3027" w:type="dxa"/>
            <w:tcBorders>
              <w:right w:val="nil"/>
            </w:tcBorders>
            <w:vAlign w:val="center"/>
            <w:hideMark/>
          </w:tcPr>
          <w:p w:rsidR="00671FBC" w:rsidRPr="00BA6A16" w:rsidRDefault="00671FBC" w:rsidP="00671FBC">
            <w:pPr>
              <w:spacing w:line="288" w:lineRule="auto"/>
              <w:ind w:right="480"/>
              <w:rPr>
                <w:rFonts w:cs="Calibri"/>
                <w:sz w:val="16"/>
                <w:szCs w:val="16"/>
              </w:rPr>
            </w:pPr>
            <w:r>
              <w:rPr>
                <w:rFonts w:cs="Calibri"/>
                <w:sz w:val="16"/>
                <w:szCs w:val="16"/>
              </w:rPr>
              <w:lastRenderedPageBreak/>
              <w:t xml:space="preserve">4.1 </w:t>
            </w:r>
            <w:r w:rsidRPr="00843EDC">
              <w:rPr>
                <w:rFonts w:cs="Calibri"/>
                <w:sz w:val="16"/>
                <w:szCs w:val="16"/>
              </w:rPr>
              <w:t>Podrška investitorima u pred-investicijskoj fazi i u realizaciji investicijskih projekata</w:t>
            </w:r>
          </w:p>
        </w:tc>
        <w:tc>
          <w:tcPr>
            <w:cnfStyle w:val="000010000000" w:firstRow="0" w:lastRow="0" w:firstColumn="0" w:lastColumn="0" w:oddVBand="1" w:evenVBand="0" w:oddHBand="0" w:evenHBand="0" w:firstRowFirstColumn="0" w:firstRowLastColumn="0" w:lastRowFirstColumn="0" w:lastRowLastColumn="0"/>
            <w:tcW w:w="6260" w:type="dxa"/>
            <w:hideMark/>
          </w:tcPr>
          <w:p w:rsidR="00671FBC" w:rsidRPr="00843EDC" w:rsidRDefault="00671FBC" w:rsidP="00671FBC">
            <w:pPr>
              <w:spacing w:line="288" w:lineRule="auto"/>
              <w:jc w:val="both"/>
              <w:rPr>
                <w:rFonts w:cs="Calibri"/>
                <w:sz w:val="16"/>
                <w:szCs w:val="16"/>
              </w:rPr>
            </w:pPr>
            <w:r w:rsidRPr="00843EDC">
              <w:rPr>
                <w:rFonts w:cs="Calibri"/>
                <w:sz w:val="16"/>
                <w:szCs w:val="16"/>
              </w:rPr>
              <w:t>Primjena koordiniranog pristupa  svih tijela uključenih u pred-investicijske, investicijske i post-investicijske aktivnosti (</w:t>
            </w:r>
            <w:proofErr w:type="spellStart"/>
            <w:r w:rsidRPr="00843EDC">
              <w:rPr>
                <w:rFonts w:cs="Calibri"/>
                <w:sz w:val="16"/>
                <w:szCs w:val="16"/>
              </w:rPr>
              <w:t>bottom</w:t>
            </w:r>
            <w:proofErr w:type="spellEnd"/>
            <w:r w:rsidRPr="00843EDC">
              <w:rPr>
                <w:rFonts w:cs="Calibri"/>
                <w:sz w:val="16"/>
                <w:szCs w:val="16"/>
              </w:rPr>
              <w:t xml:space="preserve"> </w:t>
            </w:r>
            <w:proofErr w:type="spellStart"/>
            <w:r w:rsidRPr="00843EDC">
              <w:rPr>
                <w:rFonts w:cs="Calibri"/>
                <w:sz w:val="16"/>
                <w:szCs w:val="16"/>
              </w:rPr>
              <w:t>up</w:t>
            </w:r>
            <w:proofErr w:type="spellEnd"/>
            <w:r w:rsidRPr="00843EDC">
              <w:rPr>
                <w:rFonts w:cs="Calibri"/>
                <w:sz w:val="16"/>
                <w:szCs w:val="16"/>
              </w:rPr>
              <w:t xml:space="preserve"> i top </w:t>
            </w:r>
            <w:proofErr w:type="spellStart"/>
            <w:r w:rsidRPr="00843EDC">
              <w:rPr>
                <w:rFonts w:cs="Calibri"/>
                <w:sz w:val="16"/>
                <w:szCs w:val="16"/>
              </w:rPr>
              <w:t>down</w:t>
            </w:r>
            <w:proofErr w:type="spellEnd"/>
            <w:r w:rsidRPr="00843EDC">
              <w:rPr>
                <w:rFonts w:cs="Calibri"/>
                <w:sz w:val="16"/>
                <w:szCs w:val="16"/>
              </w:rPr>
              <w:t xml:space="preserve"> pristup) uz jačanje savjetodavne uloge TDU nadležnih za pojedini projekt</w:t>
            </w:r>
          </w:p>
        </w:tc>
        <w:tc>
          <w:tcPr>
            <w:tcW w:w="1113" w:type="dxa"/>
            <w:gridSpan w:val="2"/>
            <w:tcBorders>
              <w:left w:val="nil"/>
              <w:right w:val="nil"/>
            </w:tcBorders>
            <w:hideMark/>
          </w:tcPr>
          <w:p w:rsidR="00671FBC" w:rsidRPr="00843EDC" w:rsidRDefault="00671FBC" w:rsidP="00C91A1D">
            <w:pPr>
              <w:spacing w:line="288" w:lineRule="auto"/>
              <w:jc w:val="both"/>
              <w:cnfStyle w:val="000000100000" w:firstRow="0" w:lastRow="0" w:firstColumn="0" w:lastColumn="0" w:oddVBand="0" w:evenVBand="0" w:oddHBand="1" w:evenHBand="0" w:firstRowFirstColumn="0" w:firstRowLastColumn="0" w:lastRowFirstColumn="0" w:lastRowLastColumn="0"/>
              <w:rPr>
                <w:rFonts w:cs="Calibri"/>
                <w:sz w:val="16"/>
                <w:szCs w:val="16"/>
              </w:rPr>
            </w:pPr>
            <w:r w:rsidRPr="00843EDC">
              <w:rPr>
                <w:rFonts w:cs="Calibri"/>
                <w:sz w:val="16"/>
                <w:szCs w:val="16"/>
              </w:rPr>
              <w:t xml:space="preserve">AIK, HAMAG </w:t>
            </w:r>
            <w:r w:rsidR="00C91A1D">
              <w:rPr>
                <w:rFonts w:cs="Calibri"/>
                <w:sz w:val="16"/>
                <w:szCs w:val="16"/>
              </w:rPr>
              <w:t>- BICRO</w:t>
            </w:r>
          </w:p>
        </w:tc>
        <w:tc>
          <w:tcPr>
            <w:cnfStyle w:val="000010000000" w:firstRow="0" w:lastRow="0" w:firstColumn="0" w:lastColumn="0" w:oddVBand="1" w:evenVBand="0" w:oddHBand="0" w:evenHBand="0" w:firstRowFirstColumn="0" w:firstRowLastColumn="0" w:lastRowFirstColumn="0" w:lastRowLastColumn="0"/>
            <w:tcW w:w="2782" w:type="dxa"/>
            <w:gridSpan w:val="2"/>
            <w:hideMark/>
          </w:tcPr>
          <w:p w:rsidR="00671FBC" w:rsidRPr="00843EDC" w:rsidRDefault="00671FBC" w:rsidP="00671FBC">
            <w:pPr>
              <w:spacing w:line="288" w:lineRule="auto"/>
              <w:rPr>
                <w:rFonts w:cs="Calibri"/>
                <w:sz w:val="16"/>
                <w:szCs w:val="16"/>
              </w:rPr>
            </w:pPr>
            <w:r w:rsidRPr="00843EDC">
              <w:rPr>
                <w:rFonts w:cs="Calibri"/>
                <w:sz w:val="16"/>
                <w:szCs w:val="16"/>
              </w:rPr>
              <w:t xml:space="preserve">Resorna središnja tijela državne uprave, tvrtke u pretežitom državnom vlasništvu, </w:t>
            </w:r>
            <w:r w:rsidRPr="00843EDC">
              <w:rPr>
                <w:sz w:val="16"/>
                <w:szCs w:val="16"/>
              </w:rPr>
              <w:t xml:space="preserve">  Jedinice lokalne i područne (regionalne) samouprave</w:t>
            </w:r>
            <w:r w:rsidRPr="00843EDC">
              <w:rPr>
                <w:rFonts w:cs="Calibri"/>
                <w:sz w:val="16"/>
                <w:szCs w:val="16"/>
              </w:rPr>
              <w:t>, ŽRA, DU</w:t>
            </w:r>
            <w:r>
              <w:rPr>
                <w:rFonts w:cs="Calibri"/>
                <w:sz w:val="16"/>
                <w:szCs w:val="16"/>
              </w:rPr>
              <w:t>U</w:t>
            </w:r>
            <w:r w:rsidRPr="00843EDC">
              <w:rPr>
                <w:rFonts w:cs="Calibri"/>
                <w:sz w:val="16"/>
                <w:szCs w:val="16"/>
              </w:rPr>
              <w:t>DI, HGK</w:t>
            </w:r>
          </w:p>
        </w:tc>
        <w:tc>
          <w:tcPr>
            <w:tcW w:w="1530" w:type="dxa"/>
            <w:tcBorders>
              <w:left w:val="nil"/>
            </w:tcBorders>
            <w:hideMark/>
          </w:tcPr>
          <w:p w:rsidR="00671FBC" w:rsidRPr="00843EDC" w:rsidRDefault="00671FBC" w:rsidP="00671FBC">
            <w:pPr>
              <w:spacing w:line="288" w:lineRule="auto"/>
              <w:jc w:val="both"/>
              <w:cnfStyle w:val="000000100000" w:firstRow="0" w:lastRow="0" w:firstColumn="0" w:lastColumn="0" w:oddVBand="0" w:evenVBand="0" w:oddHBand="1" w:evenHBand="0" w:firstRowFirstColumn="0" w:firstRowLastColumn="0" w:lastRowFirstColumn="0" w:lastRowLastColumn="0"/>
              <w:rPr>
                <w:rFonts w:cs="Calibri"/>
                <w:sz w:val="16"/>
                <w:szCs w:val="16"/>
              </w:rPr>
            </w:pPr>
            <w:r w:rsidRPr="00843EDC">
              <w:rPr>
                <w:rFonts w:cs="Calibri"/>
                <w:sz w:val="16"/>
                <w:szCs w:val="16"/>
              </w:rPr>
              <w:t>Kontinuirano</w:t>
            </w:r>
          </w:p>
        </w:tc>
      </w:tr>
      <w:tr w:rsidR="00671FBC" w:rsidRPr="00843EDC" w:rsidTr="00671FBC">
        <w:trPr>
          <w:trHeight w:val="1207"/>
        </w:trPr>
        <w:tc>
          <w:tcPr>
            <w:cnfStyle w:val="001000000000" w:firstRow="0" w:lastRow="0" w:firstColumn="1" w:lastColumn="0" w:oddVBand="0" w:evenVBand="0" w:oddHBand="0" w:evenHBand="0" w:firstRowFirstColumn="0" w:firstRowLastColumn="0" w:lastRowFirstColumn="0" w:lastRowLastColumn="0"/>
            <w:tcW w:w="3027" w:type="dxa"/>
            <w:tcBorders>
              <w:top w:val="nil"/>
              <w:left w:val="single" w:sz="8" w:space="0" w:color="4F81BD" w:themeColor="accent1"/>
              <w:bottom w:val="single" w:sz="8" w:space="0" w:color="4F81BD" w:themeColor="accent1"/>
              <w:right w:val="nil"/>
            </w:tcBorders>
            <w:vAlign w:val="center"/>
            <w:hideMark/>
          </w:tcPr>
          <w:p w:rsidR="00671FBC" w:rsidRPr="00843EDC" w:rsidRDefault="00671FBC" w:rsidP="00671FBC">
            <w:pPr>
              <w:spacing w:line="288" w:lineRule="auto"/>
              <w:ind w:right="480"/>
              <w:rPr>
                <w:rFonts w:eastAsia="MS Mincho" w:cs="Calibri"/>
                <w:sz w:val="16"/>
                <w:szCs w:val="16"/>
                <w:lang w:eastAsia="ja-JP"/>
              </w:rPr>
            </w:pPr>
            <w:r>
              <w:rPr>
                <w:rFonts w:eastAsia="MS Mincho" w:cs="Calibri"/>
                <w:sz w:val="16"/>
                <w:szCs w:val="16"/>
                <w:lang w:eastAsia="ja-JP"/>
              </w:rPr>
              <w:t xml:space="preserve">4.2 </w:t>
            </w:r>
            <w:r w:rsidRPr="00843EDC">
              <w:rPr>
                <w:rFonts w:eastAsia="MS Mincho" w:cs="Calibri"/>
                <w:sz w:val="16"/>
                <w:szCs w:val="16"/>
                <w:lang w:eastAsia="ja-JP"/>
              </w:rPr>
              <w:t>Praćenje investicija i post-investicijska briga</w:t>
            </w:r>
          </w:p>
        </w:tc>
        <w:tc>
          <w:tcPr>
            <w:cnfStyle w:val="000010000000" w:firstRow="0" w:lastRow="0" w:firstColumn="0" w:lastColumn="0" w:oddVBand="1" w:evenVBand="0" w:oddHBand="0" w:evenHBand="0" w:firstRowFirstColumn="0" w:firstRowLastColumn="0" w:lastRowFirstColumn="0" w:lastRowLastColumn="0"/>
            <w:tcW w:w="6260" w:type="dxa"/>
            <w:tcBorders>
              <w:top w:val="nil"/>
            </w:tcBorders>
            <w:hideMark/>
          </w:tcPr>
          <w:p w:rsidR="00671FBC" w:rsidRPr="00843EDC" w:rsidRDefault="00671FBC" w:rsidP="00671FBC">
            <w:pPr>
              <w:spacing w:line="288" w:lineRule="auto"/>
              <w:jc w:val="both"/>
              <w:rPr>
                <w:rFonts w:cs="Calibri"/>
                <w:sz w:val="16"/>
                <w:szCs w:val="16"/>
              </w:rPr>
            </w:pPr>
            <w:r w:rsidRPr="00843EDC">
              <w:rPr>
                <w:rFonts w:cs="Calibri"/>
                <w:sz w:val="16"/>
                <w:szCs w:val="16"/>
              </w:rPr>
              <w:t xml:space="preserve">Identificiranje tvrtki u RH koje žele širiti svoje poslovanje, izrada pristupa svakoj pojedinoj tvrtci koji će uključivati: dodjelu projekt menadžera za svaku tvrtku, održavanje redovitih kontakata s upravom tvrtke, pružanje svih potrebnih informacija, izradu i prezentaciju poslovnog slučaja za moguće širenje te povezivanje uprave tvrtke s javnim tijelima </w:t>
            </w:r>
          </w:p>
        </w:tc>
        <w:tc>
          <w:tcPr>
            <w:tcW w:w="1113" w:type="dxa"/>
            <w:gridSpan w:val="2"/>
            <w:tcBorders>
              <w:top w:val="nil"/>
              <w:left w:val="nil"/>
              <w:bottom w:val="single" w:sz="8" w:space="0" w:color="4F81BD" w:themeColor="accent1"/>
              <w:right w:val="nil"/>
            </w:tcBorders>
            <w:hideMark/>
          </w:tcPr>
          <w:p w:rsidR="00671FBC" w:rsidRPr="00843EDC" w:rsidRDefault="00671FBC" w:rsidP="00C91A1D">
            <w:pPr>
              <w:spacing w:line="288" w:lineRule="auto"/>
              <w:jc w:val="both"/>
              <w:cnfStyle w:val="000000000000" w:firstRow="0" w:lastRow="0" w:firstColumn="0" w:lastColumn="0" w:oddVBand="0" w:evenVBand="0" w:oddHBand="0" w:evenHBand="0" w:firstRowFirstColumn="0" w:firstRowLastColumn="0" w:lastRowFirstColumn="0" w:lastRowLastColumn="0"/>
              <w:rPr>
                <w:rFonts w:cs="Calibri"/>
                <w:sz w:val="16"/>
                <w:szCs w:val="16"/>
              </w:rPr>
            </w:pPr>
            <w:r w:rsidRPr="00843EDC">
              <w:rPr>
                <w:rFonts w:cs="Calibri"/>
                <w:sz w:val="16"/>
                <w:szCs w:val="16"/>
              </w:rPr>
              <w:t xml:space="preserve">AIK, HAMAG </w:t>
            </w:r>
            <w:r w:rsidR="00C91A1D">
              <w:rPr>
                <w:rFonts w:cs="Calibri"/>
                <w:sz w:val="16"/>
                <w:szCs w:val="16"/>
              </w:rPr>
              <w:t>- BICRO</w:t>
            </w:r>
          </w:p>
        </w:tc>
        <w:tc>
          <w:tcPr>
            <w:cnfStyle w:val="000010000000" w:firstRow="0" w:lastRow="0" w:firstColumn="0" w:lastColumn="0" w:oddVBand="1" w:evenVBand="0" w:oddHBand="0" w:evenHBand="0" w:firstRowFirstColumn="0" w:firstRowLastColumn="0" w:lastRowFirstColumn="0" w:lastRowLastColumn="0"/>
            <w:tcW w:w="2782" w:type="dxa"/>
            <w:gridSpan w:val="2"/>
            <w:tcBorders>
              <w:top w:val="nil"/>
            </w:tcBorders>
            <w:hideMark/>
          </w:tcPr>
          <w:p w:rsidR="00671FBC" w:rsidRPr="00843EDC" w:rsidRDefault="00671FBC" w:rsidP="00C91A1D">
            <w:pPr>
              <w:spacing w:line="288" w:lineRule="auto"/>
              <w:rPr>
                <w:rFonts w:cs="Calibri"/>
                <w:sz w:val="16"/>
                <w:szCs w:val="16"/>
              </w:rPr>
            </w:pPr>
            <w:r w:rsidRPr="00843EDC">
              <w:rPr>
                <w:rFonts w:cs="Calibri"/>
                <w:sz w:val="16"/>
                <w:szCs w:val="16"/>
              </w:rPr>
              <w:t xml:space="preserve">Resorna  središnja tijela državne uprave, HAMAG </w:t>
            </w:r>
            <w:r w:rsidR="00C91A1D">
              <w:rPr>
                <w:rFonts w:cs="Calibri"/>
                <w:sz w:val="16"/>
                <w:szCs w:val="16"/>
              </w:rPr>
              <w:t>- BICRO</w:t>
            </w:r>
            <w:r w:rsidRPr="00843EDC">
              <w:rPr>
                <w:rFonts w:cs="Calibri"/>
                <w:sz w:val="16"/>
                <w:szCs w:val="16"/>
              </w:rPr>
              <w:t xml:space="preserve">, tvrtke u pretežitom državnom vlasništvu, </w:t>
            </w:r>
            <w:r w:rsidRPr="00843EDC">
              <w:rPr>
                <w:sz w:val="16"/>
                <w:szCs w:val="16"/>
              </w:rPr>
              <w:t>Jedinice lokalne i područne (regionalne) samouprave</w:t>
            </w:r>
            <w:r w:rsidRPr="00843EDC">
              <w:rPr>
                <w:rFonts w:cs="Calibri"/>
                <w:sz w:val="16"/>
                <w:szCs w:val="16"/>
              </w:rPr>
              <w:t>, županijske razvojne agencije, JLS, ŽRA, DU</w:t>
            </w:r>
            <w:r>
              <w:rPr>
                <w:rFonts w:cs="Calibri"/>
                <w:sz w:val="16"/>
                <w:szCs w:val="16"/>
              </w:rPr>
              <w:t>U</w:t>
            </w:r>
            <w:r w:rsidRPr="00843EDC">
              <w:rPr>
                <w:rFonts w:cs="Calibri"/>
                <w:sz w:val="16"/>
                <w:szCs w:val="16"/>
              </w:rPr>
              <w:t xml:space="preserve">DI, </w:t>
            </w:r>
            <w:r>
              <w:rPr>
                <w:rFonts w:cs="Calibri"/>
                <w:sz w:val="16"/>
                <w:szCs w:val="16"/>
              </w:rPr>
              <w:t>CERP,</w:t>
            </w:r>
            <w:r w:rsidRPr="00843EDC">
              <w:rPr>
                <w:rFonts w:cs="Calibri"/>
                <w:sz w:val="16"/>
                <w:szCs w:val="16"/>
              </w:rPr>
              <w:t>HGK</w:t>
            </w:r>
          </w:p>
        </w:tc>
        <w:tc>
          <w:tcPr>
            <w:tcW w:w="1530" w:type="dxa"/>
            <w:tcBorders>
              <w:top w:val="nil"/>
              <w:left w:val="nil"/>
              <w:bottom w:val="single" w:sz="8" w:space="0" w:color="4F81BD" w:themeColor="accent1"/>
              <w:right w:val="single" w:sz="8" w:space="0" w:color="4F81BD" w:themeColor="accent1"/>
            </w:tcBorders>
            <w:hideMark/>
          </w:tcPr>
          <w:p w:rsidR="00671FBC" w:rsidRPr="00843EDC" w:rsidRDefault="00671FBC" w:rsidP="00671FBC">
            <w:pPr>
              <w:spacing w:line="288" w:lineRule="auto"/>
              <w:jc w:val="both"/>
              <w:cnfStyle w:val="000000000000" w:firstRow="0" w:lastRow="0" w:firstColumn="0" w:lastColumn="0" w:oddVBand="0" w:evenVBand="0" w:oddHBand="0" w:evenHBand="0" w:firstRowFirstColumn="0" w:firstRowLastColumn="0" w:lastRowFirstColumn="0" w:lastRowLastColumn="0"/>
              <w:rPr>
                <w:rFonts w:cs="Calibri"/>
                <w:sz w:val="16"/>
                <w:szCs w:val="16"/>
              </w:rPr>
            </w:pPr>
            <w:r w:rsidRPr="00843EDC">
              <w:rPr>
                <w:rFonts w:cs="Calibri"/>
                <w:sz w:val="16"/>
                <w:szCs w:val="16"/>
              </w:rPr>
              <w:t>Kontinuirano</w:t>
            </w:r>
          </w:p>
        </w:tc>
      </w:tr>
    </w:tbl>
    <w:p w:rsidR="00671FBC" w:rsidRPr="00843EDC" w:rsidRDefault="00671FBC" w:rsidP="00671FBC">
      <w:pPr>
        <w:autoSpaceDE w:val="0"/>
        <w:autoSpaceDN w:val="0"/>
        <w:adjustRightInd w:val="0"/>
        <w:spacing w:after="0" w:line="240" w:lineRule="auto"/>
        <w:jc w:val="both"/>
        <w:rPr>
          <w:rFonts w:cs="Calibri"/>
          <w:color w:val="000000"/>
          <w:sz w:val="16"/>
          <w:szCs w:val="16"/>
        </w:rPr>
      </w:pPr>
    </w:p>
    <w:p w:rsidR="00671FBC" w:rsidRPr="00843EDC" w:rsidRDefault="00671FBC" w:rsidP="00671FBC">
      <w:pPr>
        <w:autoSpaceDE w:val="0"/>
        <w:autoSpaceDN w:val="0"/>
        <w:adjustRightInd w:val="0"/>
        <w:spacing w:after="0" w:line="240" w:lineRule="auto"/>
        <w:jc w:val="both"/>
        <w:rPr>
          <w:rFonts w:cs="Calibri"/>
          <w:color w:val="000000"/>
          <w:sz w:val="16"/>
          <w:szCs w:val="16"/>
        </w:rPr>
      </w:pPr>
    </w:p>
    <w:p w:rsidR="00671FBC" w:rsidRPr="00843EDC" w:rsidRDefault="00671FBC" w:rsidP="00671FBC">
      <w:pPr>
        <w:autoSpaceDE w:val="0"/>
        <w:autoSpaceDN w:val="0"/>
        <w:adjustRightInd w:val="0"/>
        <w:spacing w:after="0" w:line="240" w:lineRule="auto"/>
        <w:jc w:val="both"/>
        <w:rPr>
          <w:rFonts w:cs="Calibri"/>
          <w:color w:val="000000"/>
          <w:sz w:val="16"/>
          <w:szCs w:val="16"/>
        </w:rPr>
      </w:pPr>
    </w:p>
    <w:p w:rsidR="00671FBC" w:rsidRPr="00843EDC" w:rsidRDefault="00671FBC" w:rsidP="00671FBC">
      <w:pPr>
        <w:autoSpaceDE w:val="0"/>
        <w:autoSpaceDN w:val="0"/>
        <w:adjustRightInd w:val="0"/>
        <w:spacing w:after="0" w:line="240" w:lineRule="auto"/>
        <w:jc w:val="both"/>
        <w:rPr>
          <w:rFonts w:cs="Calibri"/>
          <w:color w:val="000000"/>
          <w:sz w:val="16"/>
          <w:szCs w:val="16"/>
        </w:rPr>
      </w:pPr>
    </w:p>
    <w:p w:rsidR="00671FBC" w:rsidRPr="00843EDC" w:rsidRDefault="00671FBC" w:rsidP="00671FBC">
      <w:pPr>
        <w:autoSpaceDE w:val="0"/>
        <w:autoSpaceDN w:val="0"/>
        <w:adjustRightInd w:val="0"/>
        <w:spacing w:after="0" w:line="240" w:lineRule="auto"/>
        <w:jc w:val="both"/>
        <w:rPr>
          <w:rFonts w:cs="Calibri"/>
          <w:color w:val="000000"/>
          <w:sz w:val="16"/>
          <w:szCs w:val="16"/>
        </w:rPr>
      </w:pPr>
    </w:p>
    <w:p w:rsidR="00671FBC" w:rsidRPr="00843EDC" w:rsidRDefault="00671FBC" w:rsidP="00671FBC">
      <w:pPr>
        <w:autoSpaceDE w:val="0"/>
        <w:autoSpaceDN w:val="0"/>
        <w:adjustRightInd w:val="0"/>
        <w:spacing w:after="0" w:line="240" w:lineRule="auto"/>
        <w:jc w:val="both"/>
        <w:rPr>
          <w:rFonts w:cs="Calibri"/>
          <w:color w:val="000000"/>
          <w:sz w:val="16"/>
          <w:szCs w:val="16"/>
        </w:rPr>
      </w:pPr>
    </w:p>
    <w:p w:rsidR="00671FBC" w:rsidRPr="00843EDC" w:rsidRDefault="00671FBC" w:rsidP="00671FBC">
      <w:pPr>
        <w:autoSpaceDE w:val="0"/>
        <w:autoSpaceDN w:val="0"/>
        <w:adjustRightInd w:val="0"/>
        <w:spacing w:after="0" w:line="240" w:lineRule="auto"/>
        <w:jc w:val="both"/>
        <w:rPr>
          <w:rFonts w:cs="Calibri"/>
          <w:color w:val="000000"/>
          <w:sz w:val="16"/>
          <w:szCs w:val="16"/>
        </w:rPr>
      </w:pPr>
    </w:p>
    <w:p w:rsidR="00671FBC" w:rsidRPr="00843EDC" w:rsidRDefault="00671FBC" w:rsidP="00671FBC">
      <w:pPr>
        <w:autoSpaceDE w:val="0"/>
        <w:autoSpaceDN w:val="0"/>
        <w:adjustRightInd w:val="0"/>
        <w:spacing w:after="0" w:line="240" w:lineRule="auto"/>
        <w:jc w:val="both"/>
        <w:rPr>
          <w:rFonts w:cs="Calibri"/>
          <w:color w:val="000000"/>
          <w:sz w:val="16"/>
          <w:szCs w:val="16"/>
        </w:rPr>
      </w:pPr>
    </w:p>
    <w:p w:rsidR="00671FBC" w:rsidRDefault="00671FBC" w:rsidP="00671FBC">
      <w:pPr>
        <w:keepNext/>
        <w:spacing w:before="240" w:after="60" w:line="240" w:lineRule="auto"/>
        <w:outlineLvl w:val="3"/>
        <w:rPr>
          <w:b/>
          <w:bCs/>
          <w:sz w:val="20"/>
          <w:szCs w:val="20"/>
          <w:lang w:val="lt-LT" w:eastAsia="lt-LT"/>
        </w:rPr>
      </w:pPr>
      <w:r>
        <w:rPr>
          <w:b/>
          <w:bCs/>
          <w:noProof/>
          <w:sz w:val="20"/>
          <w:szCs w:val="20"/>
        </w:rPr>
        <w:lastRenderedPageBreak/>
        <mc:AlternateContent>
          <mc:Choice Requires="wps">
            <w:drawing>
              <wp:anchor distT="0" distB="0" distL="114300" distR="114300" simplePos="0" relativeHeight="251662336" behindDoc="0" locked="0" layoutInCell="1" allowOverlap="1" wp14:anchorId="032D78AE" wp14:editId="027B6775">
                <wp:simplePos x="0" y="0"/>
                <wp:positionH relativeFrom="column">
                  <wp:posOffset>107315</wp:posOffset>
                </wp:positionH>
                <wp:positionV relativeFrom="paragraph">
                  <wp:posOffset>-270510</wp:posOffset>
                </wp:positionV>
                <wp:extent cx="6153150" cy="438150"/>
                <wp:effectExtent l="0" t="0" r="0" b="0"/>
                <wp:wrapNone/>
                <wp:docPr id="18" name="Rectangle 18"/>
                <wp:cNvGraphicFramePr/>
                <a:graphic xmlns:a="http://schemas.openxmlformats.org/drawingml/2006/main">
                  <a:graphicData uri="http://schemas.microsoft.com/office/word/2010/wordprocessingShape">
                    <wps:wsp>
                      <wps:cNvSpPr/>
                      <wps:spPr>
                        <a:xfrm>
                          <a:off x="0" y="0"/>
                          <a:ext cx="6153150" cy="438150"/>
                        </a:xfrm>
                        <a:prstGeom prst="rect">
                          <a:avLst/>
                        </a:prstGeom>
                        <a:solidFill>
                          <a:sysClr val="window" lastClr="FFFFFF"/>
                        </a:solidFill>
                        <a:ln w="25400" cap="flat" cmpd="sng" algn="ctr">
                          <a:noFill/>
                          <a:prstDash val="solid"/>
                        </a:ln>
                        <a:effectLst/>
                      </wps:spPr>
                      <wps:txbx>
                        <w:txbxContent>
                          <w:p w:rsidR="00C91A1D" w:rsidRPr="00843EDC" w:rsidRDefault="00C91A1D" w:rsidP="00671FBC">
                            <w:pPr>
                              <w:keepNext/>
                              <w:spacing w:before="240" w:after="60" w:line="240" w:lineRule="auto"/>
                              <w:outlineLvl w:val="3"/>
                              <w:rPr>
                                <w:b/>
                                <w:bCs/>
                                <w:sz w:val="20"/>
                                <w:szCs w:val="20"/>
                                <w:lang w:val="lt-LT" w:eastAsia="lt-LT"/>
                              </w:rPr>
                            </w:pPr>
                            <w:r w:rsidRPr="00843EDC">
                              <w:rPr>
                                <w:b/>
                                <w:bCs/>
                                <w:sz w:val="20"/>
                                <w:szCs w:val="20"/>
                                <w:lang w:val="lt-LT" w:eastAsia="lt-LT"/>
                              </w:rPr>
                              <w:t xml:space="preserve">Dodatak 2. </w:t>
                            </w:r>
                            <w:r w:rsidRPr="00843EDC">
                              <w:rPr>
                                <w:bCs/>
                                <w:sz w:val="20"/>
                                <w:szCs w:val="20"/>
                                <w:lang w:val="lt-LT" w:eastAsia="lt-LT"/>
                              </w:rPr>
                              <w:t>Glavni pokazatelji praćenja uspješnosti provedbe Strategije poticanja investicija Republike Hrvatske</w:t>
                            </w:r>
                          </w:p>
                          <w:p w:rsidR="00C91A1D" w:rsidRDefault="00C91A1D" w:rsidP="00671F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8.45pt;margin-top:-21.3pt;width:484.5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" fillcolor="window" stroked="f" strokeweight="2pt">
                <v:textbox>
                  <w:txbxContent>
                    <w:p w:rsidR="00C91A1D" w:rsidRPr="00843EDC" w:rsidRDefault="00C91A1D" w:rsidP="00671FBC">
                      <w:pPr>
                        <w:keepNext/>
                        <w:spacing w:before="240" w:after="60" w:line="240" w:lineRule="auto"/>
                        <w:outlineLvl w:val="3"/>
                        <w:rPr>
                          <w:b/>
                          <w:bCs/>
                          <w:sz w:val="20"/>
                          <w:szCs w:val="20"/>
                          <w:lang w:val="lt-LT" w:eastAsia="lt-LT"/>
                        </w:rPr>
                      </w:pPr>
                      <w:r w:rsidRPr="00843EDC">
                        <w:rPr>
                          <w:b/>
                          <w:bCs/>
                          <w:sz w:val="20"/>
                          <w:szCs w:val="20"/>
                          <w:lang w:val="lt-LT" w:eastAsia="lt-LT"/>
                        </w:rPr>
                        <w:t xml:space="preserve">Dodatak 2. </w:t>
                      </w:r>
                      <w:r w:rsidRPr="00843EDC">
                        <w:rPr>
                          <w:bCs/>
                          <w:sz w:val="20"/>
                          <w:szCs w:val="20"/>
                          <w:lang w:val="lt-LT" w:eastAsia="lt-LT"/>
                        </w:rPr>
                        <w:t>Glavni pokazatelji praćenja uspješnosti provedbe Strategije poticanja investicija Republike Hrvatske</w:t>
                      </w:r>
                    </w:p>
                    <w:p w:rsidR="00C91A1D" w:rsidRDefault="00C91A1D" w:rsidP="00671FBC">
                      <w:pPr>
                        <w:jc w:val="center"/>
                      </w:pPr>
                    </w:p>
                  </w:txbxContent>
                </v:textbox>
              </v:rect>
            </w:pict>
          </mc:Fallback>
        </mc:AlternateContent>
      </w:r>
    </w:p>
    <w:p w:rsidR="00671FBC" w:rsidRDefault="00671FBC" w:rsidP="00671FBC">
      <w:pPr>
        <w:keepNext/>
        <w:spacing w:before="240" w:after="60" w:line="240" w:lineRule="auto"/>
        <w:outlineLvl w:val="3"/>
        <w:rPr>
          <w:b/>
          <w:bCs/>
          <w:sz w:val="20"/>
          <w:szCs w:val="20"/>
          <w:lang w:val="lt-LT" w:eastAsia="lt-LT"/>
        </w:rPr>
      </w:pPr>
    </w:p>
    <w:p w:rsidR="00671FBC" w:rsidRDefault="00671FBC" w:rsidP="00671FBC">
      <w:pPr>
        <w:keepNext/>
        <w:spacing w:before="240" w:after="60" w:line="240" w:lineRule="auto"/>
        <w:outlineLvl w:val="3"/>
        <w:rPr>
          <w:b/>
          <w:bCs/>
          <w:sz w:val="20"/>
          <w:szCs w:val="20"/>
          <w:lang w:val="lt-LT" w:eastAsia="lt-LT"/>
        </w:rPr>
      </w:pPr>
    </w:p>
    <w:p w:rsidR="00671FBC" w:rsidRDefault="00671FBC" w:rsidP="00671FBC">
      <w:pPr>
        <w:keepNext/>
        <w:spacing w:before="240" w:after="60" w:line="240" w:lineRule="auto"/>
        <w:outlineLvl w:val="3"/>
        <w:rPr>
          <w:b/>
          <w:bCs/>
          <w:sz w:val="20"/>
          <w:szCs w:val="20"/>
          <w:lang w:val="lt-LT" w:eastAsia="lt-LT"/>
        </w:rPr>
      </w:pPr>
    </w:p>
    <w:p w:rsidR="00671FBC" w:rsidRDefault="00671FBC" w:rsidP="00671FBC">
      <w:pPr>
        <w:keepNext/>
        <w:spacing w:before="240" w:after="60" w:line="240" w:lineRule="auto"/>
        <w:outlineLvl w:val="3"/>
        <w:rPr>
          <w:b/>
          <w:bCs/>
          <w:sz w:val="20"/>
          <w:szCs w:val="20"/>
          <w:lang w:val="lt-LT" w:eastAsia="lt-LT"/>
        </w:rPr>
      </w:pPr>
    </w:p>
    <w:p w:rsidR="00671FBC" w:rsidRPr="00843EDC" w:rsidRDefault="00671FBC" w:rsidP="00671FBC">
      <w:pPr>
        <w:keepNext/>
        <w:spacing w:before="240" w:after="60" w:line="240" w:lineRule="auto"/>
        <w:outlineLvl w:val="3"/>
        <w:rPr>
          <w:b/>
          <w:bCs/>
          <w:sz w:val="20"/>
          <w:szCs w:val="20"/>
          <w:lang w:val="lt-LT" w:eastAsia="lt-LT"/>
        </w:rPr>
      </w:pPr>
    </w:p>
    <w:p w:rsidR="00671FBC" w:rsidRPr="00DB39D7" w:rsidRDefault="00671FBC" w:rsidP="00671FBC">
      <w:pPr>
        <w:autoSpaceDE w:val="0"/>
        <w:autoSpaceDN w:val="0"/>
        <w:adjustRightInd w:val="0"/>
        <w:spacing w:after="0" w:line="240" w:lineRule="auto"/>
        <w:jc w:val="both"/>
        <w:rPr>
          <w:rFonts w:cs="Calibri"/>
          <w:color w:val="000000"/>
        </w:rPr>
      </w:pPr>
    </w:p>
    <w:tbl>
      <w:tblPr>
        <w:tblpPr w:leftFromText="180" w:rightFromText="180" w:horzAnchor="margin" w:tblpX="250" w:tblpY="645"/>
        <w:tblW w:w="13917" w:type="dxa"/>
        <w:tblLook w:val="04A0" w:firstRow="1" w:lastRow="0" w:firstColumn="1" w:lastColumn="0" w:noHBand="0" w:noVBand="1"/>
      </w:tblPr>
      <w:tblGrid>
        <w:gridCol w:w="3813"/>
        <w:gridCol w:w="5189"/>
        <w:gridCol w:w="4915"/>
      </w:tblGrid>
      <w:tr w:rsidR="00671FBC" w:rsidRPr="002426CF" w:rsidTr="00671FBC">
        <w:trPr>
          <w:trHeight w:val="239"/>
        </w:trPr>
        <w:tc>
          <w:tcPr>
            <w:tcW w:w="3813" w:type="dxa"/>
            <w:vMerge w:val="restart"/>
            <w:tcBorders>
              <w:top w:val="nil"/>
              <w:left w:val="single" w:sz="4" w:space="0" w:color="auto"/>
              <w:right w:val="single" w:sz="4" w:space="0" w:color="auto"/>
            </w:tcBorders>
            <w:shd w:val="clear" w:color="auto" w:fill="4F81BD" w:themeFill="accent1"/>
            <w:vAlign w:val="center"/>
            <w:hideMark/>
          </w:tcPr>
          <w:p w:rsidR="00671FBC" w:rsidRPr="002426CF" w:rsidRDefault="00671FBC" w:rsidP="00671FBC">
            <w:pPr>
              <w:spacing w:after="0" w:line="240" w:lineRule="auto"/>
              <w:jc w:val="center"/>
              <w:rPr>
                <w:rFonts w:asciiTheme="minorHAnsi" w:hAnsiTheme="minorHAnsi" w:cstheme="minorBidi"/>
                <w:b/>
                <w:bCs/>
                <w:color w:val="000000" w:themeColor="text1"/>
                <w:sz w:val="20"/>
                <w:szCs w:val="20"/>
              </w:rPr>
            </w:pPr>
            <w:r w:rsidRPr="002426CF">
              <w:rPr>
                <w:rFonts w:asciiTheme="minorHAnsi" w:hAnsiTheme="minorHAnsi" w:cstheme="minorBidi"/>
                <w:b/>
                <w:bCs/>
                <w:color w:val="000000" w:themeColor="text1"/>
                <w:sz w:val="20"/>
                <w:szCs w:val="20"/>
              </w:rPr>
              <w:t>Prioritet / Mjera</w:t>
            </w:r>
          </w:p>
        </w:tc>
        <w:tc>
          <w:tcPr>
            <w:tcW w:w="5189" w:type="dxa"/>
            <w:vMerge w:val="restart"/>
            <w:tcBorders>
              <w:top w:val="nil"/>
              <w:left w:val="nil"/>
              <w:right w:val="single" w:sz="4" w:space="0" w:color="auto"/>
            </w:tcBorders>
            <w:shd w:val="clear" w:color="auto" w:fill="4F81BD" w:themeFill="accent1"/>
            <w:vAlign w:val="center"/>
            <w:hideMark/>
          </w:tcPr>
          <w:p w:rsidR="00671FBC" w:rsidRPr="002426CF" w:rsidRDefault="00671FBC" w:rsidP="00671FBC">
            <w:pPr>
              <w:spacing w:after="0" w:line="240" w:lineRule="auto"/>
              <w:jc w:val="center"/>
              <w:rPr>
                <w:rFonts w:asciiTheme="minorHAnsi" w:hAnsiTheme="minorHAnsi" w:cstheme="minorBidi"/>
                <w:b/>
                <w:bCs/>
                <w:color w:val="000000" w:themeColor="text1"/>
                <w:sz w:val="20"/>
                <w:szCs w:val="20"/>
              </w:rPr>
            </w:pPr>
            <w:r w:rsidRPr="002426CF">
              <w:rPr>
                <w:rFonts w:asciiTheme="minorHAnsi" w:hAnsiTheme="minorHAnsi" w:cstheme="minorBidi"/>
                <w:b/>
                <w:bCs/>
                <w:color w:val="000000" w:themeColor="text1"/>
                <w:sz w:val="20"/>
                <w:szCs w:val="20"/>
              </w:rPr>
              <w:t>Cilj</w:t>
            </w:r>
          </w:p>
        </w:tc>
        <w:tc>
          <w:tcPr>
            <w:tcW w:w="4915" w:type="dxa"/>
            <w:tcBorders>
              <w:top w:val="nil"/>
              <w:left w:val="nil"/>
              <w:right w:val="single" w:sz="4" w:space="0" w:color="auto"/>
            </w:tcBorders>
            <w:shd w:val="clear" w:color="auto" w:fill="4F81BD" w:themeFill="accent1"/>
          </w:tcPr>
          <w:p w:rsidR="00671FBC" w:rsidRPr="002426CF" w:rsidRDefault="00671FBC" w:rsidP="00671FBC">
            <w:pPr>
              <w:spacing w:after="0" w:line="240" w:lineRule="auto"/>
              <w:jc w:val="center"/>
              <w:rPr>
                <w:rFonts w:asciiTheme="minorHAnsi" w:hAnsiTheme="minorHAnsi" w:cstheme="minorBidi"/>
                <w:b/>
                <w:bCs/>
                <w:color w:val="000000" w:themeColor="text1"/>
                <w:sz w:val="20"/>
                <w:szCs w:val="20"/>
              </w:rPr>
            </w:pPr>
          </w:p>
          <w:p w:rsidR="00671FBC" w:rsidRPr="002426CF" w:rsidRDefault="00671FBC" w:rsidP="00671FBC">
            <w:pPr>
              <w:spacing w:after="0" w:line="240" w:lineRule="auto"/>
              <w:jc w:val="center"/>
              <w:rPr>
                <w:rFonts w:asciiTheme="minorHAnsi" w:hAnsiTheme="minorHAnsi" w:cstheme="minorBidi"/>
                <w:b/>
                <w:bCs/>
                <w:color w:val="000000" w:themeColor="text1"/>
                <w:sz w:val="20"/>
                <w:szCs w:val="20"/>
              </w:rPr>
            </w:pPr>
            <w:r w:rsidRPr="002426CF">
              <w:rPr>
                <w:rFonts w:asciiTheme="minorHAnsi" w:hAnsiTheme="minorHAnsi" w:cstheme="minorBidi"/>
                <w:b/>
                <w:bCs/>
                <w:color w:val="000000" w:themeColor="text1"/>
                <w:sz w:val="20"/>
                <w:szCs w:val="20"/>
              </w:rPr>
              <w:t>Pokazatelj</w:t>
            </w:r>
          </w:p>
        </w:tc>
      </w:tr>
      <w:tr w:rsidR="00671FBC" w:rsidRPr="002426CF" w:rsidTr="00671FBC">
        <w:trPr>
          <w:trHeight w:val="366"/>
        </w:trPr>
        <w:tc>
          <w:tcPr>
            <w:tcW w:w="3813" w:type="dxa"/>
            <w:vMerge/>
            <w:tcBorders>
              <w:left w:val="single" w:sz="4" w:space="0" w:color="auto"/>
              <w:bottom w:val="single" w:sz="4" w:space="0" w:color="000000"/>
              <w:right w:val="single" w:sz="4" w:space="0" w:color="auto"/>
            </w:tcBorders>
            <w:shd w:val="clear" w:color="auto" w:fill="4F81BD" w:themeFill="accent1"/>
          </w:tcPr>
          <w:p w:rsidR="00671FBC" w:rsidRPr="002426CF" w:rsidRDefault="00671FBC" w:rsidP="00671FBC">
            <w:pPr>
              <w:spacing w:after="0" w:line="240" w:lineRule="auto"/>
              <w:rPr>
                <w:rFonts w:asciiTheme="minorHAnsi" w:hAnsiTheme="minorHAnsi" w:cstheme="minorBidi"/>
                <w:b/>
                <w:bCs/>
                <w:color w:val="FFFFFF" w:themeColor="background1"/>
                <w:sz w:val="18"/>
                <w:szCs w:val="18"/>
              </w:rPr>
            </w:pPr>
          </w:p>
        </w:tc>
        <w:tc>
          <w:tcPr>
            <w:tcW w:w="5189" w:type="dxa"/>
            <w:vMerge/>
            <w:tcBorders>
              <w:left w:val="nil"/>
              <w:bottom w:val="single" w:sz="4" w:space="0" w:color="auto"/>
              <w:right w:val="single" w:sz="4" w:space="0" w:color="auto"/>
            </w:tcBorders>
            <w:shd w:val="clear" w:color="auto" w:fill="4F81BD" w:themeFill="accent1"/>
          </w:tcPr>
          <w:p w:rsidR="00671FBC" w:rsidRPr="002426CF" w:rsidRDefault="00671FBC" w:rsidP="00671FBC">
            <w:pPr>
              <w:spacing w:after="0" w:line="240" w:lineRule="auto"/>
              <w:rPr>
                <w:rFonts w:asciiTheme="minorHAnsi" w:hAnsiTheme="minorHAnsi" w:cstheme="minorBidi"/>
                <w:b/>
                <w:bCs/>
                <w:color w:val="FFFFFF" w:themeColor="background1"/>
                <w:sz w:val="18"/>
                <w:szCs w:val="18"/>
              </w:rPr>
            </w:pPr>
          </w:p>
        </w:tc>
        <w:tc>
          <w:tcPr>
            <w:tcW w:w="4915" w:type="dxa"/>
            <w:tcBorders>
              <w:left w:val="nil"/>
              <w:bottom w:val="single" w:sz="4" w:space="0" w:color="auto"/>
              <w:right w:val="single" w:sz="4" w:space="0" w:color="auto"/>
            </w:tcBorders>
            <w:shd w:val="clear" w:color="auto" w:fill="4F81BD" w:themeFill="accent1"/>
          </w:tcPr>
          <w:p w:rsidR="00671FBC" w:rsidRPr="002426CF" w:rsidRDefault="00671FBC" w:rsidP="00671FBC">
            <w:pPr>
              <w:spacing w:after="0" w:line="240" w:lineRule="auto"/>
              <w:rPr>
                <w:rFonts w:asciiTheme="minorHAnsi" w:hAnsiTheme="minorHAnsi" w:cstheme="minorBidi"/>
                <w:b/>
                <w:bCs/>
                <w:color w:val="FFFFFF" w:themeColor="background1"/>
                <w:sz w:val="18"/>
                <w:szCs w:val="18"/>
              </w:rPr>
            </w:pPr>
          </w:p>
        </w:tc>
      </w:tr>
      <w:tr w:rsidR="00671FBC" w:rsidRPr="002426CF" w:rsidTr="00671FBC">
        <w:trPr>
          <w:trHeight w:val="1280"/>
        </w:trPr>
        <w:tc>
          <w:tcPr>
            <w:tcW w:w="3813" w:type="dxa"/>
            <w:tcBorders>
              <w:top w:val="nil"/>
              <w:left w:val="single" w:sz="4" w:space="0" w:color="auto"/>
              <w:bottom w:val="single" w:sz="4" w:space="0" w:color="000000"/>
              <w:right w:val="single" w:sz="4" w:space="0" w:color="auto"/>
            </w:tcBorders>
            <w:shd w:val="clear" w:color="auto" w:fill="C6D9F1" w:themeFill="text2" w:themeFillTint="33"/>
            <w:vAlign w:val="center"/>
          </w:tcPr>
          <w:p w:rsidR="00671FBC" w:rsidRPr="0097158A" w:rsidRDefault="00671FBC" w:rsidP="00671FBC">
            <w:pPr>
              <w:spacing w:after="0" w:line="240" w:lineRule="auto"/>
              <w:jc w:val="center"/>
              <w:rPr>
                <w:rFonts w:asciiTheme="minorHAnsi" w:hAnsiTheme="minorHAnsi" w:cstheme="minorBidi"/>
                <w:b/>
                <w:bCs/>
                <w:sz w:val="16"/>
                <w:szCs w:val="16"/>
              </w:rPr>
            </w:pPr>
            <w:r w:rsidRPr="0097158A">
              <w:rPr>
                <w:rFonts w:asciiTheme="minorHAnsi" w:hAnsiTheme="minorHAnsi" w:cstheme="minorBidi"/>
                <w:b/>
                <w:bCs/>
                <w:sz w:val="16"/>
                <w:szCs w:val="16"/>
              </w:rPr>
              <w:t>Prioritet 1.  Unaprjeđenje investicijskog okruženja</w:t>
            </w:r>
          </w:p>
          <w:p w:rsidR="00671FBC" w:rsidRPr="0097158A" w:rsidRDefault="00671FBC" w:rsidP="00671FBC">
            <w:pPr>
              <w:spacing w:after="0" w:line="240" w:lineRule="auto"/>
              <w:jc w:val="center"/>
              <w:rPr>
                <w:rFonts w:asciiTheme="minorHAnsi" w:hAnsiTheme="minorHAnsi" w:cstheme="minorBidi"/>
                <w:b/>
                <w:bCs/>
                <w:sz w:val="16"/>
                <w:szCs w:val="16"/>
              </w:rPr>
            </w:pPr>
          </w:p>
        </w:tc>
        <w:tc>
          <w:tcPr>
            <w:tcW w:w="5189" w:type="dxa"/>
            <w:tcBorders>
              <w:top w:val="nil"/>
              <w:left w:val="nil"/>
              <w:bottom w:val="single" w:sz="4" w:space="0" w:color="auto"/>
              <w:right w:val="single" w:sz="4" w:space="0" w:color="auto"/>
            </w:tcBorders>
            <w:shd w:val="clear" w:color="auto" w:fill="C6D9F1" w:themeFill="text2" w:themeFillTint="33"/>
            <w:vAlign w:val="center"/>
          </w:tcPr>
          <w:p w:rsidR="00671FBC" w:rsidRPr="0097158A" w:rsidRDefault="00671FBC" w:rsidP="00671FBC">
            <w:pPr>
              <w:spacing w:after="0" w:line="240" w:lineRule="auto"/>
              <w:jc w:val="center"/>
              <w:rPr>
                <w:rFonts w:asciiTheme="minorHAnsi" w:hAnsiTheme="minorHAnsi" w:cstheme="minorBidi"/>
                <w:bCs/>
                <w:sz w:val="16"/>
                <w:szCs w:val="16"/>
              </w:rPr>
            </w:pPr>
          </w:p>
          <w:p w:rsidR="00671FBC" w:rsidRPr="0097158A" w:rsidRDefault="00671FBC" w:rsidP="00671FBC">
            <w:pPr>
              <w:spacing w:after="0" w:line="240" w:lineRule="auto"/>
              <w:jc w:val="center"/>
              <w:rPr>
                <w:rFonts w:asciiTheme="minorHAnsi" w:hAnsiTheme="minorHAnsi" w:cstheme="minorBidi"/>
                <w:bCs/>
                <w:sz w:val="16"/>
                <w:szCs w:val="16"/>
              </w:rPr>
            </w:pPr>
            <w:r w:rsidRPr="0097158A">
              <w:rPr>
                <w:rFonts w:asciiTheme="minorHAnsi" w:hAnsiTheme="minorHAnsi" w:cstheme="minorBidi"/>
                <w:bCs/>
                <w:sz w:val="16"/>
                <w:szCs w:val="16"/>
              </w:rPr>
              <w:t>Poboljšanje investicijske klime u Republici Hrvatskoj</w:t>
            </w:r>
          </w:p>
          <w:p w:rsidR="00671FBC" w:rsidRPr="0097158A" w:rsidRDefault="00671FBC" w:rsidP="00671FBC">
            <w:pPr>
              <w:spacing w:line="288" w:lineRule="auto"/>
              <w:jc w:val="center"/>
              <w:rPr>
                <w:rFonts w:asciiTheme="minorHAnsi" w:eastAsiaTheme="minorEastAsia" w:hAnsiTheme="minorHAnsi" w:cstheme="minorHAnsi"/>
                <w:sz w:val="16"/>
                <w:szCs w:val="16"/>
              </w:rPr>
            </w:pPr>
          </w:p>
        </w:tc>
        <w:tc>
          <w:tcPr>
            <w:tcW w:w="4915" w:type="dxa"/>
            <w:tcBorders>
              <w:top w:val="nil"/>
              <w:left w:val="nil"/>
              <w:bottom w:val="single" w:sz="4" w:space="0" w:color="auto"/>
              <w:right w:val="single" w:sz="4" w:space="0" w:color="auto"/>
            </w:tcBorders>
            <w:shd w:val="clear" w:color="auto" w:fill="C6D9F1" w:themeFill="text2" w:themeFillTint="33"/>
            <w:vAlign w:val="center"/>
          </w:tcPr>
          <w:p w:rsidR="00671FBC" w:rsidRPr="0097158A" w:rsidRDefault="00671FBC" w:rsidP="00671FBC">
            <w:pPr>
              <w:spacing w:line="288" w:lineRule="auto"/>
              <w:jc w:val="center"/>
              <w:rPr>
                <w:rFonts w:asciiTheme="minorHAnsi" w:eastAsiaTheme="minorEastAsia" w:hAnsiTheme="minorHAnsi" w:cstheme="minorHAnsi"/>
                <w:sz w:val="16"/>
                <w:szCs w:val="16"/>
              </w:rPr>
            </w:pPr>
            <w:r w:rsidRPr="0097158A">
              <w:rPr>
                <w:rFonts w:asciiTheme="minorHAnsi" w:eastAsiaTheme="minorEastAsia" w:hAnsiTheme="minorHAnsi" w:cstheme="minorHAnsi"/>
                <w:sz w:val="16"/>
                <w:szCs w:val="16"/>
              </w:rPr>
              <w:t>Bolje rangiranje RH prema Indeksu lakoće poslovanja („</w:t>
            </w:r>
            <w:proofErr w:type="spellStart"/>
            <w:r w:rsidRPr="0097158A">
              <w:rPr>
                <w:rFonts w:asciiTheme="minorHAnsi" w:eastAsiaTheme="minorEastAsia" w:hAnsiTheme="minorHAnsi" w:cstheme="minorHAnsi"/>
                <w:sz w:val="16"/>
                <w:szCs w:val="16"/>
              </w:rPr>
              <w:t>Doing</w:t>
            </w:r>
            <w:proofErr w:type="spellEnd"/>
            <w:r w:rsidRPr="0097158A">
              <w:rPr>
                <w:rFonts w:asciiTheme="minorHAnsi" w:eastAsiaTheme="minorEastAsia" w:hAnsiTheme="minorHAnsi" w:cstheme="minorHAnsi"/>
                <w:sz w:val="16"/>
                <w:szCs w:val="16"/>
              </w:rPr>
              <w:t xml:space="preserve"> </w:t>
            </w:r>
            <w:proofErr w:type="spellStart"/>
            <w:r w:rsidRPr="0097158A">
              <w:rPr>
                <w:rFonts w:asciiTheme="minorHAnsi" w:eastAsiaTheme="minorEastAsia" w:hAnsiTheme="minorHAnsi" w:cstheme="minorHAnsi"/>
                <w:sz w:val="16"/>
                <w:szCs w:val="16"/>
              </w:rPr>
              <w:t>business</w:t>
            </w:r>
            <w:proofErr w:type="spellEnd"/>
            <w:r w:rsidRPr="0097158A">
              <w:rPr>
                <w:rFonts w:asciiTheme="minorHAnsi" w:eastAsiaTheme="minorEastAsia" w:hAnsiTheme="minorHAnsi" w:cstheme="minorHAnsi"/>
                <w:sz w:val="16"/>
                <w:szCs w:val="16"/>
              </w:rPr>
              <w:t>“)</w:t>
            </w:r>
          </w:p>
          <w:p w:rsidR="00671FBC" w:rsidRPr="0097158A" w:rsidRDefault="00671FBC" w:rsidP="00671FBC">
            <w:pPr>
              <w:spacing w:line="288" w:lineRule="auto"/>
              <w:jc w:val="center"/>
              <w:rPr>
                <w:rFonts w:asciiTheme="minorHAnsi" w:eastAsiaTheme="minorEastAsia" w:hAnsiTheme="minorHAnsi" w:cstheme="minorHAnsi"/>
                <w:sz w:val="16"/>
                <w:szCs w:val="16"/>
              </w:rPr>
            </w:pPr>
            <w:r w:rsidRPr="0097158A">
              <w:rPr>
                <w:rFonts w:asciiTheme="minorHAnsi" w:eastAsiaTheme="minorEastAsia" w:hAnsiTheme="minorHAnsi" w:cstheme="minorHAnsi"/>
                <w:sz w:val="16"/>
                <w:szCs w:val="16"/>
              </w:rPr>
              <w:t>Bolje rangiranje RH prema Izvješću o globalnoj konkurentnosti (GCR)</w:t>
            </w:r>
          </w:p>
          <w:p w:rsidR="00671FBC" w:rsidRPr="0097158A" w:rsidRDefault="00671FBC" w:rsidP="00671FBC">
            <w:pPr>
              <w:spacing w:after="0" w:line="240" w:lineRule="auto"/>
              <w:jc w:val="center"/>
              <w:rPr>
                <w:rFonts w:asciiTheme="minorHAnsi" w:hAnsiTheme="minorHAnsi" w:cstheme="minorBidi"/>
                <w:bCs/>
                <w:sz w:val="16"/>
                <w:szCs w:val="16"/>
              </w:rPr>
            </w:pPr>
            <w:r w:rsidRPr="0097158A">
              <w:rPr>
                <w:rFonts w:asciiTheme="minorHAnsi" w:hAnsiTheme="minorHAnsi" w:cstheme="minorBidi"/>
                <w:bCs/>
                <w:sz w:val="16"/>
                <w:szCs w:val="16"/>
              </w:rPr>
              <w:t xml:space="preserve">Povećanje priljeva ISI u RH/ povećanje ISI </w:t>
            </w:r>
            <w:proofErr w:type="spellStart"/>
            <w:r w:rsidRPr="0097158A">
              <w:rPr>
                <w:rFonts w:asciiTheme="minorHAnsi" w:hAnsiTheme="minorHAnsi" w:cstheme="minorBidi"/>
                <w:bCs/>
                <w:sz w:val="16"/>
                <w:szCs w:val="16"/>
              </w:rPr>
              <w:t>per</w:t>
            </w:r>
            <w:proofErr w:type="spellEnd"/>
            <w:r w:rsidRPr="0097158A">
              <w:rPr>
                <w:rFonts w:asciiTheme="minorHAnsi" w:hAnsiTheme="minorHAnsi" w:cstheme="minorBidi"/>
                <w:bCs/>
                <w:sz w:val="16"/>
                <w:szCs w:val="16"/>
              </w:rPr>
              <w:t xml:space="preserve"> </w:t>
            </w:r>
            <w:proofErr w:type="spellStart"/>
            <w:r w:rsidRPr="0097158A">
              <w:rPr>
                <w:rFonts w:asciiTheme="minorHAnsi" w:hAnsiTheme="minorHAnsi" w:cstheme="minorBidi"/>
                <w:bCs/>
                <w:sz w:val="16"/>
                <w:szCs w:val="16"/>
              </w:rPr>
              <w:t>capita</w:t>
            </w:r>
            <w:proofErr w:type="spellEnd"/>
          </w:p>
          <w:p w:rsidR="00671FBC" w:rsidRPr="0097158A" w:rsidRDefault="00671FBC" w:rsidP="00671FBC">
            <w:pPr>
              <w:spacing w:after="0" w:line="240" w:lineRule="auto"/>
              <w:jc w:val="center"/>
              <w:rPr>
                <w:rFonts w:asciiTheme="minorHAnsi" w:hAnsiTheme="minorHAnsi" w:cstheme="minorBidi"/>
                <w:bCs/>
                <w:sz w:val="16"/>
                <w:szCs w:val="16"/>
              </w:rPr>
            </w:pPr>
            <w:r w:rsidRPr="0097158A">
              <w:rPr>
                <w:rFonts w:asciiTheme="minorHAnsi" w:hAnsiTheme="minorHAnsi" w:cstheme="minorBidi"/>
                <w:bCs/>
                <w:sz w:val="16"/>
                <w:szCs w:val="16"/>
              </w:rPr>
              <w:t xml:space="preserve">Povećanje </w:t>
            </w:r>
            <w:proofErr w:type="spellStart"/>
            <w:r w:rsidRPr="0097158A">
              <w:rPr>
                <w:rFonts w:asciiTheme="minorHAnsi" w:hAnsiTheme="minorHAnsi" w:cstheme="minorBidi"/>
                <w:bCs/>
                <w:sz w:val="16"/>
                <w:szCs w:val="16"/>
              </w:rPr>
              <w:t>udijela</w:t>
            </w:r>
            <w:proofErr w:type="spellEnd"/>
            <w:r w:rsidRPr="0097158A">
              <w:rPr>
                <w:rFonts w:asciiTheme="minorHAnsi" w:hAnsiTheme="minorHAnsi" w:cstheme="minorBidi"/>
                <w:bCs/>
                <w:sz w:val="16"/>
                <w:szCs w:val="16"/>
              </w:rPr>
              <w:t xml:space="preserve"> ISI u BDP</w:t>
            </w:r>
          </w:p>
        </w:tc>
      </w:tr>
      <w:tr w:rsidR="00671FBC" w:rsidRPr="002426CF" w:rsidTr="00671FBC">
        <w:trPr>
          <w:trHeight w:val="584"/>
        </w:trPr>
        <w:tc>
          <w:tcPr>
            <w:tcW w:w="3813" w:type="dxa"/>
            <w:tcBorders>
              <w:top w:val="nil"/>
              <w:left w:val="single" w:sz="4" w:space="0" w:color="auto"/>
              <w:bottom w:val="single" w:sz="4" w:space="0" w:color="000000"/>
              <w:right w:val="single" w:sz="4" w:space="0" w:color="auto"/>
            </w:tcBorders>
            <w:shd w:val="clear" w:color="auto" w:fill="auto"/>
            <w:hideMark/>
          </w:tcPr>
          <w:p w:rsidR="00671FBC" w:rsidRPr="002426CF" w:rsidRDefault="00671FBC" w:rsidP="00177115">
            <w:pPr>
              <w:spacing w:after="0" w:line="240" w:lineRule="auto"/>
              <w:jc w:val="both"/>
              <w:rPr>
                <w:rFonts w:asciiTheme="minorHAnsi" w:hAnsiTheme="minorHAnsi" w:cstheme="minorBidi"/>
                <w:bCs/>
                <w:sz w:val="16"/>
                <w:szCs w:val="16"/>
              </w:rPr>
            </w:pPr>
            <w:r w:rsidRPr="002426CF">
              <w:rPr>
                <w:rFonts w:asciiTheme="minorHAnsi" w:hAnsiTheme="minorHAnsi" w:cstheme="minorBidi"/>
                <w:bCs/>
                <w:sz w:val="16"/>
                <w:szCs w:val="16"/>
              </w:rPr>
              <w:t xml:space="preserve">Mjera 1.1  Unaprjeđenje zakonodavnog i institucionalnog okvira i uklanjanje administrativnih </w:t>
            </w:r>
            <w:r w:rsidR="00177115" w:rsidRPr="005F07EA">
              <w:rPr>
                <w:rFonts w:asciiTheme="minorHAnsi" w:hAnsiTheme="minorHAnsi" w:cstheme="minorBidi"/>
                <w:bCs/>
                <w:sz w:val="16"/>
                <w:szCs w:val="16"/>
              </w:rPr>
              <w:t>prepreka</w:t>
            </w:r>
            <w:r w:rsidRPr="005F07EA">
              <w:rPr>
                <w:rFonts w:asciiTheme="minorHAnsi" w:hAnsiTheme="minorHAnsi" w:cstheme="minorBidi"/>
                <w:bCs/>
                <w:sz w:val="16"/>
                <w:szCs w:val="16"/>
              </w:rPr>
              <w:t xml:space="preserve"> za investicije</w:t>
            </w:r>
          </w:p>
        </w:tc>
        <w:tc>
          <w:tcPr>
            <w:tcW w:w="5189" w:type="dxa"/>
            <w:tcBorders>
              <w:top w:val="nil"/>
              <w:left w:val="nil"/>
              <w:bottom w:val="single" w:sz="4" w:space="0" w:color="auto"/>
              <w:right w:val="single" w:sz="4" w:space="0" w:color="auto"/>
            </w:tcBorders>
            <w:shd w:val="clear" w:color="auto" w:fill="auto"/>
            <w:hideMark/>
          </w:tcPr>
          <w:p w:rsidR="00671FBC" w:rsidRPr="002426CF" w:rsidRDefault="00671FBC" w:rsidP="00671FBC">
            <w:pPr>
              <w:spacing w:after="0" w:line="240" w:lineRule="auto"/>
              <w:jc w:val="both"/>
              <w:rPr>
                <w:rFonts w:asciiTheme="minorHAnsi" w:hAnsiTheme="minorHAnsi" w:cstheme="minorBidi"/>
                <w:bCs/>
                <w:sz w:val="16"/>
                <w:szCs w:val="16"/>
              </w:rPr>
            </w:pPr>
            <w:proofErr w:type="spellStart"/>
            <w:r w:rsidRPr="002426CF">
              <w:rPr>
                <w:rFonts w:asciiTheme="minorHAnsi" w:hAnsiTheme="minorHAnsi" w:cstheme="minorBidi"/>
                <w:bCs/>
                <w:sz w:val="16"/>
                <w:szCs w:val="16"/>
              </w:rPr>
              <w:t>Unaprijeđenje</w:t>
            </w:r>
            <w:proofErr w:type="spellEnd"/>
            <w:r w:rsidRPr="002426CF">
              <w:rPr>
                <w:rFonts w:asciiTheme="minorHAnsi" w:hAnsiTheme="minorHAnsi" w:cstheme="minorBidi"/>
                <w:bCs/>
                <w:sz w:val="16"/>
                <w:szCs w:val="16"/>
              </w:rPr>
              <w:t xml:space="preserve"> zakonodavnog i institucionalnog okvira za poticanje investicija </w:t>
            </w:r>
          </w:p>
          <w:p w:rsidR="00671FBC" w:rsidRPr="002426CF" w:rsidRDefault="00671FBC" w:rsidP="00671FBC">
            <w:pPr>
              <w:spacing w:after="0" w:line="240" w:lineRule="auto"/>
              <w:jc w:val="both"/>
              <w:rPr>
                <w:rFonts w:asciiTheme="minorHAnsi" w:hAnsiTheme="minorHAnsi" w:cstheme="minorBidi"/>
                <w:bCs/>
                <w:sz w:val="16"/>
                <w:szCs w:val="16"/>
              </w:rPr>
            </w:pPr>
          </w:p>
          <w:p w:rsidR="00671FBC" w:rsidRPr="002426CF" w:rsidRDefault="00671FBC" w:rsidP="00671FBC">
            <w:pPr>
              <w:spacing w:after="0" w:line="240" w:lineRule="auto"/>
              <w:jc w:val="both"/>
              <w:rPr>
                <w:rFonts w:asciiTheme="minorHAnsi" w:hAnsiTheme="minorHAnsi" w:cstheme="minorBidi"/>
                <w:bCs/>
                <w:sz w:val="16"/>
                <w:szCs w:val="16"/>
              </w:rPr>
            </w:pPr>
          </w:p>
          <w:p w:rsidR="00671FBC" w:rsidRPr="002426CF" w:rsidRDefault="00671FBC" w:rsidP="00671FBC">
            <w:pPr>
              <w:spacing w:after="0" w:line="240" w:lineRule="auto"/>
              <w:jc w:val="both"/>
              <w:rPr>
                <w:rFonts w:asciiTheme="minorHAnsi" w:hAnsiTheme="minorHAnsi" w:cstheme="minorBidi"/>
                <w:bCs/>
                <w:sz w:val="16"/>
                <w:szCs w:val="16"/>
              </w:rPr>
            </w:pPr>
          </w:p>
          <w:p w:rsidR="00671FBC" w:rsidRPr="002426CF" w:rsidRDefault="00671FBC" w:rsidP="00671FBC">
            <w:pPr>
              <w:spacing w:after="0" w:line="240" w:lineRule="auto"/>
              <w:jc w:val="both"/>
              <w:rPr>
                <w:rFonts w:asciiTheme="minorHAnsi" w:hAnsiTheme="minorHAnsi" w:cstheme="minorBidi"/>
                <w:bCs/>
                <w:sz w:val="16"/>
                <w:szCs w:val="16"/>
              </w:rPr>
            </w:pPr>
          </w:p>
          <w:p w:rsidR="00671FBC" w:rsidRPr="002426CF" w:rsidRDefault="00671FBC" w:rsidP="00671FBC">
            <w:pPr>
              <w:spacing w:after="0" w:line="240" w:lineRule="auto"/>
              <w:jc w:val="both"/>
              <w:rPr>
                <w:rFonts w:asciiTheme="minorHAnsi" w:hAnsiTheme="minorHAnsi" w:cstheme="minorBidi"/>
                <w:bCs/>
                <w:sz w:val="16"/>
                <w:szCs w:val="16"/>
              </w:rPr>
            </w:pPr>
            <w:r w:rsidRPr="002426CF">
              <w:rPr>
                <w:rFonts w:asciiTheme="minorHAnsi" w:hAnsiTheme="minorHAnsi" w:cstheme="minorBidi"/>
                <w:bCs/>
                <w:sz w:val="16"/>
                <w:szCs w:val="16"/>
              </w:rPr>
              <w:t>Smanjenje/uklanjanje administrativnih barijera za investicija</w:t>
            </w:r>
          </w:p>
        </w:tc>
        <w:tc>
          <w:tcPr>
            <w:tcW w:w="4915" w:type="dxa"/>
            <w:tcBorders>
              <w:top w:val="nil"/>
              <w:left w:val="nil"/>
              <w:bottom w:val="single" w:sz="4" w:space="0" w:color="auto"/>
              <w:right w:val="single" w:sz="4" w:space="0" w:color="auto"/>
            </w:tcBorders>
          </w:tcPr>
          <w:p w:rsidR="00671FBC" w:rsidRPr="002426CF" w:rsidRDefault="00671FBC" w:rsidP="00671FBC">
            <w:pPr>
              <w:spacing w:line="288" w:lineRule="auto"/>
              <w:jc w:val="both"/>
              <w:rPr>
                <w:rFonts w:asciiTheme="minorHAnsi" w:eastAsiaTheme="minorEastAsia" w:hAnsiTheme="minorHAnsi" w:cstheme="minorHAnsi"/>
                <w:sz w:val="16"/>
                <w:szCs w:val="16"/>
              </w:rPr>
            </w:pPr>
            <w:r w:rsidRPr="002426CF">
              <w:rPr>
                <w:rFonts w:asciiTheme="minorHAnsi" w:eastAsiaTheme="minorEastAsia" w:hAnsiTheme="minorHAnsi" w:cstheme="minorHAnsi"/>
                <w:sz w:val="16"/>
                <w:szCs w:val="16"/>
              </w:rPr>
              <w:t xml:space="preserve">Broj donesenih/revidiranih zakonskih i </w:t>
            </w:r>
            <w:proofErr w:type="spellStart"/>
            <w:r w:rsidRPr="002426CF">
              <w:rPr>
                <w:rFonts w:asciiTheme="minorHAnsi" w:eastAsiaTheme="minorEastAsia" w:hAnsiTheme="minorHAnsi" w:cstheme="minorHAnsi"/>
                <w:sz w:val="16"/>
                <w:szCs w:val="16"/>
              </w:rPr>
              <w:t>podzakonskih</w:t>
            </w:r>
            <w:proofErr w:type="spellEnd"/>
            <w:r w:rsidRPr="002426CF">
              <w:rPr>
                <w:rFonts w:asciiTheme="minorHAnsi" w:eastAsiaTheme="minorEastAsia" w:hAnsiTheme="minorHAnsi" w:cstheme="minorHAnsi"/>
                <w:sz w:val="16"/>
                <w:szCs w:val="16"/>
              </w:rPr>
              <w:t xml:space="preserve"> akata</w:t>
            </w:r>
          </w:p>
          <w:p w:rsidR="00671FBC" w:rsidRPr="002426CF" w:rsidRDefault="00671FBC" w:rsidP="00671FBC">
            <w:pPr>
              <w:spacing w:line="288" w:lineRule="auto"/>
              <w:jc w:val="both"/>
              <w:rPr>
                <w:rFonts w:asciiTheme="minorHAnsi" w:eastAsiaTheme="minorEastAsia" w:hAnsiTheme="minorHAnsi" w:cstheme="minorHAnsi"/>
                <w:sz w:val="16"/>
                <w:szCs w:val="16"/>
              </w:rPr>
            </w:pPr>
            <w:r w:rsidRPr="002426CF">
              <w:rPr>
                <w:rFonts w:asciiTheme="minorHAnsi" w:eastAsiaTheme="minorEastAsia" w:hAnsiTheme="minorHAnsi" w:cstheme="minorHAnsi"/>
                <w:sz w:val="16"/>
                <w:szCs w:val="16"/>
              </w:rPr>
              <w:t>Poboljšani institucionalni okvir za poticanje investicija</w:t>
            </w:r>
          </w:p>
          <w:p w:rsidR="00671FBC" w:rsidRPr="002426CF" w:rsidRDefault="00671FBC" w:rsidP="00671FBC">
            <w:pPr>
              <w:spacing w:line="288" w:lineRule="auto"/>
              <w:jc w:val="both"/>
              <w:rPr>
                <w:rFonts w:asciiTheme="minorHAnsi" w:eastAsiaTheme="minorEastAsia" w:hAnsiTheme="minorHAnsi" w:cstheme="minorHAnsi"/>
                <w:sz w:val="16"/>
                <w:szCs w:val="16"/>
              </w:rPr>
            </w:pPr>
            <w:r w:rsidRPr="002426CF">
              <w:rPr>
                <w:rFonts w:asciiTheme="minorHAnsi" w:eastAsiaTheme="minorEastAsia" w:hAnsiTheme="minorHAnsi" w:cstheme="minorHAnsi"/>
                <w:sz w:val="16"/>
                <w:szCs w:val="16"/>
              </w:rPr>
              <w:t xml:space="preserve">Broj investicijskih projekata koji su dobili podršku u uklanjanju administrativnih barijera </w:t>
            </w:r>
          </w:p>
          <w:p w:rsidR="00671FBC" w:rsidRPr="002426CF" w:rsidRDefault="00671FBC" w:rsidP="00671FBC">
            <w:pPr>
              <w:spacing w:after="0" w:line="240" w:lineRule="auto"/>
              <w:jc w:val="both"/>
              <w:rPr>
                <w:rFonts w:asciiTheme="minorHAnsi" w:hAnsiTheme="minorHAnsi" w:cstheme="minorBidi"/>
                <w:bCs/>
                <w:sz w:val="16"/>
                <w:szCs w:val="16"/>
              </w:rPr>
            </w:pPr>
          </w:p>
        </w:tc>
      </w:tr>
      <w:tr w:rsidR="00671FBC" w:rsidRPr="002426CF" w:rsidTr="00671FBC">
        <w:trPr>
          <w:trHeight w:val="1617"/>
        </w:trPr>
        <w:tc>
          <w:tcPr>
            <w:tcW w:w="3813" w:type="dxa"/>
            <w:tcBorders>
              <w:top w:val="nil"/>
              <w:left w:val="single" w:sz="4" w:space="0" w:color="auto"/>
              <w:bottom w:val="single" w:sz="4" w:space="0" w:color="000000"/>
              <w:right w:val="single" w:sz="4" w:space="0" w:color="auto"/>
            </w:tcBorders>
            <w:shd w:val="clear" w:color="auto" w:fill="auto"/>
            <w:hideMark/>
          </w:tcPr>
          <w:p w:rsidR="00671FBC" w:rsidRPr="002426CF" w:rsidRDefault="00671FBC" w:rsidP="00671FBC">
            <w:pPr>
              <w:spacing w:after="0" w:line="240" w:lineRule="auto"/>
              <w:jc w:val="both"/>
              <w:rPr>
                <w:rFonts w:asciiTheme="minorHAnsi" w:hAnsiTheme="minorHAnsi" w:cstheme="minorBidi"/>
                <w:bCs/>
                <w:sz w:val="16"/>
                <w:szCs w:val="16"/>
              </w:rPr>
            </w:pPr>
            <w:r w:rsidRPr="002426CF">
              <w:rPr>
                <w:rFonts w:asciiTheme="minorHAnsi" w:hAnsiTheme="minorHAnsi" w:cstheme="minorBidi"/>
                <w:bCs/>
                <w:sz w:val="16"/>
                <w:szCs w:val="16"/>
              </w:rPr>
              <w:t>Mjera 1.2 Jačanje investicijskog potencijala sektora malog i srednjeg poduzetništva i uključivanje u globalne lance vrijednosti</w:t>
            </w:r>
          </w:p>
        </w:tc>
        <w:tc>
          <w:tcPr>
            <w:tcW w:w="5189" w:type="dxa"/>
            <w:tcBorders>
              <w:top w:val="nil"/>
              <w:left w:val="nil"/>
              <w:bottom w:val="single" w:sz="4" w:space="0" w:color="auto"/>
              <w:right w:val="single" w:sz="4" w:space="0" w:color="auto"/>
            </w:tcBorders>
            <w:shd w:val="clear" w:color="auto" w:fill="auto"/>
            <w:hideMark/>
          </w:tcPr>
          <w:p w:rsidR="00671FBC" w:rsidRPr="002426CF" w:rsidRDefault="00671FBC" w:rsidP="00671FBC">
            <w:pPr>
              <w:spacing w:after="0" w:line="240" w:lineRule="auto"/>
              <w:jc w:val="both"/>
              <w:rPr>
                <w:rFonts w:asciiTheme="minorHAnsi" w:hAnsiTheme="minorHAnsi" w:cstheme="minorBidi"/>
                <w:bCs/>
                <w:sz w:val="16"/>
                <w:szCs w:val="16"/>
              </w:rPr>
            </w:pPr>
            <w:r w:rsidRPr="002426CF">
              <w:rPr>
                <w:rFonts w:asciiTheme="minorHAnsi" w:hAnsiTheme="minorHAnsi" w:cstheme="minorBidi"/>
                <w:bCs/>
                <w:sz w:val="16"/>
                <w:szCs w:val="16"/>
              </w:rPr>
              <w:t>Povećanje investicija malog i srednjeg poduzetništva</w:t>
            </w:r>
          </w:p>
          <w:p w:rsidR="00671FBC" w:rsidRPr="002426CF" w:rsidRDefault="00671FBC" w:rsidP="00671FBC">
            <w:pPr>
              <w:spacing w:after="0" w:line="240" w:lineRule="auto"/>
              <w:jc w:val="both"/>
              <w:rPr>
                <w:rFonts w:asciiTheme="minorHAnsi" w:hAnsiTheme="minorHAnsi" w:cstheme="minorBidi"/>
                <w:bCs/>
                <w:sz w:val="16"/>
                <w:szCs w:val="16"/>
              </w:rPr>
            </w:pPr>
          </w:p>
          <w:p w:rsidR="00671FBC" w:rsidRPr="002426CF" w:rsidRDefault="00671FBC" w:rsidP="00671FBC">
            <w:pPr>
              <w:spacing w:after="0" w:line="240" w:lineRule="auto"/>
              <w:jc w:val="both"/>
              <w:rPr>
                <w:rFonts w:asciiTheme="minorHAnsi" w:hAnsiTheme="minorHAnsi" w:cstheme="minorBidi"/>
                <w:bCs/>
                <w:sz w:val="16"/>
                <w:szCs w:val="16"/>
              </w:rPr>
            </w:pPr>
            <w:r w:rsidRPr="005F07EA">
              <w:rPr>
                <w:rFonts w:asciiTheme="minorHAnsi" w:hAnsiTheme="minorHAnsi" w:cstheme="minorBidi"/>
                <w:bCs/>
                <w:sz w:val="16"/>
                <w:szCs w:val="16"/>
              </w:rPr>
              <w:t>Ukl</w:t>
            </w:r>
            <w:r w:rsidR="00177115" w:rsidRPr="005F07EA">
              <w:rPr>
                <w:rFonts w:asciiTheme="minorHAnsi" w:hAnsiTheme="minorHAnsi" w:cstheme="minorBidi"/>
                <w:bCs/>
                <w:sz w:val="16"/>
                <w:szCs w:val="16"/>
              </w:rPr>
              <w:t>j</w:t>
            </w:r>
            <w:r w:rsidRPr="005F07EA">
              <w:rPr>
                <w:rFonts w:asciiTheme="minorHAnsi" w:hAnsiTheme="minorHAnsi" w:cstheme="minorBidi"/>
                <w:bCs/>
                <w:sz w:val="16"/>
                <w:szCs w:val="16"/>
              </w:rPr>
              <w:t xml:space="preserve">učivanje malog i srednjeg poduzetništva u nabavne lance i lance vrijednosti stranih </w:t>
            </w:r>
            <w:r w:rsidRPr="002426CF">
              <w:rPr>
                <w:rFonts w:asciiTheme="minorHAnsi" w:hAnsiTheme="minorHAnsi" w:cstheme="minorBidi"/>
                <w:bCs/>
                <w:sz w:val="16"/>
                <w:szCs w:val="16"/>
              </w:rPr>
              <w:t>investitora u RH</w:t>
            </w:r>
          </w:p>
        </w:tc>
        <w:tc>
          <w:tcPr>
            <w:tcW w:w="4915" w:type="dxa"/>
            <w:tcBorders>
              <w:top w:val="nil"/>
              <w:left w:val="nil"/>
              <w:bottom w:val="single" w:sz="4" w:space="0" w:color="auto"/>
              <w:right w:val="single" w:sz="4" w:space="0" w:color="auto"/>
            </w:tcBorders>
          </w:tcPr>
          <w:p w:rsidR="00671FBC" w:rsidRPr="002426CF" w:rsidRDefault="00671FBC" w:rsidP="00671FBC">
            <w:pPr>
              <w:spacing w:after="0" w:line="240" w:lineRule="auto"/>
              <w:jc w:val="both"/>
              <w:rPr>
                <w:rFonts w:asciiTheme="minorHAnsi" w:hAnsiTheme="minorHAnsi" w:cstheme="minorBidi"/>
                <w:bCs/>
                <w:sz w:val="16"/>
                <w:szCs w:val="16"/>
              </w:rPr>
            </w:pPr>
            <w:r w:rsidRPr="002426CF">
              <w:rPr>
                <w:rFonts w:asciiTheme="minorHAnsi" w:hAnsiTheme="minorHAnsi" w:cstheme="minorBidi"/>
                <w:bCs/>
                <w:sz w:val="16"/>
                <w:szCs w:val="16"/>
              </w:rPr>
              <w:t>Broj investicijskih projekata MSP</w:t>
            </w:r>
          </w:p>
          <w:p w:rsidR="00671FBC" w:rsidRPr="002426CF" w:rsidRDefault="00671FBC" w:rsidP="00671FBC">
            <w:pPr>
              <w:spacing w:after="0" w:line="240" w:lineRule="auto"/>
              <w:jc w:val="both"/>
              <w:rPr>
                <w:rFonts w:asciiTheme="minorHAnsi" w:hAnsiTheme="minorHAnsi" w:cstheme="minorBidi"/>
                <w:bCs/>
                <w:sz w:val="16"/>
                <w:szCs w:val="16"/>
              </w:rPr>
            </w:pPr>
            <w:r w:rsidRPr="002426CF">
              <w:rPr>
                <w:rFonts w:asciiTheme="minorHAnsi" w:hAnsiTheme="minorHAnsi" w:cstheme="minorBidi"/>
                <w:bCs/>
                <w:sz w:val="16"/>
                <w:szCs w:val="16"/>
              </w:rPr>
              <w:t>Iznos investicija MSP na godišnjoj razini</w:t>
            </w:r>
          </w:p>
          <w:p w:rsidR="00671FBC" w:rsidRPr="002426CF" w:rsidRDefault="00671FBC" w:rsidP="00671FBC">
            <w:pPr>
              <w:spacing w:after="0" w:line="240" w:lineRule="auto"/>
              <w:jc w:val="both"/>
              <w:rPr>
                <w:rFonts w:asciiTheme="minorHAnsi" w:hAnsiTheme="minorHAnsi" w:cstheme="minorBidi"/>
                <w:bCs/>
                <w:sz w:val="16"/>
                <w:szCs w:val="16"/>
              </w:rPr>
            </w:pPr>
            <w:r w:rsidRPr="002426CF">
              <w:rPr>
                <w:rFonts w:asciiTheme="minorHAnsi" w:hAnsiTheme="minorHAnsi" w:cstheme="minorBidi"/>
                <w:bCs/>
                <w:sz w:val="16"/>
                <w:szCs w:val="16"/>
              </w:rPr>
              <w:t>Prihodi MSP</w:t>
            </w:r>
          </w:p>
          <w:p w:rsidR="00671FBC" w:rsidRPr="002426CF" w:rsidRDefault="00671FBC" w:rsidP="00671FBC">
            <w:pPr>
              <w:spacing w:after="0" w:line="240" w:lineRule="auto"/>
              <w:jc w:val="both"/>
              <w:rPr>
                <w:rFonts w:asciiTheme="minorHAnsi" w:hAnsiTheme="minorHAnsi" w:cstheme="minorBidi"/>
                <w:bCs/>
                <w:sz w:val="16"/>
                <w:szCs w:val="16"/>
              </w:rPr>
            </w:pPr>
          </w:p>
        </w:tc>
      </w:tr>
      <w:tr w:rsidR="00671FBC" w:rsidRPr="002426CF" w:rsidTr="00671FBC">
        <w:trPr>
          <w:trHeight w:val="505"/>
        </w:trPr>
        <w:tc>
          <w:tcPr>
            <w:tcW w:w="3813" w:type="dxa"/>
            <w:tcBorders>
              <w:top w:val="nil"/>
              <w:left w:val="single" w:sz="4" w:space="0" w:color="auto"/>
              <w:bottom w:val="single" w:sz="4" w:space="0" w:color="auto"/>
              <w:right w:val="single" w:sz="4" w:space="0" w:color="auto"/>
            </w:tcBorders>
            <w:shd w:val="clear" w:color="auto" w:fill="auto"/>
            <w:hideMark/>
          </w:tcPr>
          <w:p w:rsidR="00671FBC" w:rsidRPr="002426CF" w:rsidRDefault="00671FBC" w:rsidP="00671FBC">
            <w:pPr>
              <w:spacing w:after="0" w:line="240" w:lineRule="auto"/>
              <w:jc w:val="both"/>
              <w:rPr>
                <w:rFonts w:asciiTheme="minorHAnsi" w:hAnsiTheme="minorHAnsi" w:cstheme="minorBidi"/>
                <w:bCs/>
                <w:sz w:val="16"/>
                <w:szCs w:val="16"/>
              </w:rPr>
            </w:pPr>
            <w:r w:rsidRPr="005F07EA">
              <w:rPr>
                <w:rFonts w:asciiTheme="minorHAnsi" w:hAnsiTheme="minorHAnsi" w:cstheme="minorBidi"/>
                <w:bCs/>
                <w:sz w:val="16"/>
                <w:szCs w:val="16"/>
              </w:rPr>
              <w:lastRenderedPageBreak/>
              <w:t>Mjera</w:t>
            </w:r>
            <w:r w:rsidRPr="002426CF">
              <w:rPr>
                <w:rFonts w:asciiTheme="minorHAnsi" w:hAnsiTheme="minorHAnsi" w:cstheme="minorBidi"/>
                <w:bCs/>
                <w:sz w:val="16"/>
                <w:szCs w:val="16"/>
              </w:rPr>
              <w:t xml:space="preserve"> 1.3 Prilagodba obrazovnog sustava i tržišta rada </w:t>
            </w:r>
            <w:proofErr w:type="spellStart"/>
            <w:r w:rsidRPr="002426CF">
              <w:rPr>
                <w:rFonts w:asciiTheme="minorHAnsi" w:hAnsiTheme="minorHAnsi" w:cstheme="minorBidi"/>
                <w:bCs/>
                <w:sz w:val="16"/>
                <w:szCs w:val="16"/>
              </w:rPr>
              <w:t>porebama</w:t>
            </w:r>
            <w:proofErr w:type="spellEnd"/>
            <w:r w:rsidRPr="002426CF">
              <w:rPr>
                <w:rFonts w:asciiTheme="minorHAnsi" w:hAnsiTheme="minorHAnsi" w:cstheme="minorBidi"/>
                <w:bCs/>
                <w:sz w:val="16"/>
                <w:szCs w:val="16"/>
              </w:rPr>
              <w:t xml:space="preserve"> investitora</w:t>
            </w:r>
          </w:p>
        </w:tc>
        <w:tc>
          <w:tcPr>
            <w:tcW w:w="5189" w:type="dxa"/>
            <w:tcBorders>
              <w:top w:val="nil"/>
              <w:left w:val="nil"/>
              <w:bottom w:val="single" w:sz="4" w:space="0" w:color="auto"/>
              <w:right w:val="single" w:sz="4" w:space="0" w:color="auto"/>
            </w:tcBorders>
            <w:shd w:val="clear" w:color="auto" w:fill="auto"/>
            <w:hideMark/>
          </w:tcPr>
          <w:p w:rsidR="00671FBC" w:rsidRPr="002426CF" w:rsidRDefault="00671FBC" w:rsidP="00671FBC">
            <w:pPr>
              <w:spacing w:after="0" w:line="240" w:lineRule="auto"/>
              <w:jc w:val="both"/>
              <w:rPr>
                <w:rFonts w:asciiTheme="minorHAnsi" w:hAnsiTheme="minorHAnsi" w:cstheme="minorBidi"/>
                <w:bCs/>
                <w:sz w:val="16"/>
                <w:szCs w:val="16"/>
              </w:rPr>
            </w:pPr>
            <w:r w:rsidRPr="002426CF">
              <w:rPr>
                <w:rFonts w:asciiTheme="minorHAnsi" w:hAnsiTheme="minorHAnsi" w:cstheme="minorBidi"/>
                <w:bCs/>
                <w:sz w:val="16"/>
                <w:szCs w:val="16"/>
              </w:rPr>
              <w:t>Povećanje broja zaposlenih u RH</w:t>
            </w:r>
          </w:p>
        </w:tc>
        <w:tc>
          <w:tcPr>
            <w:tcW w:w="4915" w:type="dxa"/>
            <w:tcBorders>
              <w:top w:val="nil"/>
              <w:left w:val="nil"/>
              <w:bottom w:val="single" w:sz="4" w:space="0" w:color="auto"/>
              <w:right w:val="single" w:sz="4" w:space="0" w:color="auto"/>
            </w:tcBorders>
          </w:tcPr>
          <w:p w:rsidR="00671FBC" w:rsidRPr="002426CF" w:rsidRDefault="00671FBC" w:rsidP="00671FBC">
            <w:pPr>
              <w:spacing w:line="288" w:lineRule="auto"/>
              <w:jc w:val="both"/>
              <w:rPr>
                <w:rFonts w:asciiTheme="minorHAnsi" w:hAnsiTheme="minorHAnsi" w:cstheme="minorHAnsi"/>
                <w:sz w:val="16"/>
                <w:szCs w:val="16"/>
              </w:rPr>
            </w:pPr>
            <w:r w:rsidRPr="002426CF">
              <w:rPr>
                <w:rFonts w:asciiTheme="minorHAnsi" w:hAnsiTheme="minorHAnsi" w:cstheme="minorHAnsi"/>
                <w:sz w:val="16"/>
                <w:szCs w:val="16"/>
              </w:rPr>
              <w:t>Broj provedenih edukacijskih programa namijenjen stjecanju novih vještina i cijelo-životnog obrazovanja</w:t>
            </w:r>
          </w:p>
          <w:p w:rsidR="00671FBC" w:rsidRPr="002426CF" w:rsidRDefault="00671FBC" w:rsidP="00671FBC">
            <w:pPr>
              <w:spacing w:line="288" w:lineRule="auto"/>
              <w:jc w:val="both"/>
              <w:rPr>
                <w:rFonts w:asciiTheme="minorHAnsi" w:eastAsiaTheme="minorEastAsia" w:hAnsiTheme="minorHAnsi" w:cstheme="minorHAnsi"/>
                <w:color w:val="000000"/>
                <w:sz w:val="16"/>
                <w:szCs w:val="16"/>
              </w:rPr>
            </w:pPr>
            <w:r w:rsidRPr="002426CF">
              <w:rPr>
                <w:rFonts w:asciiTheme="minorHAnsi" w:hAnsiTheme="minorHAnsi" w:cstheme="minorHAnsi"/>
                <w:sz w:val="16"/>
                <w:szCs w:val="16"/>
              </w:rPr>
              <w:t xml:space="preserve">Broj provedenih mjera za ciljano privlačenje </w:t>
            </w:r>
            <w:r w:rsidRPr="002426CF">
              <w:rPr>
                <w:rFonts w:asciiTheme="minorHAnsi" w:eastAsiaTheme="minorEastAsia" w:hAnsiTheme="minorHAnsi" w:cstheme="minorHAnsi"/>
                <w:color w:val="000000"/>
                <w:sz w:val="16"/>
                <w:szCs w:val="16"/>
              </w:rPr>
              <w:t xml:space="preserve"> visoko kvalificirane radne snage iz drugih zemalja</w:t>
            </w:r>
          </w:p>
          <w:p w:rsidR="00671FBC" w:rsidRPr="002426CF" w:rsidRDefault="00671FBC" w:rsidP="00671FBC">
            <w:pPr>
              <w:spacing w:line="288" w:lineRule="auto"/>
              <w:jc w:val="both"/>
              <w:rPr>
                <w:rFonts w:asciiTheme="minorHAnsi" w:eastAsiaTheme="minorEastAsia" w:hAnsiTheme="minorHAnsi" w:cstheme="minorHAnsi"/>
                <w:color w:val="000000"/>
                <w:sz w:val="16"/>
                <w:szCs w:val="16"/>
              </w:rPr>
            </w:pPr>
            <w:r w:rsidRPr="002426CF">
              <w:rPr>
                <w:rFonts w:asciiTheme="minorHAnsi" w:eastAsiaTheme="minorEastAsia" w:hAnsiTheme="minorHAnsi" w:cstheme="minorHAnsi"/>
                <w:color w:val="000000"/>
                <w:sz w:val="16"/>
                <w:szCs w:val="16"/>
              </w:rPr>
              <w:t>Izrađene analize stanja i projekcije u pojedinom sektoru</w:t>
            </w:r>
          </w:p>
          <w:p w:rsidR="00671FBC" w:rsidRPr="002426CF" w:rsidRDefault="00671FBC" w:rsidP="00671FBC">
            <w:pPr>
              <w:spacing w:line="288" w:lineRule="auto"/>
              <w:jc w:val="both"/>
              <w:rPr>
                <w:rFonts w:asciiTheme="minorHAnsi" w:eastAsiaTheme="minorEastAsia" w:hAnsiTheme="minorHAnsi" w:cstheme="minorHAnsi"/>
                <w:color w:val="000000"/>
                <w:sz w:val="16"/>
                <w:szCs w:val="16"/>
              </w:rPr>
            </w:pPr>
            <w:r w:rsidRPr="002426CF">
              <w:rPr>
                <w:rFonts w:asciiTheme="minorHAnsi" w:eastAsiaTheme="minorEastAsia" w:hAnsiTheme="minorHAnsi" w:cstheme="minorHAnsi"/>
                <w:color w:val="000000"/>
                <w:sz w:val="16"/>
                <w:szCs w:val="16"/>
              </w:rPr>
              <w:t>Uspostavljen sustav ažuriranja Nacionalne klasifikacije zanimanja prema potrebama tržišta rada, obrazovanja i razvoja</w:t>
            </w:r>
          </w:p>
          <w:p w:rsidR="00671FBC" w:rsidRPr="002426CF" w:rsidRDefault="00671FBC" w:rsidP="00671FBC">
            <w:pPr>
              <w:spacing w:line="288" w:lineRule="auto"/>
              <w:jc w:val="both"/>
              <w:rPr>
                <w:rFonts w:asciiTheme="minorHAnsi" w:eastAsiaTheme="minorEastAsia" w:hAnsiTheme="minorHAnsi" w:cstheme="minorHAnsi"/>
                <w:color w:val="000000"/>
                <w:sz w:val="16"/>
                <w:szCs w:val="16"/>
              </w:rPr>
            </w:pPr>
            <w:r w:rsidRPr="002426CF">
              <w:rPr>
                <w:rFonts w:asciiTheme="minorHAnsi" w:eastAsiaTheme="minorEastAsia" w:hAnsiTheme="minorHAnsi" w:cstheme="minorHAnsi"/>
                <w:color w:val="000000"/>
                <w:sz w:val="16"/>
                <w:szCs w:val="16"/>
              </w:rPr>
              <w:t>Uspostavljen sustav prikupljanja informacija o sadašnjim i budućim potrebama tržišta rada i potrebnim kompetencijama</w:t>
            </w:r>
          </w:p>
          <w:p w:rsidR="00671FBC" w:rsidRPr="002426CF" w:rsidRDefault="00671FBC" w:rsidP="00671FBC">
            <w:pPr>
              <w:spacing w:line="288" w:lineRule="auto"/>
              <w:jc w:val="both"/>
              <w:rPr>
                <w:rFonts w:asciiTheme="minorHAnsi" w:eastAsiaTheme="minorEastAsia" w:hAnsiTheme="minorHAnsi" w:cstheme="minorHAnsi"/>
                <w:color w:val="000000"/>
                <w:sz w:val="16"/>
                <w:szCs w:val="16"/>
              </w:rPr>
            </w:pPr>
            <w:r w:rsidRPr="002426CF">
              <w:rPr>
                <w:rFonts w:asciiTheme="minorHAnsi" w:eastAsiaTheme="minorEastAsia" w:hAnsiTheme="minorHAnsi" w:cstheme="minorHAnsi"/>
                <w:color w:val="000000"/>
                <w:sz w:val="16"/>
                <w:szCs w:val="16"/>
              </w:rPr>
              <w:t>Uređen registar ljudskih potencijala (baza podataka o zanimanjima, kvalifikacijama, plaćama, socijalnom statusu)</w:t>
            </w:r>
          </w:p>
          <w:p w:rsidR="00671FBC" w:rsidRPr="002426CF" w:rsidRDefault="00671FBC" w:rsidP="00671FBC">
            <w:pPr>
              <w:spacing w:after="0" w:line="240" w:lineRule="auto"/>
              <w:jc w:val="both"/>
              <w:rPr>
                <w:rFonts w:asciiTheme="minorHAnsi" w:hAnsiTheme="minorHAnsi" w:cstheme="minorBidi"/>
                <w:bCs/>
                <w:sz w:val="16"/>
                <w:szCs w:val="16"/>
              </w:rPr>
            </w:pPr>
            <w:r w:rsidRPr="002426CF">
              <w:rPr>
                <w:rFonts w:asciiTheme="minorHAnsi" w:eastAsiaTheme="minorEastAsia" w:hAnsiTheme="minorHAnsi" w:cstheme="minorHAnsi"/>
                <w:color w:val="000000"/>
                <w:sz w:val="16"/>
                <w:szCs w:val="16"/>
              </w:rPr>
              <w:t>Broj registriranih standarda zanimanja, standarda kvalifikacija i standarda skupova ishoda učenja, putem Registra Hrvatskog kvalifikacijskog okvira</w:t>
            </w:r>
          </w:p>
        </w:tc>
      </w:tr>
      <w:tr w:rsidR="00671FBC" w:rsidRPr="002426CF" w:rsidTr="00671FBC">
        <w:trPr>
          <w:trHeight w:val="208"/>
        </w:trPr>
        <w:tc>
          <w:tcPr>
            <w:tcW w:w="3813" w:type="dxa"/>
            <w:tcBorders>
              <w:top w:val="nil"/>
              <w:left w:val="single" w:sz="4" w:space="0" w:color="auto"/>
              <w:bottom w:val="single" w:sz="4" w:space="0" w:color="000000"/>
              <w:right w:val="single" w:sz="4" w:space="0" w:color="auto"/>
            </w:tcBorders>
            <w:shd w:val="clear" w:color="auto" w:fill="auto"/>
            <w:hideMark/>
          </w:tcPr>
          <w:p w:rsidR="00671FBC" w:rsidRPr="002426CF" w:rsidRDefault="00671FBC" w:rsidP="00671FBC">
            <w:pPr>
              <w:spacing w:after="0" w:line="240" w:lineRule="auto"/>
              <w:jc w:val="both"/>
              <w:rPr>
                <w:rFonts w:asciiTheme="minorHAnsi" w:hAnsiTheme="minorHAnsi" w:cstheme="minorBidi"/>
                <w:bCs/>
                <w:sz w:val="16"/>
                <w:szCs w:val="16"/>
              </w:rPr>
            </w:pPr>
            <w:r w:rsidRPr="002426CF">
              <w:rPr>
                <w:rFonts w:asciiTheme="minorHAnsi" w:hAnsiTheme="minorHAnsi" w:cstheme="minorBidi"/>
                <w:bCs/>
                <w:sz w:val="16"/>
                <w:szCs w:val="16"/>
              </w:rPr>
              <w:t>Mjera 1.4 Stvaranje poticajnog okruženja za investicije u istraživanje, razvoj, inovacije i KET tehnologije</w:t>
            </w:r>
          </w:p>
        </w:tc>
        <w:tc>
          <w:tcPr>
            <w:tcW w:w="5189" w:type="dxa"/>
            <w:tcBorders>
              <w:top w:val="nil"/>
              <w:left w:val="nil"/>
              <w:bottom w:val="single" w:sz="4" w:space="0" w:color="auto"/>
              <w:right w:val="single" w:sz="4" w:space="0" w:color="auto"/>
            </w:tcBorders>
            <w:shd w:val="clear" w:color="auto" w:fill="auto"/>
            <w:hideMark/>
          </w:tcPr>
          <w:p w:rsidR="00671FBC" w:rsidRPr="002426CF" w:rsidRDefault="00671FBC" w:rsidP="00671FBC">
            <w:pPr>
              <w:spacing w:after="0" w:line="240" w:lineRule="auto"/>
              <w:jc w:val="both"/>
              <w:rPr>
                <w:rFonts w:asciiTheme="minorHAnsi" w:hAnsiTheme="minorHAnsi" w:cstheme="minorBidi"/>
                <w:bCs/>
                <w:sz w:val="16"/>
                <w:szCs w:val="16"/>
              </w:rPr>
            </w:pPr>
            <w:r w:rsidRPr="002426CF">
              <w:rPr>
                <w:rFonts w:asciiTheme="minorHAnsi" w:hAnsiTheme="minorHAnsi" w:cstheme="minorBidi"/>
                <w:bCs/>
                <w:sz w:val="16"/>
                <w:szCs w:val="16"/>
              </w:rPr>
              <w:t xml:space="preserve">Povećanje doprinosa stranih investitora u I&amp;R poslovnog sektora </w:t>
            </w:r>
          </w:p>
          <w:p w:rsidR="00671FBC" w:rsidRPr="002426CF" w:rsidRDefault="00671FBC" w:rsidP="00671FBC">
            <w:pPr>
              <w:spacing w:after="0" w:line="240" w:lineRule="auto"/>
              <w:jc w:val="both"/>
              <w:rPr>
                <w:rFonts w:asciiTheme="minorHAnsi" w:hAnsiTheme="minorHAnsi" w:cstheme="minorBidi"/>
                <w:bCs/>
                <w:sz w:val="16"/>
                <w:szCs w:val="16"/>
              </w:rPr>
            </w:pPr>
          </w:p>
          <w:p w:rsidR="00671FBC" w:rsidRPr="002426CF" w:rsidRDefault="00671FBC" w:rsidP="00671FBC">
            <w:pPr>
              <w:spacing w:after="0" w:line="240" w:lineRule="auto"/>
              <w:jc w:val="both"/>
              <w:rPr>
                <w:rFonts w:asciiTheme="minorHAnsi" w:hAnsiTheme="minorHAnsi" w:cstheme="minorBidi"/>
                <w:bCs/>
                <w:sz w:val="16"/>
                <w:szCs w:val="16"/>
              </w:rPr>
            </w:pPr>
          </w:p>
        </w:tc>
        <w:tc>
          <w:tcPr>
            <w:tcW w:w="4915" w:type="dxa"/>
            <w:tcBorders>
              <w:top w:val="nil"/>
              <w:left w:val="nil"/>
              <w:bottom w:val="single" w:sz="4" w:space="0" w:color="auto"/>
              <w:right w:val="single" w:sz="4" w:space="0" w:color="auto"/>
            </w:tcBorders>
          </w:tcPr>
          <w:p w:rsidR="00671FBC" w:rsidRPr="002426CF" w:rsidRDefault="00671FBC" w:rsidP="00671FBC">
            <w:pPr>
              <w:spacing w:after="0" w:line="240" w:lineRule="auto"/>
              <w:jc w:val="both"/>
              <w:rPr>
                <w:rFonts w:asciiTheme="minorHAnsi" w:hAnsiTheme="minorHAnsi" w:cstheme="minorBidi"/>
                <w:bCs/>
                <w:sz w:val="16"/>
                <w:szCs w:val="16"/>
              </w:rPr>
            </w:pPr>
            <w:r w:rsidRPr="002426CF">
              <w:rPr>
                <w:rFonts w:asciiTheme="minorHAnsi" w:hAnsiTheme="minorHAnsi" w:cstheme="minorBidi"/>
                <w:bCs/>
                <w:sz w:val="16"/>
                <w:szCs w:val="16"/>
              </w:rPr>
              <w:t xml:space="preserve">Udio stranih </w:t>
            </w:r>
            <w:proofErr w:type="spellStart"/>
            <w:r w:rsidRPr="002426CF">
              <w:rPr>
                <w:rFonts w:asciiTheme="minorHAnsi" w:hAnsiTheme="minorHAnsi" w:cstheme="minorBidi"/>
                <w:bCs/>
                <w:sz w:val="16"/>
                <w:szCs w:val="16"/>
              </w:rPr>
              <w:t>investora</w:t>
            </w:r>
            <w:proofErr w:type="spellEnd"/>
            <w:r w:rsidRPr="002426CF">
              <w:rPr>
                <w:rFonts w:asciiTheme="minorHAnsi" w:hAnsiTheme="minorHAnsi" w:cstheme="minorBidi"/>
                <w:bCs/>
                <w:sz w:val="16"/>
                <w:szCs w:val="16"/>
              </w:rPr>
              <w:t xml:space="preserve"> u I&amp;R poslovnog sektora</w:t>
            </w:r>
          </w:p>
          <w:p w:rsidR="00671FBC" w:rsidRPr="005F07EA" w:rsidRDefault="00671FBC" w:rsidP="00671FBC">
            <w:pPr>
              <w:spacing w:after="0" w:line="240" w:lineRule="auto"/>
              <w:jc w:val="both"/>
              <w:rPr>
                <w:rFonts w:asciiTheme="minorHAnsi" w:hAnsiTheme="minorHAnsi" w:cstheme="minorBidi"/>
                <w:bCs/>
                <w:sz w:val="16"/>
                <w:szCs w:val="16"/>
              </w:rPr>
            </w:pPr>
            <w:r w:rsidRPr="005F07EA">
              <w:rPr>
                <w:rFonts w:asciiTheme="minorHAnsi" w:hAnsiTheme="minorHAnsi" w:cstheme="minorBidi"/>
                <w:bCs/>
                <w:sz w:val="16"/>
                <w:szCs w:val="16"/>
              </w:rPr>
              <w:t>Uspostava Visoko-tehnološke</w:t>
            </w:r>
            <w:r w:rsidR="00177115" w:rsidRPr="005F07EA">
              <w:rPr>
                <w:rFonts w:asciiTheme="minorHAnsi" w:hAnsiTheme="minorHAnsi" w:cstheme="minorBidi"/>
                <w:bCs/>
                <w:sz w:val="16"/>
                <w:szCs w:val="16"/>
              </w:rPr>
              <w:t xml:space="preserve"> </w:t>
            </w:r>
            <w:r w:rsidRPr="005F07EA">
              <w:rPr>
                <w:rFonts w:asciiTheme="minorHAnsi" w:hAnsiTheme="minorHAnsi" w:cstheme="minorBidi"/>
                <w:bCs/>
                <w:sz w:val="16"/>
                <w:szCs w:val="16"/>
              </w:rPr>
              <w:t>mreže za industriju</w:t>
            </w:r>
          </w:p>
        </w:tc>
      </w:tr>
      <w:tr w:rsidR="00671FBC" w:rsidRPr="002426CF" w:rsidTr="00671FBC">
        <w:trPr>
          <w:trHeight w:val="208"/>
        </w:trPr>
        <w:tc>
          <w:tcPr>
            <w:tcW w:w="3813" w:type="dxa"/>
            <w:tcBorders>
              <w:left w:val="single" w:sz="4" w:space="0" w:color="auto"/>
              <w:bottom w:val="single" w:sz="4" w:space="0" w:color="auto"/>
              <w:right w:val="single" w:sz="4" w:space="0" w:color="auto"/>
            </w:tcBorders>
            <w:shd w:val="clear" w:color="auto" w:fill="auto"/>
            <w:hideMark/>
          </w:tcPr>
          <w:p w:rsidR="00671FBC" w:rsidRPr="002426CF" w:rsidRDefault="00671FBC" w:rsidP="00671FBC">
            <w:pPr>
              <w:spacing w:after="0" w:line="240" w:lineRule="auto"/>
              <w:jc w:val="both"/>
              <w:rPr>
                <w:rFonts w:asciiTheme="minorHAnsi" w:hAnsiTheme="minorHAnsi" w:cstheme="minorBidi"/>
                <w:bCs/>
                <w:sz w:val="16"/>
                <w:szCs w:val="16"/>
              </w:rPr>
            </w:pPr>
            <w:r w:rsidRPr="002426CF">
              <w:rPr>
                <w:rFonts w:asciiTheme="minorHAnsi" w:hAnsiTheme="minorHAnsi" w:cstheme="minorBidi"/>
                <w:bCs/>
                <w:sz w:val="16"/>
                <w:szCs w:val="16"/>
              </w:rPr>
              <w:t>Mjera 1.5 Jačanje investicijskog potencijala sektora turizma</w:t>
            </w:r>
          </w:p>
        </w:tc>
        <w:tc>
          <w:tcPr>
            <w:tcW w:w="5189" w:type="dxa"/>
            <w:tcBorders>
              <w:top w:val="nil"/>
              <w:left w:val="nil"/>
              <w:bottom w:val="single" w:sz="4" w:space="0" w:color="auto"/>
              <w:right w:val="single" w:sz="4" w:space="0" w:color="auto"/>
            </w:tcBorders>
            <w:shd w:val="clear" w:color="auto" w:fill="auto"/>
            <w:hideMark/>
          </w:tcPr>
          <w:p w:rsidR="00671FBC" w:rsidRPr="002426CF" w:rsidRDefault="00671FBC" w:rsidP="00671FBC">
            <w:pPr>
              <w:spacing w:after="0" w:line="240" w:lineRule="auto"/>
              <w:jc w:val="both"/>
              <w:rPr>
                <w:rFonts w:asciiTheme="minorHAnsi" w:hAnsiTheme="minorHAnsi" w:cstheme="minorBidi"/>
                <w:bCs/>
                <w:sz w:val="16"/>
                <w:szCs w:val="16"/>
              </w:rPr>
            </w:pPr>
          </w:p>
          <w:p w:rsidR="00671FBC" w:rsidRPr="002426CF" w:rsidRDefault="00671FBC" w:rsidP="00671FBC">
            <w:pPr>
              <w:spacing w:after="0" w:line="240" w:lineRule="auto"/>
              <w:jc w:val="both"/>
              <w:rPr>
                <w:rFonts w:asciiTheme="minorHAnsi" w:hAnsiTheme="minorHAnsi" w:cstheme="minorBidi"/>
                <w:bCs/>
                <w:sz w:val="16"/>
                <w:szCs w:val="16"/>
              </w:rPr>
            </w:pPr>
            <w:r w:rsidRPr="002426CF">
              <w:rPr>
                <w:rFonts w:asciiTheme="minorHAnsi" w:hAnsiTheme="minorHAnsi" w:cstheme="minorBidi"/>
                <w:bCs/>
                <w:sz w:val="16"/>
                <w:szCs w:val="16"/>
              </w:rPr>
              <w:t>Jačanje konkurentnosti hrvatskog turizma</w:t>
            </w:r>
          </w:p>
        </w:tc>
        <w:tc>
          <w:tcPr>
            <w:tcW w:w="4915" w:type="dxa"/>
            <w:tcBorders>
              <w:top w:val="nil"/>
              <w:left w:val="nil"/>
              <w:bottom w:val="single" w:sz="4" w:space="0" w:color="auto"/>
              <w:right w:val="single" w:sz="4" w:space="0" w:color="auto"/>
            </w:tcBorders>
          </w:tcPr>
          <w:p w:rsidR="00671FBC" w:rsidRPr="002426CF" w:rsidRDefault="00671FBC" w:rsidP="00671FBC">
            <w:pPr>
              <w:spacing w:after="0" w:line="240" w:lineRule="auto"/>
              <w:jc w:val="both"/>
              <w:rPr>
                <w:rFonts w:asciiTheme="minorHAnsi" w:hAnsiTheme="minorHAnsi" w:cstheme="minorBidi"/>
                <w:bCs/>
                <w:sz w:val="16"/>
                <w:szCs w:val="16"/>
              </w:rPr>
            </w:pPr>
            <w:r w:rsidRPr="002426CF">
              <w:rPr>
                <w:rFonts w:asciiTheme="minorHAnsi" w:hAnsiTheme="minorHAnsi" w:cstheme="minorBidi"/>
                <w:bCs/>
                <w:sz w:val="16"/>
                <w:szCs w:val="16"/>
              </w:rPr>
              <w:t>Indeks konkurentnosti turizma</w:t>
            </w:r>
          </w:p>
        </w:tc>
      </w:tr>
      <w:tr w:rsidR="00671FBC" w:rsidRPr="002426CF" w:rsidTr="00671FBC">
        <w:trPr>
          <w:trHeight w:val="477"/>
        </w:trPr>
        <w:tc>
          <w:tcPr>
            <w:tcW w:w="3813" w:type="dxa"/>
            <w:tcBorders>
              <w:top w:val="nil"/>
              <w:left w:val="single" w:sz="4" w:space="0" w:color="auto"/>
              <w:bottom w:val="single" w:sz="4" w:space="0" w:color="auto"/>
              <w:right w:val="single" w:sz="4" w:space="0" w:color="auto"/>
            </w:tcBorders>
            <w:shd w:val="clear" w:color="auto" w:fill="auto"/>
            <w:hideMark/>
          </w:tcPr>
          <w:p w:rsidR="00671FBC" w:rsidRPr="005F07EA" w:rsidRDefault="00671FBC" w:rsidP="00671FBC">
            <w:pPr>
              <w:spacing w:after="0" w:line="240" w:lineRule="auto"/>
              <w:jc w:val="both"/>
              <w:rPr>
                <w:rFonts w:asciiTheme="minorHAnsi" w:hAnsiTheme="minorHAnsi" w:cstheme="minorBidi"/>
                <w:bCs/>
                <w:sz w:val="16"/>
                <w:szCs w:val="16"/>
              </w:rPr>
            </w:pPr>
            <w:r w:rsidRPr="005F07EA">
              <w:rPr>
                <w:rFonts w:asciiTheme="minorHAnsi" w:hAnsiTheme="minorHAnsi" w:cstheme="minorBidi"/>
                <w:bCs/>
                <w:sz w:val="16"/>
                <w:szCs w:val="16"/>
              </w:rPr>
              <w:t>Mjera 1.6 Razvoj i unaprjeđenje regionalne infrastrukture</w:t>
            </w:r>
          </w:p>
          <w:p w:rsidR="00671FBC" w:rsidRPr="002426CF" w:rsidRDefault="00671FBC" w:rsidP="00177115">
            <w:pPr>
              <w:spacing w:after="0" w:line="240" w:lineRule="auto"/>
              <w:jc w:val="both"/>
              <w:rPr>
                <w:rFonts w:asciiTheme="minorHAnsi" w:hAnsiTheme="minorHAnsi" w:cstheme="minorBidi"/>
                <w:bCs/>
                <w:sz w:val="16"/>
                <w:szCs w:val="16"/>
              </w:rPr>
            </w:pPr>
          </w:p>
        </w:tc>
        <w:tc>
          <w:tcPr>
            <w:tcW w:w="5189" w:type="dxa"/>
            <w:tcBorders>
              <w:top w:val="nil"/>
              <w:left w:val="nil"/>
              <w:bottom w:val="single" w:sz="4" w:space="0" w:color="auto"/>
              <w:right w:val="single" w:sz="4" w:space="0" w:color="auto"/>
            </w:tcBorders>
            <w:shd w:val="clear" w:color="auto" w:fill="auto"/>
            <w:hideMark/>
          </w:tcPr>
          <w:p w:rsidR="00671FBC" w:rsidRPr="002426CF" w:rsidRDefault="00671FBC" w:rsidP="00671FBC">
            <w:pPr>
              <w:spacing w:after="0" w:line="240" w:lineRule="auto"/>
              <w:jc w:val="both"/>
              <w:rPr>
                <w:rFonts w:asciiTheme="minorHAnsi" w:hAnsiTheme="minorHAnsi" w:cstheme="minorBidi"/>
                <w:bCs/>
                <w:sz w:val="16"/>
                <w:szCs w:val="16"/>
              </w:rPr>
            </w:pPr>
            <w:r w:rsidRPr="002426CF">
              <w:rPr>
                <w:rFonts w:asciiTheme="minorHAnsi" w:hAnsiTheme="minorHAnsi" w:cstheme="minorBidi"/>
                <w:bCs/>
                <w:sz w:val="16"/>
                <w:szCs w:val="16"/>
              </w:rPr>
              <w:t xml:space="preserve">Povećanje atraktivnosti Republike Hrvatske za </w:t>
            </w:r>
            <w:proofErr w:type="spellStart"/>
            <w:r w:rsidRPr="002426CF">
              <w:rPr>
                <w:rFonts w:asciiTheme="minorHAnsi" w:hAnsiTheme="minorHAnsi" w:cstheme="minorBidi"/>
                <w:bCs/>
                <w:sz w:val="16"/>
                <w:szCs w:val="16"/>
              </w:rPr>
              <w:t>privlaćenje</w:t>
            </w:r>
            <w:proofErr w:type="spellEnd"/>
            <w:r w:rsidRPr="002426CF">
              <w:rPr>
                <w:rFonts w:asciiTheme="minorHAnsi" w:hAnsiTheme="minorHAnsi" w:cstheme="minorBidi"/>
                <w:bCs/>
                <w:sz w:val="16"/>
                <w:szCs w:val="16"/>
              </w:rPr>
              <w:t xml:space="preserve"> investicija</w:t>
            </w:r>
          </w:p>
        </w:tc>
        <w:tc>
          <w:tcPr>
            <w:tcW w:w="4915" w:type="dxa"/>
            <w:tcBorders>
              <w:top w:val="nil"/>
              <w:left w:val="nil"/>
              <w:bottom w:val="single" w:sz="4" w:space="0" w:color="auto"/>
              <w:right w:val="single" w:sz="4" w:space="0" w:color="auto"/>
            </w:tcBorders>
          </w:tcPr>
          <w:p w:rsidR="00671FBC" w:rsidRPr="002426CF" w:rsidRDefault="00671FBC" w:rsidP="00671FBC">
            <w:pPr>
              <w:spacing w:after="0" w:line="240" w:lineRule="auto"/>
              <w:jc w:val="both"/>
              <w:rPr>
                <w:rFonts w:asciiTheme="minorHAnsi" w:hAnsiTheme="minorHAnsi" w:cstheme="minorBidi"/>
                <w:bCs/>
                <w:sz w:val="16"/>
                <w:szCs w:val="16"/>
              </w:rPr>
            </w:pPr>
            <w:r w:rsidRPr="002426CF">
              <w:rPr>
                <w:rFonts w:asciiTheme="minorHAnsi" w:hAnsiTheme="minorHAnsi" w:cstheme="minorBidi"/>
                <w:bCs/>
                <w:sz w:val="16"/>
                <w:szCs w:val="16"/>
              </w:rPr>
              <w:t xml:space="preserve">Izrađena baza razvojnog potencijala i </w:t>
            </w:r>
            <w:proofErr w:type="spellStart"/>
            <w:r w:rsidRPr="002426CF">
              <w:rPr>
                <w:rFonts w:asciiTheme="minorHAnsi" w:hAnsiTheme="minorHAnsi" w:cstheme="minorBidi"/>
                <w:bCs/>
                <w:sz w:val="16"/>
                <w:szCs w:val="16"/>
              </w:rPr>
              <w:t>mapirana</w:t>
            </w:r>
            <w:proofErr w:type="spellEnd"/>
            <w:r w:rsidRPr="002426CF">
              <w:rPr>
                <w:rFonts w:asciiTheme="minorHAnsi" w:hAnsiTheme="minorHAnsi" w:cstheme="minorBidi"/>
                <w:bCs/>
                <w:sz w:val="16"/>
                <w:szCs w:val="16"/>
              </w:rPr>
              <w:t xml:space="preserve"> regionalna infrastruktura</w:t>
            </w:r>
          </w:p>
          <w:p w:rsidR="00671FBC" w:rsidRPr="002426CF" w:rsidRDefault="00671FBC" w:rsidP="00671FBC">
            <w:pPr>
              <w:spacing w:after="0" w:line="240" w:lineRule="auto"/>
              <w:jc w:val="both"/>
              <w:rPr>
                <w:rFonts w:asciiTheme="minorHAnsi" w:hAnsiTheme="minorHAnsi" w:cstheme="minorBidi"/>
                <w:bCs/>
                <w:sz w:val="16"/>
                <w:szCs w:val="16"/>
              </w:rPr>
            </w:pPr>
            <w:r w:rsidRPr="002426CF">
              <w:rPr>
                <w:rFonts w:asciiTheme="minorHAnsi" w:hAnsiTheme="minorHAnsi" w:cstheme="minorBidi"/>
                <w:bCs/>
                <w:sz w:val="16"/>
                <w:szCs w:val="16"/>
              </w:rPr>
              <w:t>Broj projekata za razvoj i unaprjeđenje regionalne infrastrukture</w:t>
            </w:r>
          </w:p>
          <w:p w:rsidR="00671FBC" w:rsidRPr="002426CF" w:rsidRDefault="00671FBC" w:rsidP="00671FBC">
            <w:pPr>
              <w:spacing w:after="0" w:line="240" w:lineRule="auto"/>
              <w:jc w:val="both"/>
              <w:rPr>
                <w:rFonts w:asciiTheme="minorHAnsi" w:hAnsiTheme="minorHAnsi" w:cstheme="minorBidi"/>
                <w:bCs/>
                <w:sz w:val="16"/>
                <w:szCs w:val="16"/>
              </w:rPr>
            </w:pPr>
          </w:p>
        </w:tc>
      </w:tr>
      <w:tr w:rsidR="00671FBC" w:rsidRPr="002426CF" w:rsidTr="00671FBC">
        <w:trPr>
          <w:trHeight w:val="826"/>
        </w:trPr>
        <w:tc>
          <w:tcPr>
            <w:tcW w:w="381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71FBC" w:rsidRPr="0097158A" w:rsidRDefault="00671FBC" w:rsidP="00671FBC">
            <w:pPr>
              <w:spacing w:after="0" w:line="240" w:lineRule="auto"/>
              <w:jc w:val="center"/>
              <w:rPr>
                <w:rFonts w:asciiTheme="minorHAnsi" w:hAnsiTheme="minorHAnsi" w:cstheme="minorBidi"/>
                <w:b/>
                <w:bCs/>
                <w:sz w:val="16"/>
                <w:szCs w:val="16"/>
              </w:rPr>
            </w:pPr>
            <w:r w:rsidRPr="0097158A">
              <w:rPr>
                <w:rFonts w:asciiTheme="minorHAnsi" w:hAnsiTheme="minorHAnsi" w:cstheme="minorBidi"/>
                <w:b/>
                <w:bCs/>
                <w:sz w:val="16"/>
                <w:szCs w:val="16"/>
              </w:rPr>
              <w:t>Prioritet 2. Promicanje Republike Hrvatske kao poželjne investicijske destinacije</w:t>
            </w:r>
          </w:p>
        </w:tc>
        <w:tc>
          <w:tcPr>
            <w:tcW w:w="518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671FBC" w:rsidRPr="0097158A" w:rsidRDefault="00671FBC" w:rsidP="00671FBC">
            <w:pPr>
              <w:spacing w:after="0" w:line="240" w:lineRule="auto"/>
              <w:jc w:val="center"/>
              <w:rPr>
                <w:rFonts w:asciiTheme="minorHAnsi" w:hAnsiTheme="minorHAnsi" w:cstheme="minorBidi"/>
                <w:bCs/>
                <w:sz w:val="16"/>
                <w:szCs w:val="16"/>
              </w:rPr>
            </w:pPr>
            <w:r w:rsidRPr="0097158A">
              <w:rPr>
                <w:rFonts w:asciiTheme="minorHAnsi" w:hAnsiTheme="minorHAnsi" w:cstheme="minorBidi"/>
                <w:bCs/>
                <w:sz w:val="16"/>
                <w:szCs w:val="16"/>
              </w:rPr>
              <w:t>Povećanje priljeva izravnih stranih investicija u RH</w:t>
            </w:r>
          </w:p>
          <w:p w:rsidR="00671FBC" w:rsidRPr="0097158A" w:rsidRDefault="00671FBC" w:rsidP="00671FBC">
            <w:pPr>
              <w:spacing w:after="0" w:line="240" w:lineRule="auto"/>
              <w:jc w:val="center"/>
              <w:rPr>
                <w:rFonts w:asciiTheme="minorHAnsi" w:hAnsiTheme="minorHAnsi" w:cstheme="minorBidi"/>
                <w:bCs/>
                <w:sz w:val="16"/>
                <w:szCs w:val="16"/>
              </w:rPr>
            </w:pPr>
            <w:r w:rsidRPr="0097158A">
              <w:rPr>
                <w:rFonts w:asciiTheme="minorHAnsi" w:hAnsiTheme="minorHAnsi" w:cstheme="minorBidi"/>
                <w:bCs/>
                <w:sz w:val="16"/>
                <w:szCs w:val="16"/>
              </w:rPr>
              <w:t>Povećan interes stranih investitora za ulaganje u RH</w:t>
            </w:r>
          </w:p>
          <w:p w:rsidR="00671FBC" w:rsidRPr="0097158A" w:rsidRDefault="00671FBC" w:rsidP="00671FBC">
            <w:pPr>
              <w:spacing w:after="0" w:line="240" w:lineRule="auto"/>
              <w:jc w:val="center"/>
              <w:rPr>
                <w:rFonts w:asciiTheme="minorHAnsi" w:hAnsiTheme="minorHAnsi" w:cstheme="minorBidi"/>
                <w:bCs/>
                <w:sz w:val="16"/>
                <w:szCs w:val="16"/>
              </w:rPr>
            </w:pPr>
          </w:p>
        </w:tc>
        <w:tc>
          <w:tcPr>
            <w:tcW w:w="4915" w:type="dxa"/>
            <w:tcBorders>
              <w:top w:val="single" w:sz="4" w:space="0" w:color="auto"/>
              <w:left w:val="nil"/>
              <w:bottom w:val="single" w:sz="4" w:space="0" w:color="auto"/>
              <w:right w:val="single" w:sz="4" w:space="0" w:color="auto"/>
            </w:tcBorders>
            <w:shd w:val="clear" w:color="auto" w:fill="C6D9F1" w:themeFill="text2" w:themeFillTint="33"/>
            <w:vAlign w:val="center"/>
          </w:tcPr>
          <w:p w:rsidR="00671FBC" w:rsidRPr="0097158A" w:rsidRDefault="00671FBC" w:rsidP="00671FBC">
            <w:pPr>
              <w:spacing w:after="0" w:line="240" w:lineRule="auto"/>
              <w:jc w:val="center"/>
              <w:rPr>
                <w:rFonts w:asciiTheme="minorHAnsi" w:hAnsiTheme="minorHAnsi" w:cstheme="minorBidi"/>
                <w:bCs/>
                <w:sz w:val="16"/>
                <w:szCs w:val="16"/>
              </w:rPr>
            </w:pPr>
            <w:r w:rsidRPr="0097158A">
              <w:rPr>
                <w:rFonts w:asciiTheme="minorHAnsi" w:hAnsiTheme="minorHAnsi" w:cstheme="minorBidi"/>
                <w:bCs/>
                <w:sz w:val="16"/>
                <w:szCs w:val="16"/>
              </w:rPr>
              <w:t>Priljev ISI</w:t>
            </w:r>
          </w:p>
          <w:p w:rsidR="00671FBC" w:rsidRPr="0097158A" w:rsidRDefault="00671FBC" w:rsidP="00671FBC">
            <w:pPr>
              <w:spacing w:after="0" w:line="240" w:lineRule="auto"/>
              <w:jc w:val="center"/>
              <w:rPr>
                <w:rFonts w:asciiTheme="minorHAnsi" w:hAnsiTheme="minorHAnsi" w:cstheme="minorBidi"/>
                <w:bCs/>
                <w:sz w:val="16"/>
                <w:szCs w:val="16"/>
              </w:rPr>
            </w:pPr>
            <w:r w:rsidRPr="0097158A">
              <w:rPr>
                <w:rFonts w:asciiTheme="minorHAnsi" w:hAnsiTheme="minorHAnsi" w:cstheme="minorBidi"/>
                <w:bCs/>
                <w:sz w:val="16"/>
                <w:szCs w:val="16"/>
              </w:rPr>
              <w:t>Broj iskazanih interesa stranih investitora</w:t>
            </w:r>
          </w:p>
          <w:p w:rsidR="00671FBC" w:rsidRPr="0097158A" w:rsidRDefault="00671FBC" w:rsidP="00671FBC">
            <w:pPr>
              <w:spacing w:after="0" w:line="240" w:lineRule="auto"/>
              <w:jc w:val="center"/>
              <w:rPr>
                <w:rFonts w:asciiTheme="minorHAnsi" w:hAnsiTheme="minorHAnsi" w:cstheme="minorBidi"/>
                <w:bCs/>
                <w:sz w:val="16"/>
                <w:szCs w:val="16"/>
              </w:rPr>
            </w:pPr>
          </w:p>
        </w:tc>
      </w:tr>
      <w:tr w:rsidR="00671FBC" w:rsidRPr="002426CF" w:rsidTr="00671FBC">
        <w:trPr>
          <w:trHeight w:val="470"/>
        </w:trPr>
        <w:tc>
          <w:tcPr>
            <w:tcW w:w="3813" w:type="dxa"/>
            <w:tcBorders>
              <w:top w:val="single" w:sz="4" w:space="0" w:color="auto"/>
              <w:left w:val="single" w:sz="4" w:space="0" w:color="auto"/>
              <w:bottom w:val="single" w:sz="4" w:space="0" w:color="000000"/>
              <w:right w:val="single" w:sz="4" w:space="0" w:color="auto"/>
            </w:tcBorders>
            <w:shd w:val="clear" w:color="auto" w:fill="auto"/>
            <w:hideMark/>
          </w:tcPr>
          <w:p w:rsidR="00671FBC" w:rsidRPr="002426CF" w:rsidRDefault="00671FBC" w:rsidP="00671FBC">
            <w:pPr>
              <w:spacing w:after="0" w:line="240" w:lineRule="auto"/>
              <w:jc w:val="both"/>
              <w:rPr>
                <w:rFonts w:asciiTheme="minorHAnsi" w:hAnsiTheme="minorHAnsi" w:cstheme="minorBidi"/>
                <w:bCs/>
                <w:sz w:val="16"/>
                <w:szCs w:val="16"/>
              </w:rPr>
            </w:pPr>
            <w:r w:rsidRPr="002426CF">
              <w:rPr>
                <w:rFonts w:asciiTheme="minorHAnsi" w:hAnsiTheme="minorHAnsi" w:cstheme="minorBidi"/>
                <w:bCs/>
                <w:sz w:val="16"/>
                <w:szCs w:val="16"/>
              </w:rPr>
              <w:t>Mjera 2.1 Izrada i provedba Komunikacijske strategije za poticanje investicija</w:t>
            </w:r>
          </w:p>
        </w:tc>
        <w:tc>
          <w:tcPr>
            <w:tcW w:w="5189" w:type="dxa"/>
            <w:tcBorders>
              <w:top w:val="single" w:sz="4" w:space="0" w:color="auto"/>
              <w:left w:val="nil"/>
              <w:bottom w:val="single" w:sz="4" w:space="0" w:color="auto"/>
              <w:right w:val="single" w:sz="4" w:space="0" w:color="auto"/>
            </w:tcBorders>
            <w:shd w:val="clear" w:color="auto" w:fill="auto"/>
            <w:hideMark/>
          </w:tcPr>
          <w:p w:rsidR="00671FBC" w:rsidRPr="002426CF" w:rsidRDefault="00671FBC" w:rsidP="00671FBC">
            <w:pPr>
              <w:spacing w:after="0" w:line="240" w:lineRule="auto"/>
              <w:jc w:val="both"/>
              <w:rPr>
                <w:rFonts w:asciiTheme="minorHAnsi" w:hAnsiTheme="minorHAnsi" w:cstheme="minorBidi"/>
                <w:bCs/>
                <w:color w:val="000000"/>
                <w:sz w:val="16"/>
                <w:szCs w:val="16"/>
              </w:rPr>
            </w:pPr>
            <w:r w:rsidRPr="002426CF">
              <w:rPr>
                <w:rFonts w:asciiTheme="minorHAnsi" w:hAnsiTheme="minorHAnsi" w:cstheme="minorBidi"/>
                <w:bCs/>
                <w:color w:val="000000"/>
                <w:sz w:val="16"/>
                <w:szCs w:val="16"/>
              </w:rPr>
              <w:t>Izrada i provedba Komunikacijske strategije za poticanje investicija</w:t>
            </w:r>
          </w:p>
        </w:tc>
        <w:tc>
          <w:tcPr>
            <w:tcW w:w="4915" w:type="dxa"/>
            <w:tcBorders>
              <w:top w:val="single" w:sz="4" w:space="0" w:color="auto"/>
              <w:left w:val="nil"/>
              <w:bottom w:val="single" w:sz="4" w:space="0" w:color="auto"/>
              <w:right w:val="single" w:sz="4" w:space="0" w:color="auto"/>
            </w:tcBorders>
          </w:tcPr>
          <w:p w:rsidR="00671FBC" w:rsidRPr="002426CF" w:rsidRDefault="00671FBC" w:rsidP="00671FBC">
            <w:pPr>
              <w:spacing w:after="0" w:line="240" w:lineRule="auto"/>
              <w:jc w:val="both"/>
              <w:rPr>
                <w:rFonts w:asciiTheme="minorHAnsi" w:hAnsiTheme="minorHAnsi" w:cstheme="minorBidi"/>
                <w:bCs/>
                <w:color w:val="000000"/>
                <w:sz w:val="16"/>
                <w:szCs w:val="16"/>
              </w:rPr>
            </w:pPr>
            <w:r w:rsidRPr="002426CF">
              <w:rPr>
                <w:rFonts w:asciiTheme="minorHAnsi" w:hAnsiTheme="minorHAnsi" w:cstheme="minorBidi"/>
                <w:bCs/>
                <w:color w:val="000000"/>
                <w:sz w:val="16"/>
                <w:szCs w:val="16"/>
              </w:rPr>
              <w:t>Izrađena Komunikacijska strategija za poticanje investicija</w:t>
            </w:r>
          </w:p>
          <w:p w:rsidR="00671FBC" w:rsidRPr="002426CF" w:rsidRDefault="00671FBC" w:rsidP="00671FBC">
            <w:pPr>
              <w:spacing w:after="0" w:line="240" w:lineRule="auto"/>
              <w:jc w:val="both"/>
              <w:rPr>
                <w:rFonts w:asciiTheme="minorHAnsi" w:hAnsiTheme="minorHAnsi" w:cstheme="minorBidi"/>
                <w:bCs/>
                <w:color w:val="000000"/>
                <w:sz w:val="16"/>
                <w:szCs w:val="16"/>
              </w:rPr>
            </w:pPr>
            <w:r w:rsidRPr="002426CF">
              <w:rPr>
                <w:rFonts w:asciiTheme="minorHAnsi" w:hAnsiTheme="minorHAnsi" w:cstheme="minorBidi"/>
                <w:bCs/>
                <w:color w:val="000000"/>
                <w:sz w:val="16"/>
                <w:szCs w:val="16"/>
              </w:rPr>
              <w:t xml:space="preserve">Provedene aktivnosti u okviru Akcijskog plana </w:t>
            </w:r>
          </w:p>
          <w:p w:rsidR="00671FBC" w:rsidRPr="002426CF" w:rsidRDefault="00671FBC" w:rsidP="00671FBC">
            <w:pPr>
              <w:spacing w:after="0" w:line="240" w:lineRule="auto"/>
              <w:jc w:val="both"/>
              <w:rPr>
                <w:rFonts w:asciiTheme="minorHAnsi" w:hAnsiTheme="minorHAnsi" w:cstheme="minorBidi"/>
                <w:bCs/>
                <w:color w:val="000000"/>
                <w:sz w:val="16"/>
                <w:szCs w:val="16"/>
              </w:rPr>
            </w:pPr>
          </w:p>
        </w:tc>
      </w:tr>
      <w:tr w:rsidR="00671FBC" w:rsidRPr="002426CF" w:rsidTr="00671FBC">
        <w:trPr>
          <w:trHeight w:val="208"/>
        </w:trPr>
        <w:tc>
          <w:tcPr>
            <w:tcW w:w="3813" w:type="dxa"/>
            <w:tcBorders>
              <w:top w:val="nil"/>
              <w:left w:val="single" w:sz="4" w:space="0" w:color="auto"/>
              <w:bottom w:val="single" w:sz="4" w:space="0" w:color="auto"/>
              <w:right w:val="single" w:sz="4" w:space="0" w:color="auto"/>
            </w:tcBorders>
            <w:shd w:val="clear" w:color="auto" w:fill="auto"/>
            <w:hideMark/>
          </w:tcPr>
          <w:p w:rsidR="00671FBC" w:rsidRPr="002426CF" w:rsidRDefault="00671FBC" w:rsidP="00671FBC">
            <w:pPr>
              <w:spacing w:after="0" w:line="240" w:lineRule="auto"/>
              <w:jc w:val="both"/>
              <w:rPr>
                <w:rFonts w:asciiTheme="minorHAnsi" w:eastAsiaTheme="minorEastAsia" w:hAnsiTheme="minorHAnsi" w:cstheme="minorHAnsi"/>
              </w:rPr>
            </w:pPr>
            <w:r w:rsidRPr="002426CF">
              <w:rPr>
                <w:rFonts w:asciiTheme="minorHAnsi" w:hAnsiTheme="minorHAnsi" w:cstheme="minorBidi"/>
                <w:bCs/>
                <w:sz w:val="16"/>
                <w:szCs w:val="16"/>
              </w:rPr>
              <w:t>Mjera 2.2. Izrada Hrvatskog paketa prednosti i investicijskog profila zemlje po sektorima</w:t>
            </w:r>
            <w:r w:rsidRPr="002426CF">
              <w:rPr>
                <w:rFonts w:asciiTheme="minorHAnsi" w:eastAsiaTheme="minorEastAsia" w:hAnsiTheme="minorHAnsi" w:cstheme="minorHAnsi"/>
              </w:rPr>
              <w:t xml:space="preserve">               </w:t>
            </w:r>
            <w:r w:rsidRPr="002426CF">
              <w:rPr>
                <w:rFonts w:asciiTheme="minorHAnsi" w:eastAsiaTheme="minorEastAsia" w:hAnsiTheme="minorHAnsi" w:cstheme="minorHAnsi"/>
              </w:rPr>
              <w:tab/>
            </w:r>
          </w:p>
          <w:p w:rsidR="00671FBC" w:rsidRPr="002426CF" w:rsidRDefault="00671FBC" w:rsidP="00671FBC">
            <w:pPr>
              <w:spacing w:after="0" w:line="240" w:lineRule="auto"/>
              <w:jc w:val="both"/>
              <w:rPr>
                <w:rFonts w:asciiTheme="minorHAnsi" w:eastAsiaTheme="minorEastAsia" w:hAnsiTheme="minorHAnsi" w:cstheme="minorHAnsi"/>
              </w:rPr>
            </w:pPr>
            <w:r w:rsidRPr="002426CF">
              <w:rPr>
                <w:rFonts w:asciiTheme="minorHAnsi" w:eastAsiaTheme="minorEastAsia" w:hAnsiTheme="minorHAnsi" w:cstheme="minorHAnsi"/>
              </w:rPr>
              <w:t xml:space="preserve">            </w:t>
            </w:r>
          </w:p>
        </w:tc>
        <w:tc>
          <w:tcPr>
            <w:tcW w:w="5189" w:type="dxa"/>
            <w:tcBorders>
              <w:top w:val="nil"/>
              <w:left w:val="nil"/>
              <w:bottom w:val="single" w:sz="4" w:space="0" w:color="auto"/>
              <w:right w:val="single" w:sz="4" w:space="0" w:color="auto"/>
            </w:tcBorders>
            <w:shd w:val="clear" w:color="auto" w:fill="auto"/>
            <w:hideMark/>
          </w:tcPr>
          <w:p w:rsidR="00671FBC" w:rsidRPr="002426CF" w:rsidRDefault="00671FBC" w:rsidP="00671FBC">
            <w:pPr>
              <w:spacing w:after="0" w:line="240" w:lineRule="auto"/>
              <w:jc w:val="both"/>
              <w:rPr>
                <w:rFonts w:asciiTheme="minorHAnsi" w:hAnsiTheme="minorHAnsi" w:cstheme="minorBidi"/>
                <w:bCs/>
                <w:sz w:val="16"/>
                <w:szCs w:val="16"/>
              </w:rPr>
            </w:pPr>
            <w:r w:rsidRPr="002426CF">
              <w:rPr>
                <w:rFonts w:asciiTheme="minorHAnsi" w:hAnsiTheme="minorHAnsi" w:cstheme="minorBidi"/>
                <w:bCs/>
                <w:sz w:val="16"/>
                <w:szCs w:val="16"/>
              </w:rPr>
              <w:t>Izrada brošure Hrvatski paket prednosti i  investicijskih profila zemlje po sektorima i stavljanje istih na WEB</w:t>
            </w:r>
          </w:p>
        </w:tc>
        <w:tc>
          <w:tcPr>
            <w:tcW w:w="4915" w:type="dxa"/>
            <w:tcBorders>
              <w:top w:val="nil"/>
              <w:left w:val="nil"/>
              <w:bottom w:val="single" w:sz="4" w:space="0" w:color="auto"/>
              <w:right w:val="single" w:sz="4" w:space="0" w:color="auto"/>
            </w:tcBorders>
          </w:tcPr>
          <w:p w:rsidR="00671FBC" w:rsidRPr="002426CF" w:rsidRDefault="00671FBC" w:rsidP="00671FBC">
            <w:pPr>
              <w:spacing w:after="0" w:line="240" w:lineRule="auto"/>
              <w:jc w:val="both"/>
              <w:rPr>
                <w:rFonts w:asciiTheme="minorHAnsi" w:hAnsiTheme="minorHAnsi" w:cstheme="minorBidi"/>
                <w:bCs/>
                <w:sz w:val="16"/>
                <w:szCs w:val="16"/>
              </w:rPr>
            </w:pPr>
            <w:r w:rsidRPr="002426CF">
              <w:rPr>
                <w:rFonts w:asciiTheme="minorHAnsi" w:hAnsiTheme="minorHAnsi" w:cstheme="minorBidi"/>
                <w:bCs/>
                <w:sz w:val="16"/>
                <w:szCs w:val="16"/>
              </w:rPr>
              <w:t>Izrađena brošura Hrvatski paket prednosti i investicijski profili zemlje po sektorima i stavljeni isti na WEB</w:t>
            </w:r>
          </w:p>
          <w:p w:rsidR="00671FBC" w:rsidRPr="002426CF" w:rsidRDefault="00671FBC" w:rsidP="00671FBC">
            <w:pPr>
              <w:spacing w:after="0" w:line="240" w:lineRule="auto"/>
              <w:jc w:val="both"/>
              <w:rPr>
                <w:rFonts w:asciiTheme="minorHAnsi" w:hAnsiTheme="minorHAnsi" w:cstheme="minorBidi"/>
                <w:bCs/>
                <w:sz w:val="16"/>
                <w:szCs w:val="16"/>
              </w:rPr>
            </w:pPr>
          </w:p>
          <w:p w:rsidR="00671FBC" w:rsidRPr="002426CF" w:rsidRDefault="00671FBC" w:rsidP="00671FBC">
            <w:pPr>
              <w:spacing w:after="0" w:line="240" w:lineRule="auto"/>
              <w:jc w:val="both"/>
              <w:rPr>
                <w:rFonts w:asciiTheme="minorHAnsi" w:hAnsiTheme="minorHAnsi" w:cstheme="minorBidi"/>
                <w:bCs/>
                <w:sz w:val="16"/>
                <w:szCs w:val="16"/>
              </w:rPr>
            </w:pPr>
          </w:p>
        </w:tc>
      </w:tr>
      <w:tr w:rsidR="00671FBC" w:rsidRPr="002426CF" w:rsidTr="00671FBC">
        <w:trPr>
          <w:trHeight w:val="208"/>
        </w:trPr>
        <w:tc>
          <w:tcPr>
            <w:tcW w:w="3813" w:type="dxa"/>
            <w:tcBorders>
              <w:top w:val="nil"/>
              <w:left w:val="single" w:sz="4" w:space="0" w:color="auto"/>
              <w:bottom w:val="single" w:sz="4" w:space="0" w:color="000000"/>
              <w:right w:val="single" w:sz="4" w:space="0" w:color="auto"/>
            </w:tcBorders>
            <w:shd w:val="clear" w:color="auto" w:fill="auto"/>
            <w:hideMark/>
          </w:tcPr>
          <w:p w:rsidR="00671FBC" w:rsidRPr="002426CF" w:rsidRDefault="00671FBC" w:rsidP="00671FBC">
            <w:pPr>
              <w:spacing w:after="0" w:line="240" w:lineRule="auto"/>
              <w:jc w:val="both"/>
              <w:rPr>
                <w:rFonts w:asciiTheme="minorHAnsi" w:hAnsiTheme="minorHAnsi" w:cstheme="minorBidi"/>
                <w:bCs/>
                <w:sz w:val="16"/>
                <w:szCs w:val="16"/>
              </w:rPr>
            </w:pPr>
            <w:r w:rsidRPr="002426CF">
              <w:rPr>
                <w:rFonts w:asciiTheme="minorHAnsi" w:hAnsiTheme="minorHAnsi" w:cstheme="minorBidi"/>
                <w:bCs/>
                <w:sz w:val="16"/>
                <w:szCs w:val="16"/>
              </w:rPr>
              <w:t xml:space="preserve">Mjera 2.3 Sektorsko </w:t>
            </w:r>
            <w:proofErr w:type="spellStart"/>
            <w:r w:rsidRPr="002426CF">
              <w:rPr>
                <w:rFonts w:asciiTheme="minorHAnsi" w:hAnsiTheme="minorHAnsi" w:cstheme="minorBidi"/>
                <w:bCs/>
                <w:sz w:val="16"/>
                <w:szCs w:val="16"/>
              </w:rPr>
              <w:t>brendiranje</w:t>
            </w:r>
            <w:proofErr w:type="spellEnd"/>
            <w:r w:rsidRPr="002426CF">
              <w:rPr>
                <w:rFonts w:asciiTheme="minorHAnsi" w:hAnsiTheme="minorHAnsi" w:cstheme="minorBidi"/>
                <w:bCs/>
                <w:sz w:val="16"/>
                <w:szCs w:val="16"/>
              </w:rPr>
              <w:t xml:space="preserve"> i </w:t>
            </w:r>
            <w:proofErr w:type="spellStart"/>
            <w:r w:rsidRPr="002426CF">
              <w:rPr>
                <w:rFonts w:asciiTheme="minorHAnsi" w:hAnsiTheme="minorHAnsi" w:cstheme="minorBidi"/>
                <w:bCs/>
                <w:sz w:val="16"/>
                <w:szCs w:val="16"/>
              </w:rPr>
              <w:t>brendiranje</w:t>
            </w:r>
            <w:proofErr w:type="spellEnd"/>
            <w:r w:rsidRPr="002426CF">
              <w:rPr>
                <w:rFonts w:asciiTheme="minorHAnsi" w:hAnsiTheme="minorHAnsi" w:cstheme="minorBidi"/>
                <w:bCs/>
                <w:sz w:val="16"/>
                <w:szCs w:val="16"/>
              </w:rPr>
              <w:t xml:space="preserve"> regija i </w:t>
            </w:r>
            <w:r w:rsidRPr="002426CF">
              <w:rPr>
                <w:rFonts w:asciiTheme="minorHAnsi" w:hAnsiTheme="minorHAnsi" w:cstheme="minorBidi"/>
                <w:bCs/>
                <w:sz w:val="16"/>
                <w:szCs w:val="16"/>
              </w:rPr>
              <w:lastRenderedPageBreak/>
              <w:t>velikih gradova</w:t>
            </w:r>
          </w:p>
          <w:p w:rsidR="00671FBC" w:rsidRPr="002426CF" w:rsidRDefault="00671FBC" w:rsidP="00671FBC">
            <w:pPr>
              <w:spacing w:after="0" w:line="240" w:lineRule="auto"/>
              <w:jc w:val="both"/>
              <w:rPr>
                <w:rFonts w:asciiTheme="minorHAnsi" w:hAnsiTheme="minorHAnsi" w:cstheme="minorBidi"/>
                <w:bCs/>
                <w:sz w:val="16"/>
                <w:szCs w:val="16"/>
              </w:rPr>
            </w:pPr>
          </w:p>
        </w:tc>
        <w:tc>
          <w:tcPr>
            <w:tcW w:w="5189" w:type="dxa"/>
            <w:tcBorders>
              <w:top w:val="nil"/>
              <w:left w:val="nil"/>
              <w:bottom w:val="single" w:sz="4" w:space="0" w:color="auto"/>
              <w:right w:val="single" w:sz="4" w:space="0" w:color="auto"/>
            </w:tcBorders>
            <w:shd w:val="clear" w:color="auto" w:fill="auto"/>
            <w:hideMark/>
          </w:tcPr>
          <w:p w:rsidR="00671FBC" w:rsidRPr="002426CF" w:rsidRDefault="00671FBC" w:rsidP="00671FBC">
            <w:pPr>
              <w:spacing w:after="0" w:line="240" w:lineRule="auto"/>
              <w:jc w:val="both"/>
              <w:rPr>
                <w:rFonts w:asciiTheme="minorHAnsi" w:hAnsiTheme="minorHAnsi" w:cstheme="minorBidi"/>
                <w:bCs/>
                <w:color w:val="000000"/>
                <w:sz w:val="16"/>
                <w:szCs w:val="16"/>
              </w:rPr>
            </w:pPr>
            <w:r w:rsidRPr="002426CF">
              <w:rPr>
                <w:rFonts w:asciiTheme="minorHAnsi" w:hAnsiTheme="minorHAnsi" w:cstheme="minorBidi"/>
                <w:bCs/>
                <w:color w:val="000000"/>
                <w:sz w:val="16"/>
                <w:szCs w:val="16"/>
              </w:rPr>
              <w:lastRenderedPageBreak/>
              <w:t>Povećanje prepoznatljivosti hrvatskih proizvoda, regija i velikih gradova</w:t>
            </w:r>
          </w:p>
          <w:p w:rsidR="00671FBC" w:rsidRPr="002426CF" w:rsidRDefault="00671FBC" w:rsidP="00671FBC">
            <w:pPr>
              <w:spacing w:after="0" w:line="240" w:lineRule="auto"/>
              <w:jc w:val="both"/>
              <w:rPr>
                <w:rFonts w:asciiTheme="minorHAnsi" w:hAnsiTheme="minorHAnsi" w:cstheme="minorBidi"/>
                <w:bCs/>
                <w:color w:val="000000"/>
                <w:sz w:val="16"/>
                <w:szCs w:val="16"/>
              </w:rPr>
            </w:pPr>
          </w:p>
        </w:tc>
        <w:tc>
          <w:tcPr>
            <w:tcW w:w="4915" w:type="dxa"/>
            <w:tcBorders>
              <w:top w:val="nil"/>
              <w:left w:val="nil"/>
              <w:bottom w:val="single" w:sz="4" w:space="0" w:color="auto"/>
              <w:right w:val="single" w:sz="4" w:space="0" w:color="auto"/>
            </w:tcBorders>
          </w:tcPr>
          <w:p w:rsidR="00671FBC" w:rsidRPr="002426CF" w:rsidRDefault="00671FBC" w:rsidP="00671FBC">
            <w:pPr>
              <w:spacing w:after="0" w:line="240" w:lineRule="auto"/>
              <w:jc w:val="both"/>
              <w:rPr>
                <w:rFonts w:asciiTheme="minorHAnsi" w:hAnsiTheme="minorHAnsi" w:cstheme="minorBidi"/>
                <w:bCs/>
                <w:color w:val="000000"/>
                <w:sz w:val="16"/>
                <w:szCs w:val="16"/>
              </w:rPr>
            </w:pPr>
            <w:r w:rsidRPr="002426CF">
              <w:rPr>
                <w:rFonts w:asciiTheme="minorHAnsi" w:hAnsiTheme="minorHAnsi" w:cstheme="minorBidi"/>
                <w:bCs/>
                <w:color w:val="000000"/>
                <w:sz w:val="16"/>
                <w:szCs w:val="16"/>
              </w:rPr>
              <w:lastRenderedPageBreak/>
              <w:t xml:space="preserve">Broj </w:t>
            </w:r>
            <w:proofErr w:type="spellStart"/>
            <w:r w:rsidRPr="002426CF">
              <w:rPr>
                <w:rFonts w:asciiTheme="minorHAnsi" w:hAnsiTheme="minorHAnsi" w:cstheme="minorBidi"/>
                <w:bCs/>
                <w:color w:val="000000"/>
                <w:sz w:val="16"/>
                <w:szCs w:val="16"/>
              </w:rPr>
              <w:t>brendova</w:t>
            </w:r>
            <w:proofErr w:type="spellEnd"/>
            <w:r w:rsidRPr="002426CF">
              <w:rPr>
                <w:rFonts w:asciiTheme="minorHAnsi" w:hAnsiTheme="minorHAnsi" w:cstheme="minorBidi"/>
                <w:bCs/>
                <w:color w:val="000000"/>
                <w:sz w:val="16"/>
                <w:szCs w:val="16"/>
              </w:rPr>
              <w:t xml:space="preserve"> i trgovačkih marki</w:t>
            </w:r>
          </w:p>
          <w:p w:rsidR="00671FBC" w:rsidRPr="002426CF" w:rsidRDefault="00671FBC" w:rsidP="00671FBC">
            <w:pPr>
              <w:spacing w:after="0" w:line="240" w:lineRule="auto"/>
              <w:jc w:val="both"/>
              <w:rPr>
                <w:rFonts w:asciiTheme="minorHAnsi" w:hAnsiTheme="minorHAnsi" w:cstheme="minorBidi"/>
                <w:bCs/>
                <w:color w:val="000000"/>
                <w:sz w:val="16"/>
                <w:szCs w:val="16"/>
              </w:rPr>
            </w:pPr>
            <w:r w:rsidRPr="002426CF">
              <w:rPr>
                <w:rFonts w:asciiTheme="minorHAnsi" w:hAnsiTheme="minorHAnsi" w:cstheme="minorBidi"/>
                <w:bCs/>
                <w:color w:val="000000"/>
                <w:sz w:val="16"/>
                <w:szCs w:val="16"/>
              </w:rPr>
              <w:lastRenderedPageBreak/>
              <w:t xml:space="preserve">Broj </w:t>
            </w:r>
            <w:proofErr w:type="spellStart"/>
            <w:r w:rsidRPr="002426CF">
              <w:rPr>
                <w:rFonts w:asciiTheme="minorHAnsi" w:hAnsiTheme="minorHAnsi" w:cstheme="minorBidi"/>
                <w:bCs/>
                <w:color w:val="000000"/>
                <w:sz w:val="16"/>
                <w:szCs w:val="16"/>
              </w:rPr>
              <w:t>brendiranih</w:t>
            </w:r>
            <w:proofErr w:type="spellEnd"/>
            <w:r w:rsidRPr="002426CF">
              <w:rPr>
                <w:rFonts w:asciiTheme="minorHAnsi" w:hAnsiTheme="minorHAnsi" w:cstheme="minorBidi"/>
                <w:bCs/>
                <w:color w:val="000000"/>
                <w:sz w:val="16"/>
                <w:szCs w:val="16"/>
              </w:rPr>
              <w:t xml:space="preserve"> regija i velikih gradova</w:t>
            </w:r>
          </w:p>
          <w:p w:rsidR="00671FBC" w:rsidRPr="002426CF" w:rsidRDefault="00671FBC" w:rsidP="00671FBC">
            <w:pPr>
              <w:spacing w:after="0" w:line="240" w:lineRule="auto"/>
              <w:jc w:val="both"/>
              <w:rPr>
                <w:rFonts w:asciiTheme="minorHAnsi" w:hAnsiTheme="minorHAnsi" w:cstheme="minorBidi"/>
                <w:bCs/>
                <w:color w:val="000000"/>
                <w:sz w:val="16"/>
                <w:szCs w:val="16"/>
              </w:rPr>
            </w:pPr>
          </w:p>
          <w:p w:rsidR="00671FBC" w:rsidRPr="002426CF" w:rsidRDefault="00671FBC" w:rsidP="00671FBC">
            <w:pPr>
              <w:spacing w:after="0" w:line="240" w:lineRule="auto"/>
              <w:jc w:val="both"/>
              <w:rPr>
                <w:rFonts w:asciiTheme="minorHAnsi" w:hAnsiTheme="minorHAnsi" w:cstheme="minorBidi"/>
                <w:bCs/>
                <w:color w:val="000000"/>
                <w:sz w:val="16"/>
                <w:szCs w:val="16"/>
              </w:rPr>
            </w:pPr>
          </w:p>
        </w:tc>
      </w:tr>
      <w:tr w:rsidR="00671FBC" w:rsidRPr="002426CF" w:rsidTr="00671FBC">
        <w:trPr>
          <w:trHeight w:val="208"/>
        </w:trPr>
        <w:tc>
          <w:tcPr>
            <w:tcW w:w="3813" w:type="dxa"/>
            <w:tcBorders>
              <w:top w:val="nil"/>
              <w:left w:val="single" w:sz="4" w:space="0" w:color="auto"/>
              <w:bottom w:val="single" w:sz="4" w:space="0" w:color="auto"/>
              <w:right w:val="single" w:sz="4" w:space="0" w:color="auto"/>
            </w:tcBorders>
            <w:shd w:val="clear" w:color="auto" w:fill="auto"/>
            <w:hideMark/>
          </w:tcPr>
          <w:p w:rsidR="00671FBC" w:rsidRPr="002426CF" w:rsidRDefault="00671FBC" w:rsidP="00671FBC">
            <w:pPr>
              <w:spacing w:after="0" w:line="240" w:lineRule="auto"/>
              <w:jc w:val="both"/>
              <w:rPr>
                <w:rFonts w:asciiTheme="minorHAnsi" w:hAnsiTheme="minorHAnsi" w:cstheme="minorBidi"/>
                <w:bCs/>
                <w:sz w:val="16"/>
                <w:szCs w:val="16"/>
              </w:rPr>
            </w:pPr>
            <w:r w:rsidRPr="002426CF">
              <w:rPr>
                <w:rFonts w:asciiTheme="minorHAnsi" w:hAnsiTheme="minorHAnsi" w:cstheme="minorBidi"/>
                <w:bCs/>
                <w:sz w:val="16"/>
                <w:szCs w:val="16"/>
              </w:rPr>
              <w:lastRenderedPageBreak/>
              <w:t>Mjera 2.4 Jačanje uloge gospodarske diplomacije u privlačenju investicija</w:t>
            </w:r>
          </w:p>
          <w:p w:rsidR="00671FBC" w:rsidRPr="002426CF" w:rsidRDefault="00671FBC" w:rsidP="00671FBC">
            <w:pPr>
              <w:spacing w:after="0" w:line="240" w:lineRule="auto"/>
              <w:jc w:val="both"/>
              <w:rPr>
                <w:rFonts w:asciiTheme="minorHAnsi" w:hAnsiTheme="minorHAnsi" w:cstheme="minorBidi"/>
                <w:bCs/>
                <w:sz w:val="16"/>
                <w:szCs w:val="16"/>
              </w:rPr>
            </w:pPr>
          </w:p>
        </w:tc>
        <w:tc>
          <w:tcPr>
            <w:tcW w:w="5189" w:type="dxa"/>
            <w:tcBorders>
              <w:top w:val="nil"/>
              <w:left w:val="nil"/>
              <w:bottom w:val="single" w:sz="4" w:space="0" w:color="auto"/>
              <w:right w:val="single" w:sz="4" w:space="0" w:color="auto"/>
            </w:tcBorders>
            <w:shd w:val="clear" w:color="auto" w:fill="auto"/>
            <w:hideMark/>
          </w:tcPr>
          <w:p w:rsidR="00671FBC" w:rsidRPr="002426CF" w:rsidRDefault="00671FBC" w:rsidP="00671FBC">
            <w:pPr>
              <w:spacing w:after="0" w:line="240" w:lineRule="auto"/>
              <w:jc w:val="both"/>
              <w:rPr>
                <w:rFonts w:asciiTheme="minorHAnsi" w:hAnsiTheme="minorHAnsi" w:cstheme="minorBidi"/>
                <w:bCs/>
                <w:sz w:val="16"/>
                <w:szCs w:val="16"/>
              </w:rPr>
            </w:pPr>
            <w:r w:rsidRPr="002426CF">
              <w:rPr>
                <w:rFonts w:asciiTheme="minorHAnsi" w:hAnsiTheme="minorHAnsi" w:cstheme="minorBidi"/>
                <w:bCs/>
                <w:sz w:val="16"/>
                <w:szCs w:val="16"/>
              </w:rPr>
              <w:t>Povećanje interesa stranih investitora u inozemstvu</w:t>
            </w:r>
          </w:p>
        </w:tc>
        <w:tc>
          <w:tcPr>
            <w:tcW w:w="4915" w:type="dxa"/>
            <w:tcBorders>
              <w:top w:val="nil"/>
              <w:left w:val="nil"/>
              <w:bottom w:val="single" w:sz="4" w:space="0" w:color="auto"/>
              <w:right w:val="single" w:sz="4" w:space="0" w:color="auto"/>
            </w:tcBorders>
          </w:tcPr>
          <w:p w:rsidR="00671FBC" w:rsidRPr="002426CF" w:rsidRDefault="00671FBC" w:rsidP="00671FBC">
            <w:pPr>
              <w:spacing w:after="0" w:line="240" w:lineRule="auto"/>
              <w:jc w:val="both"/>
              <w:rPr>
                <w:rFonts w:asciiTheme="minorHAnsi" w:hAnsiTheme="minorHAnsi" w:cstheme="minorBidi"/>
                <w:bCs/>
                <w:color w:val="000000"/>
                <w:sz w:val="16"/>
                <w:szCs w:val="16"/>
              </w:rPr>
            </w:pPr>
            <w:r w:rsidRPr="002426CF">
              <w:rPr>
                <w:rFonts w:asciiTheme="minorHAnsi" w:hAnsiTheme="minorHAnsi" w:cstheme="minorBidi"/>
                <w:bCs/>
                <w:color w:val="000000"/>
                <w:sz w:val="16"/>
                <w:szCs w:val="16"/>
              </w:rPr>
              <w:t xml:space="preserve">Broj </w:t>
            </w:r>
            <w:r>
              <w:rPr>
                <w:rFonts w:asciiTheme="minorHAnsi" w:hAnsiTheme="minorHAnsi" w:cstheme="minorBidi"/>
                <w:bCs/>
                <w:color w:val="000000"/>
                <w:sz w:val="16"/>
                <w:szCs w:val="16"/>
              </w:rPr>
              <w:t>stranih tvrtki s iskazanim interesom za investiranje u RH</w:t>
            </w:r>
          </w:p>
          <w:p w:rsidR="00671FBC" w:rsidRPr="002426CF" w:rsidRDefault="00671FBC" w:rsidP="00671FBC">
            <w:pPr>
              <w:spacing w:after="0" w:line="240" w:lineRule="auto"/>
              <w:jc w:val="both"/>
              <w:rPr>
                <w:rFonts w:asciiTheme="minorHAnsi" w:hAnsiTheme="minorHAnsi" w:cstheme="minorBidi"/>
                <w:bCs/>
                <w:color w:val="000000"/>
                <w:sz w:val="16"/>
                <w:szCs w:val="16"/>
              </w:rPr>
            </w:pPr>
          </w:p>
          <w:p w:rsidR="00671FBC" w:rsidRPr="002426CF" w:rsidRDefault="00671FBC" w:rsidP="00671FBC">
            <w:pPr>
              <w:spacing w:after="0" w:line="240" w:lineRule="auto"/>
              <w:jc w:val="both"/>
              <w:rPr>
                <w:rFonts w:asciiTheme="minorHAnsi" w:hAnsiTheme="minorHAnsi" w:cstheme="minorBidi"/>
                <w:bCs/>
                <w:color w:val="000000"/>
                <w:sz w:val="16"/>
                <w:szCs w:val="16"/>
              </w:rPr>
            </w:pPr>
          </w:p>
          <w:p w:rsidR="00671FBC" w:rsidRPr="002426CF" w:rsidRDefault="00671FBC" w:rsidP="00671FBC">
            <w:pPr>
              <w:spacing w:after="0" w:line="240" w:lineRule="auto"/>
              <w:jc w:val="both"/>
              <w:rPr>
                <w:rFonts w:asciiTheme="minorHAnsi" w:hAnsiTheme="minorHAnsi" w:cstheme="minorBidi"/>
                <w:bCs/>
                <w:color w:val="000000"/>
                <w:sz w:val="16"/>
                <w:szCs w:val="16"/>
              </w:rPr>
            </w:pPr>
          </w:p>
        </w:tc>
      </w:tr>
      <w:tr w:rsidR="00671FBC" w:rsidRPr="002426CF" w:rsidTr="00671FBC">
        <w:trPr>
          <w:trHeight w:val="843"/>
        </w:trPr>
        <w:tc>
          <w:tcPr>
            <w:tcW w:w="381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71FBC" w:rsidRPr="0097158A" w:rsidRDefault="00671FBC" w:rsidP="00671FBC">
            <w:pPr>
              <w:spacing w:after="0" w:line="240" w:lineRule="auto"/>
              <w:jc w:val="center"/>
              <w:rPr>
                <w:rFonts w:asciiTheme="minorHAnsi" w:hAnsiTheme="minorHAnsi" w:cstheme="minorBidi"/>
                <w:b/>
                <w:bCs/>
                <w:sz w:val="16"/>
                <w:szCs w:val="16"/>
              </w:rPr>
            </w:pPr>
            <w:r w:rsidRPr="0097158A">
              <w:rPr>
                <w:rFonts w:asciiTheme="minorHAnsi" w:hAnsiTheme="minorHAnsi" w:cstheme="minorBidi"/>
                <w:b/>
                <w:bCs/>
                <w:sz w:val="16"/>
                <w:szCs w:val="16"/>
              </w:rPr>
              <w:t>Prioritet 3. Ciljano privlačenje investicija</w:t>
            </w:r>
          </w:p>
        </w:tc>
        <w:tc>
          <w:tcPr>
            <w:tcW w:w="518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671FBC" w:rsidRPr="0097158A" w:rsidRDefault="00671FBC" w:rsidP="00671FBC">
            <w:pPr>
              <w:spacing w:after="0" w:line="240" w:lineRule="auto"/>
              <w:jc w:val="center"/>
              <w:rPr>
                <w:rFonts w:asciiTheme="minorHAnsi" w:hAnsiTheme="minorHAnsi" w:cstheme="minorBidi"/>
                <w:bCs/>
                <w:color w:val="000000"/>
                <w:sz w:val="16"/>
                <w:szCs w:val="16"/>
              </w:rPr>
            </w:pPr>
            <w:r w:rsidRPr="0097158A">
              <w:rPr>
                <w:rFonts w:asciiTheme="minorHAnsi" w:hAnsiTheme="minorHAnsi" w:cstheme="minorBidi"/>
                <w:bCs/>
                <w:color w:val="000000"/>
                <w:sz w:val="16"/>
                <w:szCs w:val="16"/>
              </w:rPr>
              <w:t>Povećanje priljeva ISI</w:t>
            </w:r>
          </w:p>
          <w:p w:rsidR="00671FBC" w:rsidRPr="0097158A" w:rsidRDefault="00671FBC" w:rsidP="00671FBC">
            <w:pPr>
              <w:spacing w:after="0" w:line="240" w:lineRule="auto"/>
              <w:jc w:val="center"/>
              <w:rPr>
                <w:rFonts w:asciiTheme="minorHAnsi" w:hAnsiTheme="minorHAnsi" w:cstheme="minorBidi"/>
                <w:bCs/>
                <w:color w:val="000000"/>
                <w:sz w:val="16"/>
                <w:szCs w:val="16"/>
              </w:rPr>
            </w:pPr>
            <w:r w:rsidRPr="0097158A">
              <w:rPr>
                <w:rFonts w:asciiTheme="minorHAnsi" w:hAnsiTheme="minorHAnsi" w:cstheme="minorBidi"/>
                <w:bCs/>
                <w:color w:val="000000"/>
                <w:sz w:val="16"/>
                <w:szCs w:val="16"/>
              </w:rPr>
              <w:t xml:space="preserve">Povećanje udjela </w:t>
            </w:r>
            <w:proofErr w:type="spellStart"/>
            <w:r w:rsidRPr="0097158A">
              <w:rPr>
                <w:rFonts w:asciiTheme="minorHAnsi" w:hAnsiTheme="minorHAnsi" w:cstheme="minorBidi"/>
                <w:bCs/>
                <w:color w:val="000000"/>
                <w:sz w:val="16"/>
                <w:szCs w:val="16"/>
              </w:rPr>
              <w:t>Greenfield</w:t>
            </w:r>
            <w:proofErr w:type="spellEnd"/>
            <w:r w:rsidRPr="0097158A">
              <w:rPr>
                <w:rFonts w:asciiTheme="minorHAnsi" w:hAnsiTheme="minorHAnsi" w:cstheme="minorBidi"/>
                <w:bCs/>
                <w:color w:val="000000"/>
                <w:sz w:val="16"/>
                <w:szCs w:val="16"/>
              </w:rPr>
              <w:t xml:space="preserve"> investicija u ukupnim investicijama</w:t>
            </w:r>
          </w:p>
        </w:tc>
        <w:tc>
          <w:tcPr>
            <w:tcW w:w="4915" w:type="dxa"/>
            <w:tcBorders>
              <w:top w:val="single" w:sz="4" w:space="0" w:color="auto"/>
              <w:left w:val="nil"/>
              <w:bottom w:val="single" w:sz="4" w:space="0" w:color="auto"/>
              <w:right w:val="single" w:sz="4" w:space="0" w:color="auto"/>
            </w:tcBorders>
            <w:shd w:val="clear" w:color="auto" w:fill="C6D9F1" w:themeFill="text2" w:themeFillTint="33"/>
            <w:vAlign w:val="center"/>
          </w:tcPr>
          <w:p w:rsidR="00671FBC" w:rsidRPr="0097158A" w:rsidRDefault="00671FBC" w:rsidP="00671FBC">
            <w:pPr>
              <w:spacing w:after="0" w:line="240" w:lineRule="auto"/>
              <w:jc w:val="center"/>
              <w:rPr>
                <w:rFonts w:asciiTheme="minorHAnsi" w:hAnsiTheme="minorHAnsi" w:cstheme="minorBidi"/>
                <w:bCs/>
                <w:color w:val="000000"/>
                <w:sz w:val="16"/>
                <w:szCs w:val="16"/>
              </w:rPr>
            </w:pPr>
            <w:r w:rsidRPr="0097158A">
              <w:rPr>
                <w:rFonts w:asciiTheme="minorHAnsi" w:hAnsiTheme="minorHAnsi" w:cstheme="minorBidi"/>
                <w:bCs/>
                <w:color w:val="000000"/>
                <w:sz w:val="16"/>
                <w:szCs w:val="16"/>
              </w:rPr>
              <w:t>Priljev ISI</w:t>
            </w:r>
          </w:p>
          <w:p w:rsidR="00671FBC" w:rsidRPr="0097158A" w:rsidRDefault="00671FBC" w:rsidP="00671FBC">
            <w:pPr>
              <w:spacing w:after="0" w:line="240" w:lineRule="auto"/>
              <w:jc w:val="center"/>
              <w:rPr>
                <w:rFonts w:asciiTheme="minorHAnsi" w:hAnsiTheme="minorHAnsi" w:cstheme="minorBidi"/>
                <w:bCs/>
                <w:color w:val="000000"/>
                <w:sz w:val="16"/>
                <w:szCs w:val="16"/>
              </w:rPr>
            </w:pPr>
            <w:r w:rsidRPr="0097158A">
              <w:rPr>
                <w:rFonts w:asciiTheme="minorHAnsi" w:hAnsiTheme="minorHAnsi" w:cstheme="minorBidi"/>
                <w:bCs/>
                <w:color w:val="000000"/>
                <w:sz w:val="16"/>
                <w:szCs w:val="16"/>
              </w:rPr>
              <w:t xml:space="preserve">Udio </w:t>
            </w:r>
            <w:proofErr w:type="spellStart"/>
            <w:r w:rsidRPr="0097158A">
              <w:rPr>
                <w:rFonts w:asciiTheme="minorHAnsi" w:hAnsiTheme="minorHAnsi" w:cstheme="minorBidi"/>
                <w:bCs/>
                <w:color w:val="000000"/>
                <w:sz w:val="16"/>
                <w:szCs w:val="16"/>
              </w:rPr>
              <w:t>Greenfield</w:t>
            </w:r>
            <w:proofErr w:type="spellEnd"/>
            <w:r w:rsidRPr="0097158A">
              <w:rPr>
                <w:rFonts w:asciiTheme="minorHAnsi" w:hAnsiTheme="minorHAnsi" w:cstheme="minorBidi"/>
                <w:bCs/>
                <w:color w:val="000000"/>
                <w:sz w:val="16"/>
                <w:szCs w:val="16"/>
              </w:rPr>
              <w:t xml:space="preserve"> investicija u ukupnim investicijama</w:t>
            </w:r>
          </w:p>
        </w:tc>
      </w:tr>
      <w:tr w:rsidR="00671FBC" w:rsidRPr="002426CF" w:rsidTr="00671FBC">
        <w:trPr>
          <w:trHeight w:val="208"/>
        </w:trPr>
        <w:tc>
          <w:tcPr>
            <w:tcW w:w="3813" w:type="dxa"/>
            <w:tcBorders>
              <w:top w:val="single" w:sz="4" w:space="0" w:color="auto"/>
              <w:left w:val="single" w:sz="4" w:space="0" w:color="auto"/>
              <w:bottom w:val="single" w:sz="4" w:space="0" w:color="000000"/>
              <w:right w:val="single" w:sz="4" w:space="0" w:color="auto"/>
            </w:tcBorders>
            <w:shd w:val="clear" w:color="auto" w:fill="auto"/>
            <w:hideMark/>
          </w:tcPr>
          <w:p w:rsidR="00671FBC" w:rsidRPr="002426CF" w:rsidRDefault="00671FBC" w:rsidP="00671FBC">
            <w:pPr>
              <w:spacing w:after="0" w:line="240" w:lineRule="auto"/>
              <w:jc w:val="both"/>
              <w:rPr>
                <w:rFonts w:asciiTheme="minorHAnsi" w:hAnsiTheme="minorHAnsi" w:cstheme="minorBidi"/>
                <w:bCs/>
                <w:sz w:val="16"/>
                <w:szCs w:val="16"/>
              </w:rPr>
            </w:pPr>
            <w:r w:rsidRPr="002426CF">
              <w:rPr>
                <w:rFonts w:asciiTheme="minorHAnsi" w:hAnsiTheme="minorHAnsi" w:cstheme="minorBidi"/>
                <w:bCs/>
                <w:sz w:val="16"/>
                <w:szCs w:val="16"/>
              </w:rPr>
              <w:t>Mjera 3.1. Izrada i provedb</w:t>
            </w:r>
            <w:r>
              <w:rPr>
                <w:rFonts w:asciiTheme="minorHAnsi" w:hAnsiTheme="minorHAnsi" w:cstheme="minorBidi"/>
                <w:bCs/>
                <w:sz w:val="16"/>
                <w:szCs w:val="16"/>
              </w:rPr>
              <w:t xml:space="preserve">a plana privlačenja </w:t>
            </w:r>
            <w:proofErr w:type="spellStart"/>
            <w:r w:rsidRPr="005C0A19">
              <w:rPr>
                <w:rFonts w:asciiTheme="minorHAnsi" w:hAnsiTheme="minorHAnsi" w:cstheme="minorBidi"/>
                <w:bCs/>
                <w:i/>
                <w:sz w:val="16"/>
                <w:szCs w:val="16"/>
              </w:rPr>
              <w:t>greenfield</w:t>
            </w:r>
            <w:proofErr w:type="spellEnd"/>
            <w:r w:rsidRPr="002426CF">
              <w:rPr>
                <w:rFonts w:asciiTheme="minorHAnsi" w:hAnsiTheme="minorHAnsi" w:cstheme="minorBidi"/>
                <w:bCs/>
                <w:sz w:val="16"/>
                <w:szCs w:val="16"/>
              </w:rPr>
              <w:t xml:space="preserve"> investicija u izvozno-</w:t>
            </w:r>
            <w:proofErr w:type="spellStart"/>
            <w:r w:rsidRPr="002426CF">
              <w:rPr>
                <w:rFonts w:asciiTheme="minorHAnsi" w:hAnsiTheme="minorHAnsi" w:cstheme="minorBidi"/>
                <w:bCs/>
                <w:sz w:val="16"/>
                <w:szCs w:val="16"/>
              </w:rPr>
              <w:t>orjentirane</w:t>
            </w:r>
            <w:proofErr w:type="spellEnd"/>
            <w:r w:rsidRPr="002426CF">
              <w:rPr>
                <w:rFonts w:asciiTheme="minorHAnsi" w:hAnsiTheme="minorHAnsi" w:cstheme="minorBidi"/>
                <w:bCs/>
                <w:sz w:val="16"/>
                <w:szCs w:val="16"/>
              </w:rPr>
              <w:t xml:space="preserve"> sektore i turizam</w:t>
            </w:r>
          </w:p>
        </w:tc>
        <w:tc>
          <w:tcPr>
            <w:tcW w:w="5189" w:type="dxa"/>
            <w:tcBorders>
              <w:top w:val="single" w:sz="4" w:space="0" w:color="auto"/>
              <w:left w:val="nil"/>
              <w:bottom w:val="single" w:sz="4" w:space="0" w:color="auto"/>
              <w:right w:val="single" w:sz="4" w:space="0" w:color="auto"/>
            </w:tcBorders>
            <w:shd w:val="clear" w:color="auto" w:fill="auto"/>
            <w:hideMark/>
          </w:tcPr>
          <w:p w:rsidR="00671FBC" w:rsidRPr="002426CF" w:rsidRDefault="00671FBC" w:rsidP="00671FBC">
            <w:pPr>
              <w:spacing w:after="0" w:line="240" w:lineRule="auto"/>
              <w:jc w:val="both"/>
              <w:rPr>
                <w:rFonts w:asciiTheme="minorHAnsi" w:hAnsiTheme="minorHAnsi" w:cstheme="minorBidi"/>
                <w:bCs/>
                <w:color w:val="000000"/>
                <w:sz w:val="16"/>
                <w:szCs w:val="16"/>
              </w:rPr>
            </w:pPr>
            <w:r w:rsidRPr="002426CF">
              <w:rPr>
                <w:rFonts w:asciiTheme="minorHAnsi" w:hAnsiTheme="minorHAnsi" w:cstheme="minorBidi"/>
                <w:bCs/>
                <w:color w:val="000000"/>
                <w:sz w:val="16"/>
                <w:szCs w:val="16"/>
              </w:rPr>
              <w:t xml:space="preserve">Povećanje </w:t>
            </w:r>
            <w:proofErr w:type="spellStart"/>
            <w:r w:rsidRPr="005C0A19">
              <w:rPr>
                <w:rFonts w:asciiTheme="minorHAnsi" w:hAnsiTheme="minorHAnsi" w:cstheme="minorBidi"/>
                <w:bCs/>
                <w:i/>
                <w:color w:val="000000"/>
                <w:sz w:val="16"/>
                <w:szCs w:val="16"/>
              </w:rPr>
              <w:t>greenfield</w:t>
            </w:r>
            <w:proofErr w:type="spellEnd"/>
            <w:r w:rsidRPr="002426CF">
              <w:rPr>
                <w:rFonts w:asciiTheme="minorHAnsi" w:hAnsiTheme="minorHAnsi" w:cstheme="minorBidi"/>
                <w:bCs/>
                <w:color w:val="000000"/>
                <w:sz w:val="16"/>
                <w:szCs w:val="16"/>
              </w:rPr>
              <w:t xml:space="preserve"> investicija u izvozno-</w:t>
            </w:r>
            <w:proofErr w:type="spellStart"/>
            <w:r w:rsidRPr="002426CF">
              <w:rPr>
                <w:rFonts w:asciiTheme="minorHAnsi" w:hAnsiTheme="minorHAnsi" w:cstheme="minorBidi"/>
                <w:bCs/>
                <w:color w:val="000000"/>
                <w:sz w:val="16"/>
                <w:szCs w:val="16"/>
              </w:rPr>
              <w:t>orjentirane</w:t>
            </w:r>
            <w:proofErr w:type="spellEnd"/>
            <w:r w:rsidRPr="002426CF">
              <w:rPr>
                <w:rFonts w:asciiTheme="minorHAnsi" w:hAnsiTheme="minorHAnsi" w:cstheme="minorBidi"/>
                <w:bCs/>
                <w:color w:val="000000"/>
                <w:sz w:val="16"/>
                <w:szCs w:val="16"/>
              </w:rPr>
              <w:t xml:space="preserve"> sektore i turizam</w:t>
            </w:r>
          </w:p>
        </w:tc>
        <w:tc>
          <w:tcPr>
            <w:tcW w:w="4915" w:type="dxa"/>
            <w:tcBorders>
              <w:top w:val="single" w:sz="4" w:space="0" w:color="auto"/>
              <w:left w:val="nil"/>
              <w:bottom w:val="single" w:sz="4" w:space="0" w:color="auto"/>
              <w:right w:val="single" w:sz="4" w:space="0" w:color="auto"/>
            </w:tcBorders>
            <w:shd w:val="clear" w:color="auto" w:fill="auto"/>
          </w:tcPr>
          <w:p w:rsidR="00671FBC" w:rsidRPr="002426CF" w:rsidRDefault="00671FBC" w:rsidP="00671FBC">
            <w:pPr>
              <w:spacing w:line="288" w:lineRule="auto"/>
              <w:jc w:val="both"/>
              <w:rPr>
                <w:rFonts w:asciiTheme="minorHAnsi" w:eastAsiaTheme="minorEastAsia" w:hAnsiTheme="minorHAnsi" w:cstheme="minorHAnsi"/>
                <w:sz w:val="16"/>
                <w:szCs w:val="16"/>
              </w:rPr>
            </w:pPr>
            <w:r w:rsidRPr="002426CF">
              <w:rPr>
                <w:rFonts w:asciiTheme="minorHAnsi" w:eastAsiaTheme="minorEastAsia" w:hAnsiTheme="minorHAnsi" w:cstheme="minorHAnsi"/>
                <w:sz w:val="16"/>
                <w:szCs w:val="16"/>
              </w:rPr>
              <w:t xml:space="preserve">Izrađen Program privlačenja </w:t>
            </w:r>
            <w:proofErr w:type="spellStart"/>
            <w:r w:rsidRPr="005C0A19">
              <w:rPr>
                <w:rFonts w:asciiTheme="minorHAnsi" w:eastAsiaTheme="minorEastAsia" w:hAnsiTheme="minorHAnsi" w:cstheme="minorHAnsi"/>
                <w:i/>
                <w:sz w:val="16"/>
                <w:szCs w:val="16"/>
              </w:rPr>
              <w:t>greenfield</w:t>
            </w:r>
            <w:proofErr w:type="spellEnd"/>
            <w:r w:rsidRPr="002426CF">
              <w:rPr>
                <w:rFonts w:asciiTheme="minorHAnsi" w:eastAsiaTheme="minorEastAsia" w:hAnsiTheme="minorHAnsi" w:cstheme="minorHAnsi"/>
                <w:sz w:val="16"/>
                <w:szCs w:val="16"/>
              </w:rPr>
              <w:t xml:space="preserve"> investicija u izvozno-orijentirane sektore i turizam</w:t>
            </w:r>
          </w:p>
          <w:p w:rsidR="00671FBC" w:rsidRPr="002426CF" w:rsidRDefault="00671FBC" w:rsidP="00671FBC">
            <w:pPr>
              <w:spacing w:line="288" w:lineRule="auto"/>
              <w:jc w:val="both"/>
              <w:rPr>
                <w:rFonts w:asciiTheme="minorHAnsi" w:eastAsiaTheme="minorEastAsia" w:hAnsiTheme="minorHAnsi" w:cstheme="minorHAnsi"/>
                <w:sz w:val="16"/>
                <w:szCs w:val="16"/>
              </w:rPr>
            </w:pPr>
            <w:r w:rsidRPr="002426CF">
              <w:rPr>
                <w:rFonts w:asciiTheme="minorHAnsi" w:eastAsiaTheme="minorEastAsia" w:hAnsiTheme="minorHAnsi" w:cstheme="minorHAnsi"/>
                <w:sz w:val="16"/>
                <w:szCs w:val="16"/>
              </w:rPr>
              <w:t xml:space="preserve">Broj realiziranih </w:t>
            </w:r>
            <w:proofErr w:type="spellStart"/>
            <w:r w:rsidRPr="005C0A19">
              <w:rPr>
                <w:rFonts w:asciiTheme="minorHAnsi" w:eastAsiaTheme="minorEastAsia" w:hAnsiTheme="minorHAnsi" w:cstheme="minorHAnsi"/>
                <w:i/>
                <w:sz w:val="16"/>
                <w:szCs w:val="16"/>
              </w:rPr>
              <w:t>greenfield</w:t>
            </w:r>
            <w:proofErr w:type="spellEnd"/>
            <w:r w:rsidRPr="002426CF">
              <w:rPr>
                <w:rFonts w:asciiTheme="minorHAnsi" w:eastAsiaTheme="minorEastAsia" w:hAnsiTheme="minorHAnsi" w:cstheme="minorHAnsi"/>
                <w:sz w:val="16"/>
                <w:szCs w:val="16"/>
              </w:rPr>
              <w:t xml:space="preserve"> investicijskih projekata u izvozno-orijentirane sektore i turizam</w:t>
            </w:r>
          </w:p>
          <w:p w:rsidR="00671FBC" w:rsidRPr="002426CF" w:rsidRDefault="00671FBC" w:rsidP="00671FBC">
            <w:pPr>
              <w:spacing w:after="0" w:line="240" w:lineRule="auto"/>
              <w:jc w:val="both"/>
              <w:rPr>
                <w:rFonts w:asciiTheme="minorHAnsi" w:hAnsiTheme="minorHAnsi" w:cstheme="minorBidi"/>
                <w:bCs/>
                <w:color w:val="000000"/>
                <w:sz w:val="16"/>
                <w:szCs w:val="16"/>
              </w:rPr>
            </w:pPr>
            <w:proofErr w:type="spellStart"/>
            <w:r w:rsidRPr="005C0A19">
              <w:rPr>
                <w:rFonts w:asciiTheme="minorHAnsi" w:hAnsiTheme="minorHAnsi" w:cstheme="minorBidi"/>
                <w:bCs/>
                <w:i/>
                <w:color w:val="000000"/>
                <w:sz w:val="16"/>
                <w:szCs w:val="16"/>
              </w:rPr>
              <w:t>Greenfield</w:t>
            </w:r>
            <w:proofErr w:type="spellEnd"/>
            <w:r w:rsidRPr="002426CF">
              <w:rPr>
                <w:rFonts w:asciiTheme="minorHAnsi" w:hAnsiTheme="minorHAnsi" w:cstheme="minorBidi"/>
                <w:bCs/>
                <w:color w:val="000000"/>
                <w:sz w:val="16"/>
                <w:szCs w:val="16"/>
              </w:rPr>
              <w:t xml:space="preserve"> investicije u izvozno-</w:t>
            </w:r>
            <w:proofErr w:type="spellStart"/>
            <w:r w:rsidRPr="002426CF">
              <w:rPr>
                <w:rFonts w:asciiTheme="minorHAnsi" w:hAnsiTheme="minorHAnsi" w:cstheme="minorBidi"/>
                <w:bCs/>
                <w:color w:val="000000"/>
                <w:sz w:val="16"/>
                <w:szCs w:val="16"/>
              </w:rPr>
              <w:t>orjentirane</w:t>
            </w:r>
            <w:proofErr w:type="spellEnd"/>
            <w:r w:rsidRPr="002426CF">
              <w:rPr>
                <w:rFonts w:asciiTheme="minorHAnsi" w:hAnsiTheme="minorHAnsi" w:cstheme="minorBidi"/>
                <w:bCs/>
                <w:color w:val="000000"/>
                <w:sz w:val="16"/>
                <w:szCs w:val="16"/>
              </w:rPr>
              <w:t xml:space="preserve"> sektore i turizam</w:t>
            </w:r>
          </w:p>
        </w:tc>
      </w:tr>
      <w:tr w:rsidR="00671FBC" w:rsidRPr="002426CF" w:rsidTr="00671FBC">
        <w:trPr>
          <w:trHeight w:val="208"/>
        </w:trPr>
        <w:tc>
          <w:tcPr>
            <w:tcW w:w="3813" w:type="dxa"/>
            <w:tcBorders>
              <w:top w:val="nil"/>
              <w:left w:val="single" w:sz="4" w:space="0" w:color="auto"/>
              <w:bottom w:val="single" w:sz="4" w:space="0" w:color="000000"/>
              <w:right w:val="single" w:sz="4" w:space="0" w:color="auto"/>
            </w:tcBorders>
            <w:shd w:val="clear" w:color="auto" w:fill="auto"/>
            <w:hideMark/>
          </w:tcPr>
          <w:p w:rsidR="00671FBC" w:rsidRPr="002426CF" w:rsidRDefault="00671FBC" w:rsidP="00671FBC">
            <w:pPr>
              <w:spacing w:after="0" w:line="240" w:lineRule="auto"/>
              <w:jc w:val="both"/>
              <w:rPr>
                <w:rFonts w:asciiTheme="minorHAnsi" w:hAnsiTheme="minorHAnsi" w:cstheme="minorBidi"/>
                <w:bCs/>
                <w:sz w:val="16"/>
                <w:szCs w:val="16"/>
              </w:rPr>
            </w:pPr>
            <w:r w:rsidRPr="002426CF">
              <w:rPr>
                <w:rFonts w:asciiTheme="minorHAnsi" w:hAnsiTheme="minorHAnsi" w:cstheme="minorBidi"/>
                <w:bCs/>
                <w:sz w:val="16"/>
                <w:szCs w:val="16"/>
              </w:rPr>
              <w:t>Mjera 3.2. Izrada i provedb</w:t>
            </w:r>
            <w:r>
              <w:rPr>
                <w:rFonts w:asciiTheme="minorHAnsi" w:hAnsiTheme="minorHAnsi" w:cstheme="minorBidi"/>
                <w:bCs/>
                <w:sz w:val="16"/>
                <w:szCs w:val="16"/>
              </w:rPr>
              <w:t xml:space="preserve">a plana privlačenja </w:t>
            </w:r>
            <w:proofErr w:type="spellStart"/>
            <w:r w:rsidRPr="005C0A19">
              <w:rPr>
                <w:rFonts w:asciiTheme="minorHAnsi" w:hAnsiTheme="minorHAnsi" w:cstheme="minorBidi"/>
                <w:bCs/>
                <w:i/>
                <w:sz w:val="16"/>
                <w:szCs w:val="16"/>
              </w:rPr>
              <w:t>greenfield</w:t>
            </w:r>
            <w:proofErr w:type="spellEnd"/>
            <w:r w:rsidRPr="005C0A19">
              <w:rPr>
                <w:rFonts w:asciiTheme="minorHAnsi" w:hAnsiTheme="minorHAnsi" w:cstheme="minorBidi"/>
                <w:bCs/>
                <w:i/>
                <w:sz w:val="16"/>
                <w:szCs w:val="16"/>
              </w:rPr>
              <w:t xml:space="preserve"> </w:t>
            </w:r>
            <w:r w:rsidRPr="002426CF">
              <w:rPr>
                <w:rFonts w:asciiTheme="minorHAnsi" w:hAnsiTheme="minorHAnsi" w:cstheme="minorBidi"/>
                <w:bCs/>
                <w:sz w:val="16"/>
                <w:szCs w:val="16"/>
              </w:rPr>
              <w:t xml:space="preserve">investicija u </w:t>
            </w:r>
            <w:r w:rsidRPr="005F07EA">
              <w:rPr>
                <w:rFonts w:asciiTheme="minorHAnsi" w:hAnsiTheme="minorHAnsi" w:cstheme="minorBidi"/>
                <w:bCs/>
                <w:sz w:val="16"/>
                <w:szCs w:val="16"/>
              </w:rPr>
              <w:t>industrije u nastajanju</w:t>
            </w:r>
            <w:r w:rsidR="00177115" w:rsidRPr="005F07EA">
              <w:rPr>
                <w:rFonts w:asciiTheme="minorHAnsi" w:hAnsiTheme="minorHAnsi" w:cstheme="minorBidi"/>
                <w:bCs/>
                <w:sz w:val="16"/>
                <w:szCs w:val="16"/>
              </w:rPr>
              <w:t xml:space="preserve"> </w:t>
            </w:r>
            <w:r w:rsidRPr="005F07EA">
              <w:rPr>
                <w:rFonts w:asciiTheme="minorHAnsi" w:hAnsiTheme="minorHAnsi" w:cstheme="minorBidi"/>
                <w:bCs/>
                <w:sz w:val="16"/>
                <w:szCs w:val="16"/>
              </w:rPr>
              <w:t>i visoko-</w:t>
            </w:r>
            <w:r w:rsidRPr="002426CF">
              <w:rPr>
                <w:rFonts w:asciiTheme="minorHAnsi" w:hAnsiTheme="minorHAnsi" w:cstheme="minorBidi"/>
                <w:bCs/>
                <w:sz w:val="16"/>
                <w:szCs w:val="16"/>
              </w:rPr>
              <w:t>tehnološke sektore</w:t>
            </w:r>
          </w:p>
        </w:tc>
        <w:tc>
          <w:tcPr>
            <w:tcW w:w="5189" w:type="dxa"/>
            <w:tcBorders>
              <w:top w:val="nil"/>
              <w:left w:val="nil"/>
              <w:bottom w:val="single" w:sz="4" w:space="0" w:color="auto"/>
              <w:right w:val="single" w:sz="4" w:space="0" w:color="auto"/>
            </w:tcBorders>
            <w:shd w:val="clear" w:color="auto" w:fill="auto"/>
            <w:hideMark/>
          </w:tcPr>
          <w:p w:rsidR="00671FBC" w:rsidRPr="002426CF" w:rsidRDefault="00671FBC" w:rsidP="00671FBC">
            <w:pPr>
              <w:spacing w:after="0" w:line="240" w:lineRule="auto"/>
              <w:jc w:val="both"/>
              <w:rPr>
                <w:rFonts w:asciiTheme="minorHAnsi" w:hAnsiTheme="minorHAnsi" w:cstheme="minorBidi"/>
                <w:bCs/>
                <w:color w:val="000000"/>
                <w:sz w:val="16"/>
                <w:szCs w:val="16"/>
              </w:rPr>
            </w:pPr>
            <w:r w:rsidRPr="002426CF">
              <w:rPr>
                <w:rFonts w:asciiTheme="minorHAnsi" w:hAnsiTheme="minorHAnsi" w:cstheme="minorBidi"/>
                <w:bCs/>
                <w:color w:val="000000"/>
                <w:sz w:val="16"/>
                <w:szCs w:val="16"/>
              </w:rPr>
              <w:t xml:space="preserve">Povećanje </w:t>
            </w:r>
            <w:proofErr w:type="spellStart"/>
            <w:r w:rsidRPr="005C0A19">
              <w:rPr>
                <w:rFonts w:asciiTheme="minorHAnsi" w:hAnsiTheme="minorHAnsi" w:cstheme="minorBidi"/>
                <w:bCs/>
                <w:i/>
                <w:color w:val="000000"/>
                <w:sz w:val="16"/>
                <w:szCs w:val="16"/>
              </w:rPr>
              <w:t>greenfield</w:t>
            </w:r>
            <w:proofErr w:type="spellEnd"/>
            <w:r w:rsidRPr="002426CF">
              <w:rPr>
                <w:rFonts w:asciiTheme="minorHAnsi" w:hAnsiTheme="minorHAnsi" w:cstheme="minorBidi"/>
                <w:bCs/>
                <w:color w:val="000000"/>
                <w:sz w:val="16"/>
                <w:szCs w:val="16"/>
              </w:rPr>
              <w:t xml:space="preserve"> investicija u industrije u nastajanju</w:t>
            </w:r>
          </w:p>
        </w:tc>
        <w:tc>
          <w:tcPr>
            <w:tcW w:w="4915" w:type="dxa"/>
            <w:tcBorders>
              <w:top w:val="nil"/>
              <w:left w:val="nil"/>
              <w:bottom w:val="single" w:sz="4" w:space="0" w:color="auto"/>
              <w:right w:val="single" w:sz="4" w:space="0" w:color="auto"/>
            </w:tcBorders>
            <w:shd w:val="clear" w:color="auto" w:fill="auto"/>
          </w:tcPr>
          <w:p w:rsidR="00671FBC" w:rsidRPr="002426CF" w:rsidRDefault="00671FBC" w:rsidP="00671FBC">
            <w:pPr>
              <w:spacing w:line="288" w:lineRule="auto"/>
              <w:jc w:val="both"/>
              <w:rPr>
                <w:rFonts w:asciiTheme="minorHAnsi" w:eastAsiaTheme="minorEastAsia" w:hAnsiTheme="minorHAnsi" w:cstheme="minorHAnsi"/>
                <w:sz w:val="16"/>
                <w:szCs w:val="16"/>
              </w:rPr>
            </w:pPr>
            <w:r w:rsidRPr="002426CF">
              <w:rPr>
                <w:rFonts w:asciiTheme="minorHAnsi" w:eastAsiaTheme="minorEastAsia" w:hAnsiTheme="minorHAnsi" w:cstheme="minorHAnsi"/>
                <w:sz w:val="16"/>
                <w:szCs w:val="16"/>
              </w:rPr>
              <w:t xml:space="preserve">Izrađen Program privlačenja </w:t>
            </w:r>
            <w:proofErr w:type="spellStart"/>
            <w:r w:rsidRPr="005C0A19">
              <w:rPr>
                <w:rFonts w:asciiTheme="minorHAnsi" w:eastAsiaTheme="minorEastAsia" w:hAnsiTheme="minorHAnsi" w:cstheme="minorHAnsi"/>
                <w:i/>
                <w:sz w:val="16"/>
                <w:szCs w:val="16"/>
              </w:rPr>
              <w:t>greenfield</w:t>
            </w:r>
            <w:proofErr w:type="spellEnd"/>
            <w:r w:rsidRPr="002426CF">
              <w:rPr>
                <w:rFonts w:asciiTheme="minorHAnsi" w:eastAsiaTheme="minorEastAsia" w:hAnsiTheme="minorHAnsi" w:cstheme="minorHAnsi"/>
                <w:sz w:val="16"/>
                <w:szCs w:val="16"/>
              </w:rPr>
              <w:t xml:space="preserve"> investicija u industrije u nastajanju i visoko-tehnološke sektore</w:t>
            </w:r>
          </w:p>
          <w:p w:rsidR="00671FBC" w:rsidRPr="002426CF" w:rsidRDefault="00671FBC" w:rsidP="00671FBC">
            <w:pPr>
              <w:spacing w:line="288" w:lineRule="auto"/>
              <w:jc w:val="both"/>
              <w:rPr>
                <w:rFonts w:asciiTheme="minorHAnsi" w:eastAsiaTheme="minorEastAsia" w:hAnsiTheme="minorHAnsi" w:cstheme="minorHAnsi"/>
                <w:sz w:val="16"/>
                <w:szCs w:val="16"/>
              </w:rPr>
            </w:pPr>
            <w:r w:rsidRPr="002426CF">
              <w:rPr>
                <w:rFonts w:asciiTheme="minorHAnsi" w:eastAsiaTheme="minorEastAsia" w:hAnsiTheme="minorHAnsi" w:cstheme="minorHAnsi"/>
                <w:sz w:val="16"/>
                <w:szCs w:val="16"/>
              </w:rPr>
              <w:t xml:space="preserve">Broj realiziranih </w:t>
            </w:r>
            <w:proofErr w:type="spellStart"/>
            <w:r w:rsidRPr="005C0A19">
              <w:rPr>
                <w:rFonts w:asciiTheme="minorHAnsi" w:eastAsiaTheme="minorEastAsia" w:hAnsiTheme="minorHAnsi" w:cstheme="minorHAnsi"/>
                <w:i/>
                <w:sz w:val="16"/>
                <w:szCs w:val="16"/>
              </w:rPr>
              <w:t>greenfield</w:t>
            </w:r>
            <w:proofErr w:type="spellEnd"/>
            <w:r w:rsidRPr="002426CF">
              <w:rPr>
                <w:rFonts w:asciiTheme="minorHAnsi" w:eastAsiaTheme="minorEastAsia" w:hAnsiTheme="minorHAnsi" w:cstheme="minorHAnsi"/>
                <w:sz w:val="16"/>
                <w:szCs w:val="16"/>
              </w:rPr>
              <w:t xml:space="preserve"> investicijskih projekata u industrijama u </w:t>
            </w:r>
            <w:proofErr w:type="spellStart"/>
            <w:r w:rsidRPr="002426CF">
              <w:rPr>
                <w:rFonts w:asciiTheme="minorHAnsi" w:eastAsiaTheme="minorEastAsia" w:hAnsiTheme="minorHAnsi" w:cstheme="minorHAnsi"/>
                <w:sz w:val="16"/>
                <w:szCs w:val="16"/>
              </w:rPr>
              <w:t>nastajanu</w:t>
            </w:r>
            <w:proofErr w:type="spellEnd"/>
            <w:r w:rsidRPr="002426CF">
              <w:rPr>
                <w:rFonts w:asciiTheme="minorHAnsi" w:eastAsiaTheme="minorEastAsia" w:hAnsiTheme="minorHAnsi" w:cstheme="minorHAnsi"/>
                <w:sz w:val="16"/>
                <w:szCs w:val="16"/>
              </w:rPr>
              <w:t xml:space="preserve"> i visoko-tehnološkim sektorima</w:t>
            </w:r>
          </w:p>
          <w:p w:rsidR="00671FBC" w:rsidRPr="002426CF" w:rsidRDefault="00671FBC" w:rsidP="00671FBC">
            <w:pPr>
              <w:spacing w:after="0" w:line="240" w:lineRule="auto"/>
              <w:jc w:val="both"/>
              <w:rPr>
                <w:rFonts w:asciiTheme="minorHAnsi" w:hAnsiTheme="minorHAnsi" w:cstheme="minorBidi"/>
                <w:bCs/>
                <w:color w:val="000000"/>
                <w:sz w:val="16"/>
                <w:szCs w:val="16"/>
              </w:rPr>
            </w:pPr>
            <w:proofErr w:type="spellStart"/>
            <w:r w:rsidRPr="005C0A19">
              <w:rPr>
                <w:rFonts w:asciiTheme="minorHAnsi" w:hAnsiTheme="minorHAnsi" w:cstheme="minorBidi"/>
                <w:bCs/>
                <w:i/>
                <w:color w:val="000000"/>
                <w:sz w:val="16"/>
                <w:szCs w:val="16"/>
              </w:rPr>
              <w:t>Greenfield</w:t>
            </w:r>
            <w:proofErr w:type="spellEnd"/>
            <w:r w:rsidRPr="002426CF">
              <w:rPr>
                <w:rFonts w:asciiTheme="minorHAnsi" w:hAnsiTheme="minorHAnsi" w:cstheme="minorBidi"/>
                <w:bCs/>
                <w:color w:val="000000"/>
                <w:sz w:val="16"/>
                <w:szCs w:val="16"/>
              </w:rPr>
              <w:t xml:space="preserve"> investicije u industrije u nastajanju i visoko-tehnološke sektore</w:t>
            </w:r>
          </w:p>
        </w:tc>
      </w:tr>
      <w:tr w:rsidR="00671FBC" w:rsidRPr="002426CF" w:rsidTr="00671FBC">
        <w:trPr>
          <w:trHeight w:val="208"/>
        </w:trPr>
        <w:tc>
          <w:tcPr>
            <w:tcW w:w="3813" w:type="dxa"/>
            <w:tcBorders>
              <w:top w:val="nil"/>
              <w:left w:val="single" w:sz="4" w:space="0" w:color="auto"/>
              <w:bottom w:val="single" w:sz="4" w:space="0" w:color="auto"/>
              <w:right w:val="single" w:sz="4" w:space="0" w:color="auto"/>
            </w:tcBorders>
            <w:shd w:val="clear" w:color="auto" w:fill="auto"/>
            <w:hideMark/>
          </w:tcPr>
          <w:p w:rsidR="00671FBC" w:rsidRPr="002426CF" w:rsidRDefault="00671FBC" w:rsidP="00671FBC">
            <w:pPr>
              <w:spacing w:after="0" w:line="240" w:lineRule="auto"/>
              <w:ind w:left="708" w:hanging="708"/>
              <w:jc w:val="both"/>
              <w:rPr>
                <w:rFonts w:asciiTheme="minorHAnsi" w:eastAsiaTheme="minorEastAsia" w:hAnsiTheme="minorHAnsi" w:cstheme="minorHAnsi"/>
                <w:sz w:val="16"/>
                <w:szCs w:val="16"/>
              </w:rPr>
            </w:pPr>
            <w:r w:rsidRPr="002426CF">
              <w:rPr>
                <w:rFonts w:asciiTheme="minorHAnsi" w:eastAsiaTheme="minorEastAsia" w:hAnsiTheme="minorHAnsi" w:cstheme="minorHAnsi"/>
                <w:sz w:val="16"/>
                <w:szCs w:val="16"/>
              </w:rPr>
              <w:t>Mjera 3.3 Izrad</w:t>
            </w:r>
            <w:r>
              <w:rPr>
                <w:rFonts w:asciiTheme="minorHAnsi" w:eastAsiaTheme="minorEastAsia" w:hAnsiTheme="minorHAnsi" w:cstheme="minorHAnsi"/>
                <w:sz w:val="16"/>
                <w:szCs w:val="16"/>
              </w:rPr>
              <w:t xml:space="preserve">a i provedba plana privlačenja </w:t>
            </w:r>
            <w:proofErr w:type="spellStart"/>
            <w:r w:rsidRPr="005C0A19">
              <w:rPr>
                <w:rFonts w:asciiTheme="minorHAnsi" w:eastAsiaTheme="minorEastAsia" w:hAnsiTheme="minorHAnsi" w:cstheme="minorHAnsi"/>
                <w:i/>
                <w:sz w:val="16"/>
                <w:szCs w:val="16"/>
              </w:rPr>
              <w:t>greenfield</w:t>
            </w:r>
            <w:proofErr w:type="spellEnd"/>
            <w:r w:rsidRPr="002426CF">
              <w:rPr>
                <w:rFonts w:asciiTheme="minorHAnsi" w:eastAsiaTheme="minorEastAsia" w:hAnsiTheme="minorHAnsi" w:cstheme="minorHAnsi"/>
                <w:sz w:val="16"/>
                <w:szCs w:val="16"/>
              </w:rPr>
              <w:t xml:space="preserve"> investicija u potpomognuta područja </w:t>
            </w:r>
          </w:p>
        </w:tc>
        <w:tc>
          <w:tcPr>
            <w:tcW w:w="5189" w:type="dxa"/>
            <w:tcBorders>
              <w:top w:val="nil"/>
              <w:left w:val="nil"/>
              <w:bottom w:val="single" w:sz="4" w:space="0" w:color="auto"/>
              <w:right w:val="single" w:sz="4" w:space="0" w:color="auto"/>
            </w:tcBorders>
            <w:shd w:val="clear" w:color="auto" w:fill="auto"/>
            <w:hideMark/>
          </w:tcPr>
          <w:p w:rsidR="00671FBC" w:rsidRPr="002426CF" w:rsidRDefault="00671FBC" w:rsidP="00671FBC">
            <w:pPr>
              <w:spacing w:after="0" w:line="240" w:lineRule="auto"/>
              <w:jc w:val="both"/>
              <w:rPr>
                <w:rFonts w:asciiTheme="minorHAnsi" w:hAnsiTheme="minorHAnsi" w:cstheme="minorBidi"/>
                <w:bCs/>
                <w:color w:val="000000"/>
                <w:sz w:val="16"/>
                <w:szCs w:val="16"/>
              </w:rPr>
            </w:pPr>
            <w:r w:rsidRPr="002426CF">
              <w:rPr>
                <w:rFonts w:asciiTheme="minorHAnsi" w:hAnsiTheme="minorHAnsi" w:cstheme="minorBidi"/>
                <w:bCs/>
                <w:color w:val="000000"/>
                <w:sz w:val="16"/>
                <w:szCs w:val="16"/>
              </w:rPr>
              <w:t xml:space="preserve">Povećanje </w:t>
            </w:r>
            <w:proofErr w:type="spellStart"/>
            <w:r w:rsidRPr="005C0A19">
              <w:rPr>
                <w:rFonts w:asciiTheme="minorHAnsi" w:hAnsiTheme="minorHAnsi" w:cstheme="minorBidi"/>
                <w:bCs/>
                <w:i/>
                <w:color w:val="000000"/>
                <w:sz w:val="16"/>
                <w:szCs w:val="16"/>
              </w:rPr>
              <w:t>greenfield</w:t>
            </w:r>
            <w:proofErr w:type="spellEnd"/>
            <w:r w:rsidRPr="002426CF">
              <w:rPr>
                <w:rFonts w:asciiTheme="minorHAnsi" w:hAnsiTheme="minorHAnsi" w:cstheme="minorBidi"/>
                <w:bCs/>
                <w:color w:val="000000"/>
                <w:sz w:val="16"/>
                <w:szCs w:val="16"/>
              </w:rPr>
              <w:t xml:space="preserve"> investicija u potpomognutim područjima</w:t>
            </w:r>
          </w:p>
        </w:tc>
        <w:tc>
          <w:tcPr>
            <w:tcW w:w="4915" w:type="dxa"/>
            <w:tcBorders>
              <w:top w:val="nil"/>
              <w:left w:val="nil"/>
              <w:bottom w:val="single" w:sz="4" w:space="0" w:color="auto"/>
              <w:right w:val="single" w:sz="4" w:space="0" w:color="auto"/>
            </w:tcBorders>
            <w:shd w:val="clear" w:color="auto" w:fill="auto"/>
          </w:tcPr>
          <w:p w:rsidR="00671FBC" w:rsidRPr="002426CF" w:rsidRDefault="00671FBC" w:rsidP="00671FBC">
            <w:pPr>
              <w:spacing w:line="288" w:lineRule="auto"/>
              <w:jc w:val="both"/>
              <w:rPr>
                <w:rFonts w:asciiTheme="minorHAnsi" w:eastAsiaTheme="minorEastAsia" w:hAnsiTheme="minorHAnsi" w:cstheme="minorHAnsi"/>
                <w:sz w:val="16"/>
                <w:szCs w:val="16"/>
              </w:rPr>
            </w:pPr>
            <w:r w:rsidRPr="002426CF">
              <w:rPr>
                <w:rFonts w:asciiTheme="minorHAnsi" w:eastAsiaTheme="minorEastAsia" w:hAnsiTheme="minorHAnsi" w:cstheme="minorHAnsi"/>
                <w:sz w:val="16"/>
                <w:szCs w:val="16"/>
              </w:rPr>
              <w:t xml:space="preserve">Izrađen Program privlačenja </w:t>
            </w:r>
            <w:proofErr w:type="spellStart"/>
            <w:r w:rsidRPr="005C0A19">
              <w:rPr>
                <w:rFonts w:asciiTheme="minorHAnsi" w:eastAsiaTheme="minorEastAsia" w:hAnsiTheme="minorHAnsi" w:cstheme="minorHAnsi"/>
                <w:i/>
                <w:sz w:val="16"/>
                <w:szCs w:val="16"/>
              </w:rPr>
              <w:t>greenfield</w:t>
            </w:r>
            <w:proofErr w:type="spellEnd"/>
            <w:r w:rsidRPr="002426CF">
              <w:rPr>
                <w:rFonts w:asciiTheme="minorHAnsi" w:eastAsiaTheme="minorEastAsia" w:hAnsiTheme="minorHAnsi" w:cstheme="minorHAnsi"/>
                <w:sz w:val="16"/>
                <w:szCs w:val="16"/>
              </w:rPr>
              <w:t xml:space="preserve"> investicija u potpomognutim područjima</w:t>
            </w:r>
          </w:p>
          <w:p w:rsidR="00671FBC" w:rsidRPr="002426CF" w:rsidRDefault="00671FBC" w:rsidP="00671FBC">
            <w:pPr>
              <w:spacing w:line="288" w:lineRule="auto"/>
              <w:jc w:val="both"/>
              <w:rPr>
                <w:rFonts w:asciiTheme="minorHAnsi" w:eastAsiaTheme="minorEastAsia" w:hAnsiTheme="minorHAnsi" w:cstheme="minorHAnsi"/>
                <w:sz w:val="16"/>
                <w:szCs w:val="16"/>
              </w:rPr>
            </w:pPr>
            <w:r w:rsidRPr="002426CF">
              <w:rPr>
                <w:rFonts w:asciiTheme="minorHAnsi" w:eastAsiaTheme="minorEastAsia" w:hAnsiTheme="minorHAnsi" w:cstheme="minorHAnsi"/>
                <w:sz w:val="16"/>
                <w:szCs w:val="16"/>
              </w:rPr>
              <w:t xml:space="preserve">Broj realiziranih </w:t>
            </w:r>
            <w:proofErr w:type="spellStart"/>
            <w:r w:rsidRPr="005C0A19">
              <w:rPr>
                <w:rFonts w:asciiTheme="minorHAnsi" w:eastAsiaTheme="minorEastAsia" w:hAnsiTheme="minorHAnsi" w:cstheme="minorHAnsi"/>
                <w:i/>
                <w:sz w:val="16"/>
                <w:szCs w:val="16"/>
              </w:rPr>
              <w:t>greenfield</w:t>
            </w:r>
            <w:proofErr w:type="spellEnd"/>
            <w:r w:rsidRPr="002426CF">
              <w:rPr>
                <w:rFonts w:asciiTheme="minorHAnsi" w:eastAsiaTheme="minorEastAsia" w:hAnsiTheme="minorHAnsi" w:cstheme="minorHAnsi"/>
                <w:sz w:val="16"/>
                <w:szCs w:val="16"/>
              </w:rPr>
              <w:t xml:space="preserve"> investicijskih projekata u potpomognutim područjima</w:t>
            </w:r>
          </w:p>
          <w:p w:rsidR="00671FBC" w:rsidRPr="002426CF" w:rsidRDefault="00671FBC" w:rsidP="00671FBC">
            <w:pPr>
              <w:spacing w:after="0" w:line="240" w:lineRule="auto"/>
              <w:jc w:val="both"/>
              <w:rPr>
                <w:rFonts w:asciiTheme="minorHAnsi" w:hAnsiTheme="minorHAnsi" w:cstheme="minorBidi"/>
                <w:bCs/>
                <w:color w:val="000000"/>
                <w:sz w:val="16"/>
                <w:szCs w:val="16"/>
              </w:rPr>
            </w:pPr>
            <w:proofErr w:type="spellStart"/>
            <w:r w:rsidRPr="005C0A19">
              <w:rPr>
                <w:rFonts w:asciiTheme="minorHAnsi" w:hAnsiTheme="minorHAnsi" w:cstheme="minorBidi"/>
                <w:bCs/>
                <w:i/>
                <w:color w:val="000000"/>
                <w:sz w:val="16"/>
                <w:szCs w:val="16"/>
              </w:rPr>
              <w:t>Greenfield</w:t>
            </w:r>
            <w:proofErr w:type="spellEnd"/>
            <w:r w:rsidRPr="002426CF">
              <w:rPr>
                <w:rFonts w:asciiTheme="minorHAnsi" w:hAnsiTheme="minorHAnsi" w:cstheme="minorBidi"/>
                <w:bCs/>
                <w:color w:val="000000"/>
                <w:sz w:val="16"/>
                <w:szCs w:val="16"/>
              </w:rPr>
              <w:t xml:space="preserve"> investicija u </w:t>
            </w:r>
            <w:proofErr w:type="spellStart"/>
            <w:r w:rsidRPr="002426CF">
              <w:rPr>
                <w:rFonts w:asciiTheme="minorHAnsi" w:hAnsiTheme="minorHAnsi" w:cstheme="minorBidi"/>
                <w:bCs/>
                <w:color w:val="000000"/>
                <w:sz w:val="16"/>
                <w:szCs w:val="16"/>
              </w:rPr>
              <w:t>potopmognutim</w:t>
            </w:r>
            <w:proofErr w:type="spellEnd"/>
            <w:r w:rsidRPr="002426CF">
              <w:rPr>
                <w:rFonts w:asciiTheme="minorHAnsi" w:hAnsiTheme="minorHAnsi" w:cstheme="minorBidi"/>
                <w:bCs/>
                <w:color w:val="000000"/>
                <w:sz w:val="16"/>
                <w:szCs w:val="16"/>
              </w:rPr>
              <w:t xml:space="preserve"> područjima</w:t>
            </w:r>
          </w:p>
        </w:tc>
      </w:tr>
      <w:tr w:rsidR="00671FBC" w:rsidRPr="002426CF" w:rsidTr="00671FBC">
        <w:trPr>
          <w:trHeight w:val="208"/>
        </w:trPr>
        <w:tc>
          <w:tcPr>
            <w:tcW w:w="3813" w:type="dxa"/>
            <w:tcBorders>
              <w:top w:val="nil"/>
              <w:left w:val="single" w:sz="4" w:space="0" w:color="auto"/>
              <w:bottom w:val="single" w:sz="4" w:space="0" w:color="auto"/>
              <w:right w:val="single" w:sz="4" w:space="0" w:color="auto"/>
            </w:tcBorders>
            <w:shd w:val="clear" w:color="auto" w:fill="auto"/>
            <w:hideMark/>
          </w:tcPr>
          <w:p w:rsidR="00671FBC" w:rsidRPr="002426CF" w:rsidRDefault="00671FBC" w:rsidP="00671FBC">
            <w:pPr>
              <w:spacing w:after="0" w:line="240" w:lineRule="auto"/>
              <w:ind w:left="708" w:hanging="708"/>
              <w:jc w:val="both"/>
              <w:rPr>
                <w:rFonts w:asciiTheme="minorHAnsi" w:eastAsiaTheme="minorEastAsia" w:hAnsiTheme="minorHAnsi" w:cstheme="minorHAnsi"/>
                <w:sz w:val="16"/>
                <w:szCs w:val="16"/>
              </w:rPr>
            </w:pPr>
            <w:r w:rsidRPr="002426CF">
              <w:rPr>
                <w:rFonts w:asciiTheme="minorHAnsi" w:eastAsiaTheme="minorEastAsia" w:hAnsiTheme="minorHAnsi" w:cstheme="minorHAnsi"/>
                <w:sz w:val="16"/>
                <w:szCs w:val="16"/>
              </w:rPr>
              <w:t>3.4. Izrad</w:t>
            </w:r>
            <w:r>
              <w:rPr>
                <w:rFonts w:asciiTheme="minorHAnsi" w:eastAsiaTheme="minorEastAsia" w:hAnsiTheme="minorHAnsi" w:cstheme="minorHAnsi"/>
                <w:sz w:val="16"/>
                <w:szCs w:val="16"/>
              </w:rPr>
              <w:t xml:space="preserve">a i provedba plana realizacije </w:t>
            </w:r>
            <w:proofErr w:type="spellStart"/>
            <w:r w:rsidRPr="005C0A19">
              <w:rPr>
                <w:rFonts w:asciiTheme="minorHAnsi" w:eastAsiaTheme="minorEastAsia" w:hAnsiTheme="minorHAnsi" w:cstheme="minorHAnsi"/>
                <w:i/>
                <w:sz w:val="16"/>
                <w:szCs w:val="16"/>
              </w:rPr>
              <w:t>brownfield</w:t>
            </w:r>
            <w:proofErr w:type="spellEnd"/>
            <w:r w:rsidRPr="002426CF">
              <w:rPr>
                <w:rFonts w:asciiTheme="minorHAnsi" w:eastAsiaTheme="minorEastAsia" w:hAnsiTheme="minorHAnsi" w:cstheme="minorHAnsi"/>
                <w:sz w:val="16"/>
                <w:szCs w:val="16"/>
              </w:rPr>
              <w:t xml:space="preserve"> investicija putem stavljanja u  funkciju državne imovine</w:t>
            </w:r>
          </w:p>
        </w:tc>
        <w:tc>
          <w:tcPr>
            <w:tcW w:w="5189" w:type="dxa"/>
            <w:tcBorders>
              <w:top w:val="nil"/>
              <w:left w:val="nil"/>
              <w:bottom w:val="single" w:sz="4" w:space="0" w:color="auto"/>
              <w:right w:val="single" w:sz="4" w:space="0" w:color="auto"/>
            </w:tcBorders>
            <w:shd w:val="clear" w:color="auto" w:fill="auto"/>
            <w:hideMark/>
          </w:tcPr>
          <w:p w:rsidR="00671FBC" w:rsidRPr="002426CF" w:rsidRDefault="00671FBC" w:rsidP="00671FBC">
            <w:pPr>
              <w:spacing w:after="0" w:line="240" w:lineRule="auto"/>
              <w:jc w:val="both"/>
              <w:rPr>
                <w:rFonts w:asciiTheme="minorHAnsi" w:hAnsiTheme="minorHAnsi" w:cstheme="minorBidi"/>
                <w:bCs/>
                <w:color w:val="000000"/>
                <w:sz w:val="16"/>
                <w:szCs w:val="16"/>
              </w:rPr>
            </w:pPr>
            <w:r w:rsidRPr="002426CF">
              <w:rPr>
                <w:rFonts w:asciiTheme="minorHAnsi" w:hAnsiTheme="minorHAnsi" w:cstheme="minorBidi"/>
                <w:bCs/>
                <w:sz w:val="16"/>
                <w:szCs w:val="16"/>
              </w:rPr>
              <w:t xml:space="preserve">Povećanje </w:t>
            </w:r>
            <w:proofErr w:type="spellStart"/>
            <w:r w:rsidRPr="005C0A19">
              <w:rPr>
                <w:rFonts w:asciiTheme="minorHAnsi" w:hAnsiTheme="minorHAnsi" w:cstheme="minorBidi"/>
                <w:bCs/>
                <w:i/>
                <w:sz w:val="16"/>
                <w:szCs w:val="16"/>
              </w:rPr>
              <w:t>brownfield</w:t>
            </w:r>
            <w:proofErr w:type="spellEnd"/>
            <w:r w:rsidRPr="002426CF">
              <w:rPr>
                <w:rFonts w:asciiTheme="minorHAnsi" w:hAnsiTheme="minorHAnsi" w:cstheme="minorBidi"/>
                <w:bCs/>
                <w:sz w:val="16"/>
                <w:szCs w:val="16"/>
              </w:rPr>
              <w:t xml:space="preserve"> investicija putem stavljanja u funkciju državne imovine</w:t>
            </w:r>
          </w:p>
        </w:tc>
        <w:tc>
          <w:tcPr>
            <w:tcW w:w="4915" w:type="dxa"/>
            <w:tcBorders>
              <w:top w:val="nil"/>
              <w:left w:val="nil"/>
              <w:bottom w:val="single" w:sz="4" w:space="0" w:color="auto"/>
              <w:right w:val="single" w:sz="4" w:space="0" w:color="auto"/>
            </w:tcBorders>
            <w:shd w:val="clear" w:color="auto" w:fill="auto"/>
          </w:tcPr>
          <w:p w:rsidR="00671FBC" w:rsidRPr="002426CF" w:rsidRDefault="00671FBC" w:rsidP="00671FBC">
            <w:pPr>
              <w:spacing w:after="0" w:line="240" w:lineRule="auto"/>
              <w:jc w:val="both"/>
              <w:rPr>
                <w:rFonts w:asciiTheme="minorHAnsi" w:hAnsiTheme="minorHAnsi" w:cstheme="minorBidi"/>
                <w:bCs/>
                <w:sz w:val="16"/>
                <w:szCs w:val="16"/>
              </w:rPr>
            </w:pPr>
            <w:proofErr w:type="spellStart"/>
            <w:r w:rsidRPr="005C0A19">
              <w:rPr>
                <w:rFonts w:asciiTheme="minorHAnsi" w:hAnsiTheme="minorHAnsi" w:cstheme="minorBidi"/>
                <w:bCs/>
                <w:i/>
                <w:sz w:val="16"/>
                <w:szCs w:val="16"/>
              </w:rPr>
              <w:t>Brownfield</w:t>
            </w:r>
            <w:proofErr w:type="spellEnd"/>
            <w:r w:rsidRPr="002426CF">
              <w:rPr>
                <w:rFonts w:asciiTheme="minorHAnsi" w:hAnsiTheme="minorHAnsi" w:cstheme="minorBidi"/>
                <w:bCs/>
                <w:sz w:val="16"/>
                <w:szCs w:val="16"/>
              </w:rPr>
              <w:t xml:space="preserve"> investicije</w:t>
            </w:r>
          </w:p>
          <w:p w:rsidR="00671FBC" w:rsidRDefault="00671FBC" w:rsidP="00671FBC">
            <w:pPr>
              <w:spacing w:after="0" w:line="240" w:lineRule="auto"/>
              <w:jc w:val="both"/>
              <w:rPr>
                <w:rFonts w:asciiTheme="minorHAnsi" w:hAnsiTheme="minorHAnsi" w:cstheme="minorBidi"/>
                <w:bCs/>
                <w:sz w:val="16"/>
                <w:szCs w:val="16"/>
              </w:rPr>
            </w:pPr>
            <w:r w:rsidRPr="002426CF">
              <w:rPr>
                <w:rFonts w:asciiTheme="minorHAnsi" w:hAnsiTheme="minorHAnsi" w:cstheme="minorBidi"/>
                <w:bCs/>
                <w:sz w:val="16"/>
                <w:szCs w:val="16"/>
              </w:rPr>
              <w:t>Broj državne imovine stavljene u funkciju</w:t>
            </w:r>
          </w:p>
          <w:p w:rsidR="00671FBC" w:rsidRDefault="00671FBC" w:rsidP="00671FBC">
            <w:pPr>
              <w:spacing w:after="0" w:line="240" w:lineRule="auto"/>
              <w:jc w:val="both"/>
              <w:rPr>
                <w:rFonts w:asciiTheme="minorHAnsi" w:hAnsiTheme="minorHAnsi" w:cstheme="minorBidi"/>
                <w:bCs/>
                <w:sz w:val="16"/>
                <w:szCs w:val="16"/>
              </w:rPr>
            </w:pPr>
          </w:p>
          <w:p w:rsidR="00671FBC" w:rsidRPr="002426CF" w:rsidRDefault="00671FBC" w:rsidP="00671FBC">
            <w:pPr>
              <w:spacing w:after="0" w:line="240" w:lineRule="auto"/>
              <w:jc w:val="both"/>
              <w:rPr>
                <w:rFonts w:asciiTheme="minorHAnsi" w:hAnsiTheme="minorHAnsi" w:cstheme="minorBidi"/>
                <w:bCs/>
                <w:color w:val="000000"/>
                <w:sz w:val="16"/>
                <w:szCs w:val="16"/>
              </w:rPr>
            </w:pPr>
          </w:p>
        </w:tc>
      </w:tr>
      <w:tr w:rsidR="00671FBC" w:rsidRPr="002426CF" w:rsidTr="00671FBC">
        <w:trPr>
          <w:trHeight w:val="816"/>
        </w:trPr>
        <w:tc>
          <w:tcPr>
            <w:tcW w:w="3813"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671FBC" w:rsidRPr="0097158A" w:rsidRDefault="00671FBC" w:rsidP="00671FBC">
            <w:pPr>
              <w:spacing w:after="0" w:line="240" w:lineRule="auto"/>
              <w:ind w:left="708" w:hanging="708"/>
              <w:jc w:val="center"/>
              <w:rPr>
                <w:rFonts w:asciiTheme="minorHAnsi" w:eastAsiaTheme="minorEastAsia" w:hAnsiTheme="minorHAnsi" w:cstheme="minorHAnsi"/>
                <w:b/>
                <w:sz w:val="16"/>
                <w:szCs w:val="16"/>
              </w:rPr>
            </w:pPr>
            <w:r w:rsidRPr="0097158A">
              <w:rPr>
                <w:rFonts w:asciiTheme="minorHAnsi" w:eastAsiaTheme="minorEastAsia" w:hAnsiTheme="minorHAnsi" w:cstheme="minorHAnsi"/>
                <w:b/>
                <w:sz w:val="16"/>
                <w:szCs w:val="16"/>
              </w:rPr>
              <w:lastRenderedPageBreak/>
              <w:t>Prioritet 4.Pružanje podrške realizaciji investicijskih projekata</w:t>
            </w:r>
          </w:p>
        </w:tc>
        <w:tc>
          <w:tcPr>
            <w:tcW w:w="5189" w:type="dxa"/>
            <w:tcBorders>
              <w:top w:val="nil"/>
              <w:left w:val="nil"/>
              <w:bottom w:val="single" w:sz="4" w:space="0" w:color="auto"/>
              <w:right w:val="single" w:sz="4" w:space="0" w:color="auto"/>
            </w:tcBorders>
            <w:shd w:val="clear" w:color="auto" w:fill="C6D9F1" w:themeFill="text2" w:themeFillTint="33"/>
            <w:vAlign w:val="center"/>
            <w:hideMark/>
          </w:tcPr>
          <w:p w:rsidR="00671FBC" w:rsidRPr="0097158A" w:rsidRDefault="00671FBC" w:rsidP="00671FBC">
            <w:pPr>
              <w:spacing w:after="0" w:line="240" w:lineRule="auto"/>
              <w:jc w:val="center"/>
              <w:rPr>
                <w:rFonts w:asciiTheme="minorHAnsi" w:hAnsiTheme="minorHAnsi" w:cstheme="minorBidi"/>
                <w:bCs/>
                <w:color w:val="000000"/>
                <w:sz w:val="16"/>
                <w:szCs w:val="16"/>
              </w:rPr>
            </w:pPr>
            <w:r w:rsidRPr="0097158A">
              <w:rPr>
                <w:rFonts w:asciiTheme="minorHAnsi" w:hAnsiTheme="minorHAnsi" w:cstheme="minorBidi"/>
                <w:bCs/>
                <w:color w:val="000000"/>
                <w:sz w:val="16"/>
                <w:szCs w:val="16"/>
              </w:rPr>
              <w:t>Povećanje priljeva ISI</w:t>
            </w:r>
          </w:p>
          <w:p w:rsidR="00671FBC" w:rsidRPr="0097158A" w:rsidRDefault="00671FBC" w:rsidP="00671FBC">
            <w:pPr>
              <w:spacing w:after="0" w:line="240" w:lineRule="auto"/>
              <w:jc w:val="center"/>
              <w:rPr>
                <w:rFonts w:asciiTheme="minorHAnsi" w:hAnsiTheme="minorHAnsi" w:cstheme="minorBidi"/>
                <w:bCs/>
                <w:color w:val="000000"/>
                <w:sz w:val="16"/>
                <w:szCs w:val="16"/>
              </w:rPr>
            </w:pPr>
          </w:p>
        </w:tc>
        <w:tc>
          <w:tcPr>
            <w:tcW w:w="4915" w:type="dxa"/>
            <w:tcBorders>
              <w:top w:val="nil"/>
              <w:left w:val="nil"/>
              <w:bottom w:val="single" w:sz="4" w:space="0" w:color="auto"/>
              <w:right w:val="single" w:sz="4" w:space="0" w:color="auto"/>
            </w:tcBorders>
            <w:shd w:val="clear" w:color="auto" w:fill="C6D9F1" w:themeFill="text2" w:themeFillTint="33"/>
            <w:vAlign w:val="center"/>
          </w:tcPr>
          <w:p w:rsidR="00671FBC" w:rsidRPr="0097158A" w:rsidRDefault="00671FBC" w:rsidP="00671FBC">
            <w:pPr>
              <w:spacing w:after="0" w:line="240" w:lineRule="auto"/>
              <w:jc w:val="center"/>
              <w:rPr>
                <w:rFonts w:asciiTheme="minorHAnsi" w:hAnsiTheme="minorHAnsi" w:cstheme="minorBidi"/>
                <w:bCs/>
                <w:color w:val="000000"/>
                <w:sz w:val="16"/>
                <w:szCs w:val="16"/>
              </w:rPr>
            </w:pPr>
            <w:r w:rsidRPr="0097158A">
              <w:rPr>
                <w:rFonts w:asciiTheme="minorHAnsi" w:hAnsiTheme="minorHAnsi" w:cstheme="minorBidi"/>
                <w:bCs/>
                <w:color w:val="000000"/>
                <w:sz w:val="16"/>
                <w:szCs w:val="16"/>
              </w:rPr>
              <w:t>Priljev ISI</w:t>
            </w:r>
          </w:p>
          <w:p w:rsidR="00671FBC" w:rsidRPr="0097158A" w:rsidRDefault="00671FBC" w:rsidP="00671FBC">
            <w:pPr>
              <w:spacing w:after="0" w:line="240" w:lineRule="auto"/>
              <w:jc w:val="center"/>
              <w:rPr>
                <w:rFonts w:asciiTheme="minorHAnsi" w:hAnsiTheme="minorHAnsi" w:cstheme="minorBidi"/>
                <w:bCs/>
                <w:color w:val="000000"/>
                <w:sz w:val="16"/>
                <w:szCs w:val="16"/>
              </w:rPr>
            </w:pPr>
          </w:p>
        </w:tc>
      </w:tr>
      <w:tr w:rsidR="00671FBC" w:rsidRPr="002426CF" w:rsidTr="00671FBC">
        <w:trPr>
          <w:trHeight w:val="208"/>
        </w:trPr>
        <w:tc>
          <w:tcPr>
            <w:tcW w:w="3813" w:type="dxa"/>
            <w:tcBorders>
              <w:top w:val="nil"/>
              <w:left w:val="single" w:sz="4" w:space="0" w:color="auto"/>
              <w:bottom w:val="single" w:sz="4" w:space="0" w:color="auto"/>
              <w:right w:val="single" w:sz="4" w:space="0" w:color="auto"/>
            </w:tcBorders>
            <w:shd w:val="clear" w:color="auto" w:fill="auto"/>
            <w:hideMark/>
          </w:tcPr>
          <w:p w:rsidR="00671FBC" w:rsidRPr="002426CF" w:rsidRDefault="00671FBC" w:rsidP="00671FBC">
            <w:pPr>
              <w:spacing w:after="0" w:line="240" w:lineRule="auto"/>
              <w:ind w:left="708" w:hanging="708"/>
              <w:jc w:val="both"/>
              <w:rPr>
                <w:rFonts w:asciiTheme="minorHAnsi" w:eastAsiaTheme="minorEastAsia" w:hAnsiTheme="minorHAnsi" w:cstheme="minorHAnsi"/>
                <w:sz w:val="16"/>
                <w:szCs w:val="16"/>
              </w:rPr>
            </w:pPr>
            <w:r w:rsidRPr="002426CF">
              <w:rPr>
                <w:rFonts w:asciiTheme="minorHAnsi" w:eastAsiaTheme="minorEastAsia" w:hAnsiTheme="minorHAnsi" w:cstheme="minorHAnsi"/>
                <w:sz w:val="16"/>
                <w:szCs w:val="16"/>
              </w:rPr>
              <w:t>4.1. Podrška investitorima u pred-investicijskoj fazi i u realizaciji investicijskih projekata</w:t>
            </w:r>
          </w:p>
        </w:tc>
        <w:tc>
          <w:tcPr>
            <w:tcW w:w="5189" w:type="dxa"/>
            <w:tcBorders>
              <w:top w:val="nil"/>
              <w:left w:val="nil"/>
              <w:bottom w:val="single" w:sz="4" w:space="0" w:color="auto"/>
              <w:right w:val="single" w:sz="4" w:space="0" w:color="auto"/>
            </w:tcBorders>
            <w:shd w:val="clear" w:color="auto" w:fill="auto"/>
            <w:hideMark/>
          </w:tcPr>
          <w:p w:rsidR="00671FBC" w:rsidRPr="002426CF" w:rsidRDefault="00671FBC" w:rsidP="00671FBC">
            <w:pPr>
              <w:spacing w:after="0" w:line="240" w:lineRule="auto"/>
              <w:jc w:val="both"/>
              <w:rPr>
                <w:rFonts w:asciiTheme="minorHAnsi" w:hAnsiTheme="minorHAnsi" w:cstheme="minorBidi"/>
                <w:bCs/>
                <w:color w:val="000000"/>
                <w:sz w:val="16"/>
                <w:szCs w:val="16"/>
              </w:rPr>
            </w:pPr>
            <w:r w:rsidRPr="002426CF">
              <w:rPr>
                <w:rFonts w:asciiTheme="minorHAnsi" w:hAnsiTheme="minorHAnsi" w:cstheme="minorBidi"/>
                <w:bCs/>
                <w:color w:val="000000"/>
                <w:sz w:val="16"/>
                <w:szCs w:val="16"/>
              </w:rPr>
              <w:t xml:space="preserve">Povećanje </w:t>
            </w:r>
            <w:r>
              <w:rPr>
                <w:rFonts w:asciiTheme="minorHAnsi" w:hAnsiTheme="minorHAnsi" w:cstheme="minorBidi"/>
                <w:bCs/>
                <w:color w:val="000000"/>
                <w:sz w:val="16"/>
                <w:szCs w:val="16"/>
              </w:rPr>
              <w:t>broja realiziranih investicija</w:t>
            </w:r>
          </w:p>
        </w:tc>
        <w:tc>
          <w:tcPr>
            <w:tcW w:w="4915" w:type="dxa"/>
            <w:tcBorders>
              <w:top w:val="nil"/>
              <w:left w:val="nil"/>
              <w:bottom w:val="single" w:sz="4" w:space="0" w:color="auto"/>
              <w:right w:val="single" w:sz="4" w:space="0" w:color="auto"/>
            </w:tcBorders>
            <w:shd w:val="clear" w:color="auto" w:fill="auto"/>
          </w:tcPr>
          <w:p w:rsidR="00671FBC" w:rsidRPr="002426CF" w:rsidRDefault="00671FBC" w:rsidP="00671FBC">
            <w:pPr>
              <w:spacing w:after="0" w:line="240" w:lineRule="auto"/>
              <w:jc w:val="both"/>
              <w:rPr>
                <w:rFonts w:asciiTheme="minorHAnsi" w:hAnsiTheme="minorHAnsi" w:cstheme="minorBidi"/>
                <w:bCs/>
                <w:color w:val="000000"/>
                <w:sz w:val="16"/>
                <w:szCs w:val="16"/>
              </w:rPr>
            </w:pPr>
            <w:r>
              <w:rPr>
                <w:rFonts w:asciiTheme="minorHAnsi" w:hAnsiTheme="minorHAnsi" w:cstheme="minorBidi"/>
                <w:bCs/>
                <w:color w:val="000000"/>
                <w:sz w:val="16"/>
                <w:szCs w:val="16"/>
              </w:rPr>
              <w:t>Broj realiziranih investicijskih projekata</w:t>
            </w:r>
          </w:p>
        </w:tc>
      </w:tr>
      <w:tr w:rsidR="00671FBC" w:rsidRPr="002426CF" w:rsidTr="00671FBC">
        <w:trPr>
          <w:trHeight w:val="208"/>
        </w:trPr>
        <w:tc>
          <w:tcPr>
            <w:tcW w:w="3813" w:type="dxa"/>
            <w:tcBorders>
              <w:top w:val="nil"/>
              <w:left w:val="single" w:sz="4" w:space="0" w:color="auto"/>
              <w:bottom w:val="single" w:sz="4" w:space="0" w:color="auto"/>
              <w:right w:val="single" w:sz="4" w:space="0" w:color="auto"/>
            </w:tcBorders>
            <w:shd w:val="clear" w:color="auto" w:fill="auto"/>
            <w:hideMark/>
          </w:tcPr>
          <w:p w:rsidR="00671FBC" w:rsidRPr="002426CF" w:rsidRDefault="00671FBC" w:rsidP="00671FBC">
            <w:pPr>
              <w:spacing w:after="0" w:line="240" w:lineRule="auto"/>
              <w:ind w:left="708" w:hanging="708"/>
              <w:jc w:val="both"/>
              <w:rPr>
                <w:rFonts w:asciiTheme="minorHAnsi" w:eastAsiaTheme="minorEastAsia" w:hAnsiTheme="minorHAnsi" w:cstheme="minorHAnsi"/>
                <w:sz w:val="16"/>
                <w:szCs w:val="16"/>
              </w:rPr>
            </w:pPr>
            <w:r w:rsidRPr="002426CF">
              <w:rPr>
                <w:rFonts w:asciiTheme="minorHAnsi" w:eastAsiaTheme="minorEastAsia" w:hAnsiTheme="minorHAnsi" w:cstheme="minorHAnsi"/>
                <w:sz w:val="16"/>
                <w:szCs w:val="16"/>
              </w:rPr>
              <w:t>4.2. Praćenje investicija i post-investicijska briga</w:t>
            </w:r>
          </w:p>
        </w:tc>
        <w:tc>
          <w:tcPr>
            <w:tcW w:w="5189" w:type="dxa"/>
            <w:tcBorders>
              <w:top w:val="nil"/>
              <w:left w:val="nil"/>
              <w:bottom w:val="single" w:sz="4" w:space="0" w:color="auto"/>
              <w:right w:val="single" w:sz="4" w:space="0" w:color="auto"/>
            </w:tcBorders>
            <w:shd w:val="clear" w:color="auto" w:fill="auto"/>
            <w:hideMark/>
          </w:tcPr>
          <w:p w:rsidR="00671FBC" w:rsidRPr="002426CF" w:rsidRDefault="00671FBC" w:rsidP="00671FBC">
            <w:pPr>
              <w:spacing w:after="0" w:line="240" w:lineRule="auto"/>
              <w:jc w:val="both"/>
              <w:rPr>
                <w:rFonts w:asciiTheme="minorHAnsi" w:hAnsiTheme="minorHAnsi" w:cstheme="minorBidi"/>
                <w:bCs/>
                <w:color w:val="000000"/>
                <w:sz w:val="16"/>
                <w:szCs w:val="16"/>
              </w:rPr>
            </w:pPr>
            <w:r w:rsidRPr="002426CF">
              <w:rPr>
                <w:rFonts w:asciiTheme="minorHAnsi" w:hAnsiTheme="minorHAnsi" w:cstheme="minorBidi"/>
                <w:bCs/>
                <w:color w:val="000000"/>
                <w:sz w:val="16"/>
                <w:szCs w:val="16"/>
              </w:rPr>
              <w:t>Nastavak investicijskih aktivnosti stranih investitora u RH</w:t>
            </w:r>
          </w:p>
        </w:tc>
        <w:tc>
          <w:tcPr>
            <w:tcW w:w="4915" w:type="dxa"/>
            <w:tcBorders>
              <w:top w:val="nil"/>
              <w:left w:val="nil"/>
              <w:bottom w:val="single" w:sz="4" w:space="0" w:color="auto"/>
              <w:right w:val="single" w:sz="4" w:space="0" w:color="auto"/>
            </w:tcBorders>
            <w:shd w:val="clear" w:color="auto" w:fill="auto"/>
          </w:tcPr>
          <w:p w:rsidR="00671FBC" w:rsidRPr="002426CF" w:rsidRDefault="00671FBC" w:rsidP="00671FBC">
            <w:pPr>
              <w:spacing w:after="0" w:line="240" w:lineRule="auto"/>
              <w:jc w:val="both"/>
              <w:rPr>
                <w:rFonts w:asciiTheme="minorHAnsi" w:hAnsiTheme="minorHAnsi" w:cstheme="minorBidi"/>
                <w:bCs/>
                <w:color w:val="000000"/>
                <w:sz w:val="16"/>
                <w:szCs w:val="16"/>
              </w:rPr>
            </w:pPr>
            <w:r w:rsidRPr="002426CF">
              <w:rPr>
                <w:rFonts w:asciiTheme="minorHAnsi" w:hAnsiTheme="minorHAnsi" w:cstheme="minorBidi"/>
                <w:bCs/>
                <w:color w:val="000000"/>
                <w:sz w:val="16"/>
                <w:szCs w:val="16"/>
              </w:rPr>
              <w:t xml:space="preserve">Iznos novih investicija stranih investitora </w:t>
            </w:r>
          </w:p>
        </w:tc>
      </w:tr>
    </w:tbl>
    <w:p w:rsidR="00671FBC" w:rsidRPr="00DB39D7" w:rsidRDefault="00671FBC" w:rsidP="00671FBC">
      <w:pPr>
        <w:autoSpaceDE w:val="0"/>
        <w:autoSpaceDN w:val="0"/>
        <w:adjustRightInd w:val="0"/>
        <w:spacing w:after="0" w:line="240" w:lineRule="auto"/>
        <w:jc w:val="both"/>
        <w:rPr>
          <w:rFonts w:cs="Calibri"/>
          <w:color w:val="000000"/>
        </w:rPr>
      </w:pPr>
    </w:p>
    <w:p w:rsidR="00671FBC" w:rsidRDefault="00671FBC" w:rsidP="00671FBC">
      <w:pPr>
        <w:keepNext/>
        <w:spacing w:before="240" w:after="60" w:line="240" w:lineRule="auto"/>
        <w:outlineLvl w:val="3"/>
        <w:rPr>
          <w:b/>
          <w:bCs/>
          <w:sz w:val="20"/>
          <w:szCs w:val="20"/>
          <w:lang w:val="lt-LT" w:eastAsia="lt-LT"/>
        </w:rPr>
      </w:pPr>
    </w:p>
    <w:p w:rsidR="00671FBC" w:rsidRDefault="00671FBC" w:rsidP="00671FBC">
      <w:pPr>
        <w:keepNext/>
        <w:spacing w:before="240" w:after="60" w:line="240" w:lineRule="auto"/>
        <w:outlineLvl w:val="3"/>
        <w:rPr>
          <w:b/>
          <w:bCs/>
          <w:sz w:val="20"/>
          <w:szCs w:val="20"/>
          <w:lang w:val="lt-LT" w:eastAsia="lt-LT"/>
        </w:rPr>
      </w:pPr>
    </w:p>
    <w:p w:rsidR="00671FBC" w:rsidRDefault="00671FBC" w:rsidP="00671FBC">
      <w:pPr>
        <w:keepNext/>
        <w:spacing w:before="240" w:after="60" w:line="240" w:lineRule="auto"/>
        <w:outlineLvl w:val="3"/>
        <w:rPr>
          <w:b/>
          <w:bCs/>
          <w:sz w:val="20"/>
          <w:szCs w:val="20"/>
          <w:lang w:val="lt-LT" w:eastAsia="lt-LT"/>
        </w:rPr>
      </w:pPr>
    </w:p>
    <w:p w:rsidR="00671FBC" w:rsidRDefault="00671FBC" w:rsidP="00671FBC">
      <w:pPr>
        <w:keepNext/>
        <w:spacing w:before="240" w:after="60" w:line="240" w:lineRule="auto"/>
        <w:outlineLvl w:val="3"/>
        <w:rPr>
          <w:b/>
          <w:bCs/>
          <w:sz w:val="20"/>
          <w:szCs w:val="20"/>
          <w:lang w:val="lt-LT" w:eastAsia="lt-LT"/>
        </w:rPr>
      </w:pPr>
    </w:p>
    <w:p w:rsidR="00671FBC" w:rsidRDefault="00671FBC" w:rsidP="00671FBC">
      <w:pPr>
        <w:keepNext/>
        <w:spacing w:before="240" w:after="60" w:line="240" w:lineRule="auto"/>
        <w:outlineLvl w:val="3"/>
        <w:rPr>
          <w:b/>
          <w:bCs/>
          <w:sz w:val="20"/>
          <w:szCs w:val="20"/>
          <w:lang w:val="lt-LT" w:eastAsia="lt-LT"/>
        </w:rPr>
      </w:pPr>
    </w:p>
    <w:p w:rsidR="00671FBC" w:rsidRDefault="00671FBC" w:rsidP="00671FBC">
      <w:pPr>
        <w:keepNext/>
        <w:spacing w:before="240" w:after="60" w:line="240" w:lineRule="auto"/>
        <w:outlineLvl w:val="3"/>
        <w:rPr>
          <w:b/>
          <w:bCs/>
          <w:sz w:val="20"/>
          <w:szCs w:val="20"/>
          <w:lang w:val="lt-LT" w:eastAsia="lt-LT"/>
        </w:rPr>
      </w:pPr>
    </w:p>
    <w:p w:rsidR="00671FBC" w:rsidRDefault="00671FBC" w:rsidP="00671FBC">
      <w:pPr>
        <w:keepNext/>
        <w:spacing w:before="240" w:after="60" w:line="240" w:lineRule="auto"/>
        <w:outlineLvl w:val="3"/>
        <w:rPr>
          <w:b/>
          <w:bCs/>
          <w:sz w:val="20"/>
          <w:szCs w:val="20"/>
          <w:lang w:val="lt-LT" w:eastAsia="lt-LT"/>
        </w:rPr>
      </w:pPr>
    </w:p>
    <w:p w:rsidR="00671FBC" w:rsidRDefault="00671FBC" w:rsidP="00671FBC">
      <w:pPr>
        <w:keepNext/>
        <w:spacing w:before="240" w:after="60" w:line="240" w:lineRule="auto"/>
        <w:outlineLvl w:val="3"/>
        <w:rPr>
          <w:b/>
          <w:bCs/>
          <w:sz w:val="20"/>
          <w:szCs w:val="20"/>
          <w:lang w:val="lt-LT" w:eastAsia="lt-LT"/>
        </w:rPr>
      </w:pPr>
    </w:p>
    <w:p w:rsidR="00671FBC" w:rsidRDefault="00671FBC" w:rsidP="00671FBC">
      <w:pPr>
        <w:keepNext/>
        <w:spacing w:before="240" w:after="60" w:line="240" w:lineRule="auto"/>
        <w:outlineLvl w:val="3"/>
        <w:rPr>
          <w:b/>
          <w:bCs/>
          <w:sz w:val="20"/>
          <w:szCs w:val="20"/>
          <w:lang w:val="lt-LT" w:eastAsia="lt-LT"/>
        </w:rPr>
      </w:pPr>
    </w:p>
    <w:p w:rsidR="00671FBC" w:rsidRDefault="00671FBC" w:rsidP="00671FBC">
      <w:pPr>
        <w:keepNext/>
        <w:spacing w:before="240" w:after="60" w:line="240" w:lineRule="auto"/>
        <w:outlineLvl w:val="3"/>
        <w:rPr>
          <w:b/>
          <w:bCs/>
          <w:sz w:val="20"/>
          <w:szCs w:val="20"/>
          <w:lang w:val="lt-LT" w:eastAsia="lt-LT"/>
        </w:rPr>
      </w:pPr>
    </w:p>
    <w:p w:rsidR="00671FBC" w:rsidRDefault="00671FBC" w:rsidP="00671FBC">
      <w:pPr>
        <w:keepNext/>
        <w:spacing w:before="240" w:after="60" w:line="240" w:lineRule="auto"/>
        <w:outlineLvl w:val="3"/>
        <w:rPr>
          <w:b/>
          <w:bCs/>
          <w:sz w:val="20"/>
          <w:szCs w:val="20"/>
          <w:lang w:val="lt-LT" w:eastAsia="lt-LT"/>
        </w:rPr>
      </w:pPr>
    </w:p>
    <w:p w:rsidR="00671FBC" w:rsidRDefault="00671FBC" w:rsidP="00671FBC">
      <w:pPr>
        <w:keepNext/>
        <w:spacing w:before="240" w:after="60" w:line="240" w:lineRule="auto"/>
        <w:outlineLvl w:val="3"/>
        <w:rPr>
          <w:b/>
          <w:bCs/>
          <w:sz w:val="20"/>
          <w:szCs w:val="20"/>
          <w:lang w:val="lt-LT" w:eastAsia="lt-LT"/>
        </w:rPr>
      </w:pPr>
    </w:p>
    <w:p w:rsidR="00671FBC" w:rsidRDefault="00671FBC" w:rsidP="00671FBC">
      <w:pPr>
        <w:keepNext/>
        <w:spacing w:before="240" w:after="60" w:line="240" w:lineRule="auto"/>
        <w:outlineLvl w:val="3"/>
        <w:rPr>
          <w:b/>
          <w:bCs/>
          <w:sz w:val="20"/>
          <w:szCs w:val="20"/>
          <w:lang w:val="lt-LT" w:eastAsia="lt-LT"/>
        </w:rPr>
      </w:pPr>
    </w:p>
    <w:p w:rsidR="00671FBC" w:rsidRDefault="00671FBC" w:rsidP="00671FBC">
      <w:pPr>
        <w:keepNext/>
        <w:spacing w:before="240" w:after="60" w:line="240" w:lineRule="auto"/>
        <w:outlineLvl w:val="3"/>
        <w:rPr>
          <w:b/>
          <w:bCs/>
          <w:sz w:val="20"/>
          <w:szCs w:val="20"/>
          <w:lang w:val="lt-LT" w:eastAsia="lt-LT"/>
        </w:rPr>
      </w:pPr>
    </w:p>
    <w:p w:rsidR="00671FBC" w:rsidRDefault="00671FBC" w:rsidP="00671FBC">
      <w:pPr>
        <w:rPr>
          <w:rFonts w:cs="Calibri"/>
          <w:b/>
        </w:rPr>
      </w:pPr>
    </w:p>
    <w:p w:rsidR="00671FBC" w:rsidRPr="00DB39D7" w:rsidRDefault="00671FBC" w:rsidP="00671FBC">
      <w:pPr>
        <w:rPr>
          <w:rFonts w:cs="Calibri"/>
          <w:b/>
        </w:rPr>
      </w:pPr>
      <w:r>
        <w:rPr>
          <w:rFonts w:cs="Calibri"/>
          <w:b/>
          <w:noProof/>
        </w:rPr>
        <w:lastRenderedPageBreak/>
        <mc:AlternateContent>
          <mc:Choice Requires="wps">
            <w:drawing>
              <wp:anchor distT="0" distB="0" distL="114300" distR="114300" simplePos="0" relativeHeight="251661312" behindDoc="0" locked="0" layoutInCell="1" allowOverlap="1" wp14:anchorId="07994047" wp14:editId="1D43A655">
                <wp:simplePos x="0" y="0"/>
                <wp:positionH relativeFrom="column">
                  <wp:posOffset>354965</wp:posOffset>
                </wp:positionH>
                <wp:positionV relativeFrom="paragraph">
                  <wp:posOffset>-403860</wp:posOffset>
                </wp:positionV>
                <wp:extent cx="914400" cy="9144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914400" cy="914400"/>
                        </a:xfrm>
                        <a:prstGeom prst="rect">
                          <a:avLst/>
                        </a:prstGeom>
                        <a:solidFill>
                          <a:sysClr val="window" lastClr="FFFFFF"/>
                        </a:solidFill>
                        <a:ln w="25400" cap="flat" cmpd="sng" algn="ctr">
                          <a:solidFill>
                            <a:sysClr val="window" lastClr="FFFFFF"/>
                          </a:solidFill>
                          <a:prstDash val="solid"/>
                        </a:ln>
                        <a:effectLst/>
                      </wps:spPr>
                      <wps:txbx>
                        <w:txbxContent>
                          <w:p w:rsidR="00C91A1D" w:rsidRDefault="00C91A1D" w:rsidP="00671FBC">
                            <w:pPr>
                              <w:keepNext/>
                              <w:spacing w:before="240" w:after="60" w:line="240" w:lineRule="auto"/>
                              <w:outlineLvl w:val="3"/>
                              <w:rPr>
                                <w:bCs/>
                                <w:sz w:val="20"/>
                                <w:szCs w:val="20"/>
                                <w:highlight w:val="yellow"/>
                                <w:lang w:val="lt-LT" w:eastAsia="lt-LT"/>
                              </w:rPr>
                            </w:pPr>
                            <w:r w:rsidRPr="00DB39D7">
                              <w:rPr>
                                <w:b/>
                                <w:bCs/>
                                <w:sz w:val="20"/>
                                <w:szCs w:val="20"/>
                                <w:lang w:val="lt-LT" w:eastAsia="lt-LT"/>
                              </w:rPr>
                              <w:t xml:space="preserve">DODATAK 3. </w:t>
                            </w:r>
                            <w:r>
                              <w:rPr>
                                <w:bCs/>
                                <w:sz w:val="20"/>
                                <w:szCs w:val="20"/>
                                <w:lang w:val="lt-LT" w:eastAsia="lt-LT"/>
                              </w:rPr>
                              <w:t>Grafički prikaz S</w:t>
                            </w:r>
                            <w:r w:rsidRPr="00DB39D7">
                              <w:rPr>
                                <w:bCs/>
                                <w:sz w:val="20"/>
                                <w:szCs w:val="20"/>
                                <w:lang w:val="lt-LT" w:eastAsia="lt-LT"/>
                              </w:rPr>
                              <w:t>trategije poticanja investicija Republike Hrvatske</w:t>
                            </w:r>
                            <w:r>
                              <w:rPr>
                                <w:bCs/>
                                <w:sz w:val="20"/>
                                <w:szCs w:val="20"/>
                                <w:lang w:val="lt-LT" w:eastAsia="lt-LT"/>
                              </w:rPr>
                              <w:t xml:space="preserve"> </w:t>
                            </w:r>
                          </w:p>
                          <w:p w:rsidR="00C91A1D" w:rsidRDefault="00C91A1D" w:rsidP="00671F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7" style="position:absolute;margin-left:27.95pt;margin-top:-31.8pt;width:1in;height:1in;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" fillcolor="window" strokecolor="window" strokeweight="2pt">
                <v:textbox>
                  <w:txbxContent>
                    <w:p w:rsidR="00C91A1D" w:rsidRDefault="00C91A1D" w:rsidP="00671FBC">
                      <w:pPr>
                        <w:keepNext/>
                        <w:spacing w:before="240" w:after="60" w:line="240" w:lineRule="auto"/>
                        <w:outlineLvl w:val="3"/>
                        <w:rPr>
                          <w:bCs/>
                          <w:sz w:val="20"/>
                          <w:szCs w:val="20"/>
                          <w:highlight w:val="yellow"/>
                          <w:lang w:val="lt-LT" w:eastAsia="lt-LT"/>
                        </w:rPr>
                      </w:pPr>
                      <w:r w:rsidRPr="00DB39D7">
                        <w:rPr>
                          <w:b/>
                          <w:bCs/>
                          <w:sz w:val="20"/>
                          <w:szCs w:val="20"/>
                          <w:lang w:val="lt-LT" w:eastAsia="lt-LT"/>
                        </w:rPr>
                        <w:t xml:space="preserve">DODATAK 3. </w:t>
                      </w:r>
                      <w:r>
                        <w:rPr>
                          <w:bCs/>
                          <w:sz w:val="20"/>
                          <w:szCs w:val="20"/>
                          <w:lang w:val="lt-LT" w:eastAsia="lt-LT"/>
                        </w:rPr>
                        <w:t>Grafički prikaz S</w:t>
                      </w:r>
                      <w:r w:rsidRPr="00DB39D7">
                        <w:rPr>
                          <w:bCs/>
                          <w:sz w:val="20"/>
                          <w:szCs w:val="20"/>
                          <w:lang w:val="lt-LT" w:eastAsia="lt-LT"/>
                        </w:rPr>
                        <w:t>trategije poticanja investicija Republike Hrvatske</w:t>
                      </w:r>
                      <w:r>
                        <w:rPr>
                          <w:bCs/>
                          <w:sz w:val="20"/>
                          <w:szCs w:val="20"/>
                          <w:lang w:val="lt-LT" w:eastAsia="lt-LT"/>
                        </w:rPr>
                        <w:t xml:space="preserve"> </w:t>
                      </w:r>
                    </w:p>
                    <w:p w:rsidR="00C91A1D" w:rsidRDefault="00C91A1D" w:rsidP="00671FBC">
                      <w:pPr>
                        <w:jc w:val="center"/>
                      </w:pPr>
                    </w:p>
                  </w:txbxContent>
                </v:textbox>
              </v:rect>
            </w:pict>
          </mc:Fallback>
        </mc:AlternateContent>
      </w:r>
      <w:r>
        <w:rPr>
          <w:rFonts w:cs="Calibri"/>
          <w:b/>
          <w:noProof/>
        </w:rPr>
        <w:drawing>
          <wp:inline distT="0" distB="0" distL="0" distR="0" wp14:anchorId="4750C9BE" wp14:editId="01586714">
            <wp:extent cx="9270124" cy="5454869"/>
            <wp:effectExtent l="0" t="0" r="7620" b="0"/>
            <wp:docPr id="16" name="Picture 16" descr="C:\Users\mgracin\AppData\Local\Microsoft\Windows\Temporary Internet Files\Content.Outlook\HTWT4OGV\Strategija poticanja investicija u RH 2013-2020_v1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racin\AppData\Local\Microsoft\Windows\Temporary Internet Files\Content.Outlook\HTWT4OGV\Strategija poticanja investicija u RH 2013-2020_v1_3.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73844" cy="5457058"/>
                    </a:xfrm>
                    <a:prstGeom prst="rect">
                      <a:avLst/>
                    </a:prstGeom>
                    <a:noFill/>
                    <a:ln>
                      <a:noFill/>
                    </a:ln>
                  </pic:spPr>
                </pic:pic>
              </a:graphicData>
            </a:graphic>
          </wp:inline>
        </w:drawing>
      </w:r>
    </w:p>
    <w:p w:rsidR="00671FBC" w:rsidRPr="004018D4" w:rsidRDefault="00671FBC" w:rsidP="00671FBC">
      <w:pPr>
        <w:keepNext/>
        <w:spacing w:before="240" w:after="60" w:line="240" w:lineRule="auto"/>
        <w:outlineLvl w:val="3"/>
        <w:rPr>
          <w:b/>
          <w:bCs/>
          <w:sz w:val="20"/>
          <w:szCs w:val="20"/>
          <w:lang w:eastAsia="lt-LT"/>
        </w:rPr>
      </w:pPr>
      <w:r w:rsidRPr="004018D4">
        <w:rPr>
          <w:b/>
          <w:bCs/>
          <w:sz w:val="20"/>
          <w:szCs w:val="20"/>
          <w:lang w:eastAsia="lt-LT"/>
        </w:rPr>
        <w:lastRenderedPageBreak/>
        <w:t xml:space="preserve">DODATAK 4. </w:t>
      </w:r>
      <w:r w:rsidRPr="004018D4">
        <w:rPr>
          <w:bCs/>
          <w:sz w:val="20"/>
          <w:szCs w:val="20"/>
          <w:lang w:eastAsia="lt-LT"/>
        </w:rPr>
        <w:t>Prikaz lokacijskih determinanti za privlačenje investicija</w:t>
      </w:r>
      <w:r w:rsidRPr="004018D4">
        <w:rPr>
          <w:b/>
          <w:bCs/>
          <w:sz w:val="20"/>
          <w:szCs w:val="20"/>
          <w:lang w:eastAsia="lt-LT"/>
        </w:rPr>
        <w:tab/>
        <w:t xml:space="preserve">                                                                                            </w:t>
      </w:r>
    </w:p>
    <w:p w:rsidR="00671FBC" w:rsidRPr="004018D4" w:rsidRDefault="00671FBC" w:rsidP="00671FBC">
      <w:pPr>
        <w:rPr>
          <w:rFonts w:cs="Calibri"/>
          <w:sz w:val="16"/>
          <w:szCs w:val="16"/>
        </w:rPr>
      </w:pPr>
    </w:p>
    <w:tbl>
      <w:tblPr>
        <w:tblW w:w="14474" w:type="dxa"/>
        <w:tblInd w:w="93" w:type="dxa"/>
        <w:tblLook w:val="00A0" w:firstRow="1" w:lastRow="0" w:firstColumn="1" w:lastColumn="0" w:noHBand="0" w:noVBand="0"/>
      </w:tblPr>
      <w:tblGrid>
        <w:gridCol w:w="3559"/>
        <w:gridCol w:w="4961"/>
        <w:gridCol w:w="3261"/>
        <w:gridCol w:w="2693"/>
      </w:tblGrid>
      <w:tr w:rsidR="00671FBC" w:rsidRPr="004018D4" w:rsidTr="00671FBC">
        <w:trPr>
          <w:trHeight w:val="1020"/>
        </w:trPr>
        <w:tc>
          <w:tcPr>
            <w:tcW w:w="3559" w:type="dxa"/>
            <w:tcBorders>
              <w:top w:val="single" w:sz="4" w:space="0" w:color="auto"/>
              <w:left w:val="single" w:sz="4" w:space="0" w:color="auto"/>
              <w:bottom w:val="single" w:sz="4" w:space="0" w:color="auto"/>
              <w:right w:val="single" w:sz="4" w:space="0" w:color="auto"/>
            </w:tcBorders>
            <w:shd w:val="clear" w:color="000000" w:fill="8DB4E2"/>
            <w:noWrap/>
            <w:vAlign w:val="center"/>
          </w:tcPr>
          <w:p w:rsidR="00671FBC" w:rsidRPr="004018D4" w:rsidRDefault="00671FBC" w:rsidP="00671FBC">
            <w:pPr>
              <w:spacing w:after="0" w:line="240" w:lineRule="auto"/>
              <w:jc w:val="center"/>
              <w:rPr>
                <w:b/>
                <w:bCs/>
                <w:color w:val="000000"/>
                <w:sz w:val="20"/>
                <w:szCs w:val="20"/>
              </w:rPr>
            </w:pPr>
            <w:r w:rsidRPr="004018D4">
              <w:rPr>
                <w:b/>
                <w:bCs/>
                <w:color w:val="000000"/>
                <w:sz w:val="20"/>
                <w:szCs w:val="20"/>
              </w:rPr>
              <w:t>GRUPE EKONOMSKIH AKTIVNOSTI</w:t>
            </w:r>
          </w:p>
        </w:tc>
        <w:tc>
          <w:tcPr>
            <w:tcW w:w="4961" w:type="dxa"/>
            <w:tcBorders>
              <w:top w:val="single" w:sz="4" w:space="0" w:color="auto"/>
              <w:left w:val="nil"/>
              <w:bottom w:val="single" w:sz="4" w:space="0" w:color="auto"/>
              <w:right w:val="single" w:sz="4" w:space="0" w:color="auto"/>
            </w:tcBorders>
            <w:shd w:val="clear" w:color="000000" w:fill="8DB4E2"/>
            <w:noWrap/>
            <w:vAlign w:val="center"/>
          </w:tcPr>
          <w:p w:rsidR="00671FBC" w:rsidRPr="004018D4" w:rsidRDefault="00671FBC" w:rsidP="00671FBC">
            <w:pPr>
              <w:spacing w:after="0" w:line="240" w:lineRule="auto"/>
              <w:jc w:val="center"/>
              <w:rPr>
                <w:b/>
                <w:bCs/>
                <w:color w:val="000000"/>
                <w:sz w:val="20"/>
                <w:szCs w:val="20"/>
              </w:rPr>
            </w:pPr>
            <w:r w:rsidRPr="004018D4">
              <w:rPr>
                <w:b/>
                <w:bCs/>
                <w:color w:val="000000"/>
                <w:sz w:val="20"/>
                <w:szCs w:val="20"/>
              </w:rPr>
              <w:t>KLJUČNI ZAJEDNIČKI ZAHTJEVI</w:t>
            </w:r>
          </w:p>
        </w:tc>
        <w:tc>
          <w:tcPr>
            <w:tcW w:w="3261" w:type="dxa"/>
            <w:tcBorders>
              <w:top w:val="single" w:sz="4" w:space="0" w:color="auto"/>
              <w:left w:val="nil"/>
              <w:bottom w:val="single" w:sz="4" w:space="0" w:color="auto"/>
              <w:right w:val="single" w:sz="4" w:space="0" w:color="auto"/>
            </w:tcBorders>
            <w:shd w:val="clear" w:color="000000" w:fill="8DB4E2"/>
            <w:noWrap/>
            <w:vAlign w:val="center"/>
          </w:tcPr>
          <w:p w:rsidR="00671FBC" w:rsidRPr="004018D4" w:rsidRDefault="00671FBC" w:rsidP="00671FBC">
            <w:pPr>
              <w:spacing w:after="0" w:line="240" w:lineRule="auto"/>
              <w:jc w:val="center"/>
              <w:rPr>
                <w:b/>
                <w:bCs/>
                <w:color w:val="000000"/>
                <w:sz w:val="20"/>
                <w:szCs w:val="20"/>
              </w:rPr>
            </w:pPr>
            <w:r w:rsidRPr="004018D4">
              <w:rPr>
                <w:b/>
                <w:bCs/>
                <w:color w:val="000000"/>
                <w:sz w:val="20"/>
                <w:szCs w:val="20"/>
              </w:rPr>
              <w:t>NAJBOLJE LOKACIJE</w:t>
            </w:r>
          </w:p>
        </w:tc>
        <w:tc>
          <w:tcPr>
            <w:tcW w:w="2693" w:type="dxa"/>
            <w:tcBorders>
              <w:top w:val="single" w:sz="4" w:space="0" w:color="auto"/>
              <w:left w:val="nil"/>
              <w:bottom w:val="single" w:sz="4" w:space="0" w:color="auto"/>
              <w:right w:val="single" w:sz="4" w:space="0" w:color="auto"/>
            </w:tcBorders>
            <w:shd w:val="clear" w:color="000000" w:fill="8DB4E2"/>
            <w:noWrap/>
            <w:vAlign w:val="center"/>
          </w:tcPr>
          <w:p w:rsidR="00671FBC" w:rsidRPr="004018D4" w:rsidRDefault="00671FBC" w:rsidP="00671FBC">
            <w:pPr>
              <w:spacing w:after="0" w:line="240" w:lineRule="auto"/>
              <w:jc w:val="center"/>
              <w:rPr>
                <w:b/>
                <w:bCs/>
                <w:color w:val="000000"/>
                <w:sz w:val="20"/>
                <w:szCs w:val="20"/>
              </w:rPr>
            </w:pPr>
            <w:r w:rsidRPr="004018D4">
              <w:rPr>
                <w:b/>
                <w:bCs/>
                <w:color w:val="000000"/>
                <w:sz w:val="20"/>
                <w:szCs w:val="20"/>
              </w:rPr>
              <w:t>RESURSI</w:t>
            </w:r>
          </w:p>
        </w:tc>
      </w:tr>
      <w:tr w:rsidR="00671FBC" w:rsidRPr="004018D4" w:rsidTr="00671FBC">
        <w:trPr>
          <w:trHeight w:val="1665"/>
        </w:trPr>
        <w:tc>
          <w:tcPr>
            <w:tcW w:w="3559" w:type="dxa"/>
            <w:tcBorders>
              <w:top w:val="nil"/>
              <w:left w:val="single" w:sz="4" w:space="0" w:color="auto"/>
              <w:bottom w:val="single" w:sz="4" w:space="0" w:color="auto"/>
              <w:right w:val="single" w:sz="4" w:space="0" w:color="auto"/>
            </w:tcBorders>
            <w:shd w:val="clear" w:color="000000" w:fill="DCE6F1"/>
            <w:vAlign w:val="center"/>
          </w:tcPr>
          <w:p w:rsidR="00671FBC" w:rsidRPr="004018D4" w:rsidRDefault="00671FBC" w:rsidP="00671FBC">
            <w:pPr>
              <w:spacing w:after="0" w:line="240" w:lineRule="auto"/>
              <w:rPr>
                <w:color w:val="000000"/>
                <w:sz w:val="18"/>
                <w:szCs w:val="18"/>
              </w:rPr>
            </w:pPr>
            <w:r w:rsidRPr="004018D4">
              <w:rPr>
                <w:b/>
                <w:bCs/>
                <w:i/>
                <w:iCs/>
                <w:color w:val="000000"/>
                <w:sz w:val="18"/>
                <w:szCs w:val="18"/>
              </w:rPr>
              <w:t>1. Nove industrije</w:t>
            </w:r>
            <w:r w:rsidRPr="004018D4">
              <w:rPr>
                <w:color w:val="000000"/>
                <w:sz w:val="18"/>
                <w:szCs w:val="18"/>
              </w:rPr>
              <w:br/>
              <w:t>• Medi</w:t>
            </w:r>
            <w:r>
              <w:rPr>
                <w:color w:val="000000"/>
                <w:sz w:val="18"/>
                <w:szCs w:val="18"/>
              </w:rPr>
              <w:t>ji/multi</w:t>
            </w:r>
            <w:r w:rsidRPr="004018D4">
              <w:rPr>
                <w:color w:val="000000"/>
                <w:sz w:val="18"/>
                <w:szCs w:val="18"/>
              </w:rPr>
              <w:t>medi</w:t>
            </w:r>
            <w:r>
              <w:rPr>
                <w:color w:val="000000"/>
                <w:sz w:val="18"/>
                <w:szCs w:val="18"/>
              </w:rPr>
              <w:t>ja</w:t>
            </w:r>
            <w:r w:rsidRPr="004018D4">
              <w:rPr>
                <w:color w:val="000000"/>
                <w:sz w:val="18"/>
                <w:szCs w:val="18"/>
              </w:rPr>
              <w:br/>
              <w:t>• Biotehnologija</w:t>
            </w:r>
            <w:r w:rsidRPr="004018D4">
              <w:rPr>
                <w:color w:val="000000"/>
                <w:sz w:val="18"/>
                <w:szCs w:val="18"/>
              </w:rPr>
              <w:br/>
              <w:t xml:space="preserve">• </w:t>
            </w:r>
            <w:proofErr w:type="spellStart"/>
            <w:r w:rsidRPr="004018D4">
              <w:rPr>
                <w:color w:val="000000"/>
                <w:sz w:val="18"/>
                <w:szCs w:val="18"/>
              </w:rPr>
              <w:t>Nanotehnologija</w:t>
            </w:r>
            <w:proofErr w:type="spellEnd"/>
          </w:p>
        </w:tc>
        <w:tc>
          <w:tcPr>
            <w:tcW w:w="4961" w:type="dxa"/>
            <w:tcBorders>
              <w:top w:val="nil"/>
              <w:left w:val="nil"/>
              <w:bottom w:val="single" w:sz="4" w:space="0" w:color="auto"/>
              <w:right w:val="single" w:sz="4" w:space="0" w:color="auto"/>
            </w:tcBorders>
            <w:shd w:val="clear" w:color="000000" w:fill="DCE6F1"/>
            <w:vAlign w:val="center"/>
          </w:tcPr>
          <w:p w:rsidR="00671FBC" w:rsidRPr="004018D4" w:rsidRDefault="00671FBC" w:rsidP="00671FBC">
            <w:pPr>
              <w:spacing w:after="0" w:line="240" w:lineRule="auto"/>
              <w:rPr>
                <w:color w:val="000000"/>
                <w:sz w:val="18"/>
                <w:szCs w:val="18"/>
              </w:rPr>
            </w:pPr>
            <w:r w:rsidRPr="004018D4">
              <w:rPr>
                <w:color w:val="000000"/>
                <w:sz w:val="18"/>
                <w:szCs w:val="18"/>
              </w:rPr>
              <w:t xml:space="preserve">• Visoka sklonost </w:t>
            </w:r>
            <w:proofErr w:type="spellStart"/>
            <w:r w:rsidRPr="004018D4">
              <w:rPr>
                <w:color w:val="000000"/>
                <w:sz w:val="18"/>
                <w:szCs w:val="18"/>
              </w:rPr>
              <w:t>klasterima</w:t>
            </w:r>
            <w:proofErr w:type="spellEnd"/>
            <w:r w:rsidRPr="004018D4">
              <w:rPr>
                <w:color w:val="000000"/>
                <w:sz w:val="18"/>
                <w:szCs w:val="18"/>
              </w:rPr>
              <w:br/>
              <w:t>• Pristup vodećim tehnologijama i inovativno okruženje</w:t>
            </w:r>
            <w:r w:rsidRPr="004018D4">
              <w:rPr>
                <w:color w:val="000000"/>
                <w:sz w:val="18"/>
                <w:szCs w:val="18"/>
              </w:rPr>
              <w:br/>
              <w:t>• Prisutnost sveučilišta, istraživača i kvalificiranog rada</w:t>
            </w:r>
            <w:r w:rsidRPr="004018D4">
              <w:rPr>
                <w:color w:val="000000"/>
                <w:sz w:val="18"/>
                <w:szCs w:val="18"/>
              </w:rPr>
              <w:br/>
              <w:t>• Otvoren za</w:t>
            </w:r>
            <w:r w:rsidRPr="004018D4">
              <w:rPr>
                <w:color w:val="FF0000"/>
                <w:sz w:val="18"/>
                <w:szCs w:val="18"/>
              </w:rPr>
              <w:t xml:space="preserve"> </w:t>
            </w:r>
            <w:r w:rsidRPr="00166441">
              <w:rPr>
                <w:sz w:val="18"/>
                <w:szCs w:val="18"/>
              </w:rPr>
              <w:t xml:space="preserve">katalitičke inicijative </w:t>
            </w:r>
            <w:r w:rsidRPr="004018D4">
              <w:rPr>
                <w:color w:val="000000"/>
                <w:sz w:val="18"/>
                <w:szCs w:val="18"/>
              </w:rPr>
              <w:t>i državne potpore</w:t>
            </w:r>
            <w:r w:rsidRPr="004018D4">
              <w:rPr>
                <w:color w:val="000000"/>
                <w:sz w:val="18"/>
                <w:szCs w:val="18"/>
              </w:rPr>
              <w:br/>
              <w:t>• Prestižne lokacije u kvalitetnom okruženju</w:t>
            </w:r>
            <w:r w:rsidRPr="004018D4">
              <w:rPr>
                <w:color w:val="000000"/>
                <w:sz w:val="18"/>
                <w:szCs w:val="18"/>
              </w:rPr>
              <w:br/>
              <w:t>• Izvrsna infrastruktura i pristup kupcima/tržištima</w:t>
            </w:r>
          </w:p>
        </w:tc>
        <w:tc>
          <w:tcPr>
            <w:tcW w:w="3261" w:type="dxa"/>
            <w:tcBorders>
              <w:top w:val="nil"/>
              <w:left w:val="nil"/>
              <w:bottom w:val="single" w:sz="4" w:space="0" w:color="auto"/>
              <w:right w:val="single" w:sz="4" w:space="0" w:color="auto"/>
            </w:tcBorders>
            <w:shd w:val="clear" w:color="000000" w:fill="DCE6F1"/>
          </w:tcPr>
          <w:p w:rsidR="00671FBC" w:rsidRPr="004018D4" w:rsidRDefault="00671FBC" w:rsidP="00671FBC">
            <w:pPr>
              <w:spacing w:after="0" w:line="240" w:lineRule="auto"/>
              <w:rPr>
                <w:color w:val="000000"/>
                <w:sz w:val="18"/>
                <w:szCs w:val="18"/>
              </w:rPr>
            </w:pPr>
            <w:r w:rsidRPr="004018D4">
              <w:rPr>
                <w:color w:val="000000"/>
                <w:sz w:val="18"/>
                <w:szCs w:val="18"/>
              </w:rPr>
              <w:t>Ujedinjeno Kraljevstvo, Sjedinjene Američke Države, Njemačka, Indija</w:t>
            </w:r>
            <w:r w:rsidRPr="004018D4">
              <w:rPr>
                <w:color w:val="000000"/>
                <w:sz w:val="18"/>
                <w:szCs w:val="18"/>
              </w:rPr>
              <w:br/>
              <w:t>Singapur, Kina</w:t>
            </w:r>
          </w:p>
        </w:tc>
        <w:tc>
          <w:tcPr>
            <w:tcW w:w="2693" w:type="dxa"/>
            <w:tcBorders>
              <w:top w:val="nil"/>
              <w:left w:val="nil"/>
              <w:bottom w:val="single" w:sz="4" w:space="0" w:color="auto"/>
              <w:right w:val="single" w:sz="4" w:space="0" w:color="auto"/>
            </w:tcBorders>
            <w:shd w:val="clear" w:color="000000" w:fill="DCE6F1"/>
          </w:tcPr>
          <w:p w:rsidR="00671FBC" w:rsidRPr="004018D4" w:rsidRDefault="00671FBC" w:rsidP="00671FBC">
            <w:pPr>
              <w:spacing w:after="0" w:line="240" w:lineRule="auto"/>
              <w:rPr>
                <w:color w:val="000000"/>
                <w:sz w:val="18"/>
                <w:szCs w:val="18"/>
              </w:rPr>
            </w:pPr>
            <w:r w:rsidRPr="004018D4">
              <w:rPr>
                <w:color w:val="000000"/>
                <w:sz w:val="18"/>
                <w:szCs w:val="18"/>
              </w:rPr>
              <w:t>Sjedinjene Američke Države,</w:t>
            </w:r>
            <w:r w:rsidRPr="004018D4">
              <w:rPr>
                <w:color w:val="000000"/>
                <w:sz w:val="18"/>
                <w:szCs w:val="18"/>
              </w:rPr>
              <w:br/>
              <w:t>Nje</w:t>
            </w:r>
            <w:r>
              <w:rPr>
                <w:color w:val="000000"/>
                <w:sz w:val="18"/>
                <w:szCs w:val="18"/>
              </w:rPr>
              <w:t>mačka,</w:t>
            </w:r>
            <w:r>
              <w:rPr>
                <w:color w:val="000000"/>
                <w:sz w:val="18"/>
                <w:szCs w:val="18"/>
              </w:rPr>
              <w:br/>
              <w:t>Ujedinjeno Kraljevstvo,</w:t>
            </w:r>
            <w:r>
              <w:rPr>
                <w:color w:val="000000"/>
                <w:sz w:val="18"/>
                <w:szCs w:val="18"/>
              </w:rPr>
              <w:br/>
              <w:t>J</w:t>
            </w:r>
            <w:r w:rsidRPr="004018D4">
              <w:rPr>
                <w:color w:val="000000"/>
                <w:sz w:val="18"/>
                <w:szCs w:val="18"/>
              </w:rPr>
              <w:t>apan,</w:t>
            </w:r>
            <w:r w:rsidRPr="004018D4">
              <w:rPr>
                <w:color w:val="000000"/>
                <w:sz w:val="18"/>
                <w:szCs w:val="18"/>
              </w:rPr>
              <w:br/>
              <w:t>Francuska,</w:t>
            </w:r>
            <w:r w:rsidRPr="004018D4">
              <w:rPr>
                <w:color w:val="000000"/>
                <w:sz w:val="18"/>
                <w:szCs w:val="18"/>
              </w:rPr>
              <w:br/>
              <w:t>Kanada</w:t>
            </w:r>
          </w:p>
        </w:tc>
      </w:tr>
      <w:tr w:rsidR="00671FBC" w:rsidRPr="004018D4" w:rsidTr="00671FBC">
        <w:trPr>
          <w:trHeight w:val="2205"/>
        </w:trPr>
        <w:tc>
          <w:tcPr>
            <w:tcW w:w="3559" w:type="dxa"/>
            <w:tcBorders>
              <w:top w:val="nil"/>
              <w:left w:val="single" w:sz="4" w:space="0" w:color="auto"/>
              <w:bottom w:val="single" w:sz="4" w:space="0" w:color="auto"/>
              <w:right w:val="single" w:sz="4" w:space="0" w:color="auto"/>
            </w:tcBorders>
            <w:shd w:val="clear" w:color="000000" w:fill="DCE6F1"/>
            <w:vAlign w:val="center"/>
          </w:tcPr>
          <w:p w:rsidR="00671FBC" w:rsidRPr="004018D4" w:rsidRDefault="00671FBC" w:rsidP="00671FBC">
            <w:pPr>
              <w:spacing w:after="0" w:line="240" w:lineRule="auto"/>
              <w:rPr>
                <w:color w:val="000000"/>
                <w:sz w:val="18"/>
                <w:szCs w:val="18"/>
              </w:rPr>
            </w:pPr>
            <w:r w:rsidRPr="004018D4">
              <w:rPr>
                <w:b/>
                <w:bCs/>
                <w:i/>
                <w:iCs/>
                <w:color w:val="000000"/>
                <w:sz w:val="18"/>
                <w:szCs w:val="18"/>
              </w:rPr>
              <w:t>2. Proizvodnja visoke tehnologije</w:t>
            </w:r>
            <w:r w:rsidRPr="004018D4">
              <w:rPr>
                <w:color w:val="000000"/>
                <w:sz w:val="18"/>
                <w:szCs w:val="18"/>
              </w:rPr>
              <w:br/>
              <w:t>• Poluvodiči</w:t>
            </w:r>
            <w:r w:rsidRPr="004018D4">
              <w:rPr>
                <w:color w:val="000000"/>
                <w:sz w:val="18"/>
                <w:szCs w:val="18"/>
              </w:rPr>
              <w:br/>
              <w:t>• Telekomunikacijska oprema</w:t>
            </w:r>
            <w:r w:rsidRPr="004018D4">
              <w:rPr>
                <w:color w:val="000000"/>
                <w:sz w:val="18"/>
                <w:szCs w:val="18"/>
              </w:rPr>
              <w:br/>
              <w:t>• Farmaceutika i fine kemikalije</w:t>
            </w:r>
            <w:r w:rsidRPr="004018D4">
              <w:rPr>
                <w:color w:val="000000"/>
                <w:sz w:val="18"/>
                <w:szCs w:val="18"/>
              </w:rPr>
              <w:br/>
              <w:t>• Napredni materijali</w:t>
            </w:r>
            <w:r w:rsidRPr="004018D4">
              <w:rPr>
                <w:color w:val="000000"/>
                <w:sz w:val="18"/>
                <w:szCs w:val="18"/>
              </w:rPr>
              <w:br/>
              <w:t>• Aeronautika i astronautika</w:t>
            </w:r>
          </w:p>
        </w:tc>
        <w:tc>
          <w:tcPr>
            <w:tcW w:w="4961" w:type="dxa"/>
            <w:tcBorders>
              <w:top w:val="nil"/>
              <w:left w:val="nil"/>
              <w:bottom w:val="single" w:sz="4" w:space="0" w:color="auto"/>
              <w:right w:val="single" w:sz="4" w:space="0" w:color="auto"/>
            </w:tcBorders>
            <w:shd w:val="clear" w:color="000000" w:fill="DCE6F1"/>
            <w:vAlign w:val="center"/>
          </w:tcPr>
          <w:p w:rsidR="00671FBC" w:rsidRPr="004018D4" w:rsidRDefault="00671FBC" w:rsidP="00671FBC">
            <w:pPr>
              <w:spacing w:after="0" w:line="240" w:lineRule="auto"/>
              <w:rPr>
                <w:color w:val="000000"/>
                <w:sz w:val="18"/>
                <w:szCs w:val="18"/>
              </w:rPr>
            </w:pPr>
            <w:r w:rsidRPr="004018D4">
              <w:rPr>
                <w:color w:val="000000"/>
                <w:sz w:val="18"/>
                <w:szCs w:val="18"/>
              </w:rPr>
              <w:t>• Postojeća baza vještina</w:t>
            </w:r>
            <w:r w:rsidRPr="004018D4">
              <w:rPr>
                <w:color w:val="000000"/>
                <w:sz w:val="18"/>
                <w:szCs w:val="18"/>
              </w:rPr>
              <w:br/>
              <w:t>• Pristup velikim i rastućim tržištima i ključnim kupcima</w:t>
            </w:r>
            <w:r w:rsidRPr="004018D4">
              <w:rPr>
                <w:color w:val="000000"/>
                <w:sz w:val="18"/>
                <w:szCs w:val="18"/>
              </w:rPr>
              <w:br/>
              <w:t>• Dostignuća u privlačenju  proizvodnje visoke tehnologije</w:t>
            </w:r>
            <w:r w:rsidRPr="004018D4">
              <w:rPr>
                <w:color w:val="000000"/>
                <w:sz w:val="18"/>
                <w:szCs w:val="18"/>
              </w:rPr>
              <w:br/>
              <w:t>• Osjetljiv na razlike u troškovima poslovanja i porezima/poticajima</w:t>
            </w:r>
            <w:r w:rsidRPr="004018D4">
              <w:rPr>
                <w:color w:val="000000"/>
                <w:sz w:val="18"/>
                <w:szCs w:val="18"/>
              </w:rPr>
              <w:br/>
              <w:t>• Komunikacija visoke kvalitete</w:t>
            </w:r>
            <w:r w:rsidRPr="004018D4">
              <w:rPr>
                <w:color w:val="000000"/>
                <w:sz w:val="18"/>
                <w:szCs w:val="18"/>
              </w:rPr>
              <w:br/>
              <w:t>• Brza trasa, namjenski prostor uz punu potporu vlasti</w:t>
            </w:r>
          </w:p>
        </w:tc>
        <w:tc>
          <w:tcPr>
            <w:tcW w:w="3261" w:type="dxa"/>
            <w:tcBorders>
              <w:top w:val="nil"/>
              <w:left w:val="nil"/>
              <w:bottom w:val="single" w:sz="4" w:space="0" w:color="auto"/>
              <w:right w:val="single" w:sz="4" w:space="0" w:color="auto"/>
            </w:tcBorders>
            <w:shd w:val="clear" w:color="000000" w:fill="DCE6F1"/>
          </w:tcPr>
          <w:p w:rsidR="00671FBC" w:rsidRPr="004018D4" w:rsidRDefault="00671FBC" w:rsidP="00671FBC">
            <w:pPr>
              <w:spacing w:after="0" w:line="240" w:lineRule="auto"/>
              <w:rPr>
                <w:color w:val="000000"/>
                <w:sz w:val="18"/>
                <w:szCs w:val="18"/>
              </w:rPr>
            </w:pPr>
            <w:r w:rsidRPr="004018D4">
              <w:rPr>
                <w:color w:val="000000"/>
                <w:sz w:val="18"/>
                <w:szCs w:val="18"/>
              </w:rPr>
              <w:t>Kina, Sjedinjene Američke Države, Velika Britanija, Kanada, Singapur, Njemačka</w:t>
            </w:r>
          </w:p>
        </w:tc>
        <w:tc>
          <w:tcPr>
            <w:tcW w:w="2693" w:type="dxa"/>
            <w:tcBorders>
              <w:top w:val="nil"/>
              <w:left w:val="nil"/>
              <w:bottom w:val="single" w:sz="4" w:space="0" w:color="auto"/>
              <w:right w:val="single" w:sz="4" w:space="0" w:color="auto"/>
            </w:tcBorders>
            <w:shd w:val="clear" w:color="000000" w:fill="DCE6F1"/>
          </w:tcPr>
          <w:p w:rsidR="00671FBC" w:rsidRPr="004018D4" w:rsidRDefault="00671FBC" w:rsidP="00671FBC">
            <w:pPr>
              <w:spacing w:after="0" w:line="240" w:lineRule="auto"/>
              <w:rPr>
                <w:color w:val="000000"/>
                <w:sz w:val="18"/>
                <w:szCs w:val="18"/>
              </w:rPr>
            </w:pPr>
            <w:r w:rsidRPr="004018D4">
              <w:rPr>
                <w:color w:val="000000"/>
                <w:sz w:val="18"/>
                <w:szCs w:val="18"/>
              </w:rPr>
              <w:t>Sjedinjene Američke Države,</w:t>
            </w:r>
            <w:r w:rsidRPr="004018D4">
              <w:rPr>
                <w:color w:val="000000"/>
                <w:sz w:val="18"/>
                <w:szCs w:val="18"/>
              </w:rPr>
              <w:br/>
              <w:t>Japan, Njemačka, Ujedinjeno Kraljevstvo, Francuska, Nizozemska</w:t>
            </w:r>
          </w:p>
        </w:tc>
      </w:tr>
      <w:tr w:rsidR="00671FBC" w:rsidRPr="004018D4" w:rsidTr="00671FBC">
        <w:trPr>
          <w:trHeight w:val="2380"/>
        </w:trPr>
        <w:tc>
          <w:tcPr>
            <w:tcW w:w="3559" w:type="dxa"/>
            <w:tcBorders>
              <w:top w:val="nil"/>
              <w:left w:val="single" w:sz="4" w:space="0" w:color="auto"/>
              <w:bottom w:val="single" w:sz="4" w:space="0" w:color="auto"/>
              <w:right w:val="single" w:sz="4" w:space="0" w:color="auto"/>
            </w:tcBorders>
            <w:shd w:val="clear" w:color="000000" w:fill="DCE6F1"/>
            <w:vAlign w:val="center"/>
          </w:tcPr>
          <w:p w:rsidR="00671FBC" w:rsidRPr="004018D4" w:rsidRDefault="00671FBC" w:rsidP="00671FBC">
            <w:pPr>
              <w:spacing w:after="0" w:line="240" w:lineRule="auto"/>
              <w:rPr>
                <w:color w:val="000000"/>
                <w:sz w:val="18"/>
                <w:szCs w:val="18"/>
              </w:rPr>
            </w:pPr>
            <w:r w:rsidRPr="00166441">
              <w:rPr>
                <w:i/>
                <w:iCs/>
                <w:sz w:val="18"/>
                <w:szCs w:val="18"/>
              </w:rPr>
              <w:t>3. Usluge visoke razine</w:t>
            </w:r>
            <w:r w:rsidRPr="004018D4">
              <w:rPr>
                <w:color w:val="000000"/>
                <w:sz w:val="18"/>
                <w:szCs w:val="18"/>
              </w:rPr>
              <w:br/>
              <w:t>• Usluge informacijske tehnologije i softvera</w:t>
            </w:r>
            <w:r w:rsidRPr="004018D4">
              <w:rPr>
                <w:color w:val="000000"/>
                <w:sz w:val="18"/>
                <w:szCs w:val="18"/>
              </w:rPr>
              <w:br/>
              <w:t>• Funkcije središnjice (HQ)</w:t>
            </w:r>
            <w:r w:rsidRPr="004018D4">
              <w:rPr>
                <w:color w:val="000000"/>
                <w:sz w:val="18"/>
                <w:szCs w:val="18"/>
              </w:rPr>
              <w:br/>
              <w:t>• Istraživanje i razvoj (R&amp;D)</w:t>
            </w:r>
            <w:r w:rsidRPr="004018D4">
              <w:rPr>
                <w:color w:val="000000"/>
                <w:sz w:val="18"/>
                <w:szCs w:val="18"/>
              </w:rPr>
              <w:br/>
              <w:t>• Financijske i poslovne usluge</w:t>
            </w:r>
            <w:r w:rsidRPr="004018D4">
              <w:rPr>
                <w:color w:val="000000"/>
                <w:sz w:val="18"/>
                <w:szCs w:val="18"/>
              </w:rPr>
              <w:br/>
              <w:t>• Telekomunikacijske usluge</w:t>
            </w:r>
            <w:r w:rsidRPr="004018D4">
              <w:rPr>
                <w:color w:val="000000"/>
                <w:sz w:val="18"/>
                <w:szCs w:val="18"/>
              </w:rPr>
              <w:br/>
              <w:t>• Izdavaštvo</w:t>
            </w:r>
          </w:p>
        </w:tc>
        <w:tc>
          <w:tcPr>
            <w:tcW w:w="4961" w:type="dxa"/>
            <w:tcBorders>
              <w:top w:val="nil"/>
              <w:left w:val="nil"/>
              <w:bottom w:val="single" w:sz="4" w:space="0" w:color="auto"/>
              <w:right w:val="single" w:sz="4" w:space="0" w:color="auto"/>
            </w:tcBorders>
            <w:shd w:val="clear" w:color="000000" w:fill="DCE6F1"/>
            <w:vAlign w:val="center"/>
          </w:tcPr>
          <w:p w:rsidR="00671FBC" w:rsidRPr="004018D4" w:rsidRDefault="00671FBC" w:rsidP="00671FBC">
            <w:pPr>
              <w:spacing w:after="0" w:line="240" w:lineRule="auto"/>
              <w:rPr>
                <w:color w:val="000000"/>
                <w:sz w:val="18"/>
                <w:szCs w:val="18"/>
              </w:rPr>
            </w:pPr>
            <w:r w:rsidRPr="004018D4">
              <w:rPr>
                <w:color w:val="000000"/>
                <w:sz w:val="18"/>
                <w:szCs w:val="18"/>
              </w:rPr>
              <w:t>• Raspoloživost odgovarajućih vještina</w:t>
            </w:r>
            <w:r w:rsidRPr="004018D4">
              <w:rPr>
                <w:color w:val="000000"/>
                <w:sz w:val="18"/>
                <w:szCs w:val="18"/>
              </w:rPr>
              <w:br/>
              <w:t>• Brz pristup tržištu</w:t>
            </w:r>
            <w:r w:rsidRPr="004018D4">
              <w:rPr>
                <w:color w:val="000000"/>
                <w:sz w:val="18"/>
                <w:szCs w:val="18"/>
              </w:rPr>
              <w:br/>
              <w:t xml:space="preserve">• Sklonost </w:t>
            </w:r>
            <w:proofErr w:type="spellStart"/>
            <w:r w:rsidRPr="004018D4">
              <w:rPr>
                <w:color w:val="000000"/>
                <w:sz w:val="18"/>
                <w:szCs w:val="18"/>
              </w:rPr>
              <w:t>klasterima</w:t>
            </w:r>
            <w:proofErr w:type="spellEnd"/>
            <w:r w:rsidRPr="004018D4">
              <w:rPr>
                <w:color w:val="000000"/>
                <w:sz w:val="18"/>
                <w:szCs w:val="18"/>
              </w:rPr>
              <w:t xml:space="preserve"> u IT-u i softveru, HQ i</w:t>
            </w:r>
            <w:r>
              <w:rPr>
                <w:color w:val="000000"/>
                <w:sz w:val="18"/>
                <w:szCs w:val="18"/>
              </w:rPr>
              <w:t xml:space="preserve"> R&amp;D</w:t>
            </w:r>
            <w:r>
              <w:rPr>
                <w:color w:val="000000"/>
                <w:sz w:val="18"/>
                <w:szCs w:val="18"/>
              </w:rPr>
              <w:br/>
              <w:t>• Niski troškovi poslovanja</w:t>
            </w:r>
            <w:r w:rsidRPr="004018D4">
              <w:rPr>
                <w:color w:val="000000"/>
                <w:sz w:val="18"/>
                <w:szCs w:val="18"/>
              </w:rPr>
              <w:t xml:space="preserve"> postaju sve važnijima</w:t>
            </w:r>
            <w:r w:rsidRPr="004018D4">
              <w:rPr>
                <w:color w:val="000000"/>
                <w:sz w:val="18"/>
                <w:szCs w:val="18"/>
              </w:rPr>
              <w:br/>
              <w:t>• Pristup naprednim tehnologijama i sveučilišno istraživanje za R&amp;D</w:t>
            </w:r>
            <w:r w:rsidRPr="004018D4">
              <w:rPr>
                <w:color w:val="000000"/>
                <w:sz w:val="18"/>
                <w:szCs w:val="18"/>
              </w:rPr>
              <w:br/>
              <w:t>• Visokokvalitetni objekti na prestižnim lokacijama za funkcije sre</w:t>
            </w:r>
            <w:r>
              <w:rPr>
                <w:color w:val="000000"/>
                <w:sz w:val="18"/>
                <w:szCs w:val="18"/>
              </w:rPr>
              <w:t>dišnjice</w:t>
            </w:r>
            <w:r>
              <w:rPr>
                <w:color w:val="000000"/>
                <w:sz w:val="18"/>
                <w:szCs w:val="18"/>
              </w:rPr>
              <w:br/>
              <w:t xml:space="preserve">• Široka lepeza </w:t>
            </w:r>
            <w:r w:rsidRPr="005F07EA">
              <w:rPr>
                <w:sz w:val="18"/>
                <w:szCs w:val="18"/>
              </w:rPr>
              <w:t xml:space="preserve">potencijalnih  zemalja s naglaskom na visoko inovativne zemlje </w:t>
            </w:r>
          </w:p>
        </w:tc>
        <w:tc>
          <w:tcPr>
            <w:tcW w:w="3261" w:type="dxa"/>
            <w:tcBorders>
              <w:top w:val="nil"/>
              <w:left w:val="nil"/>
              <w:bottom w:val="single" w:sz="4" w:space="0" w:color="auto"/>
              <w:right w:val="single" w:sz="4" w:space="0" w:color="auto"/>
            </w:tcBorders>
            <w:shd w:val="clear" w:color="000000" w:fill="DCE6F1"/>
          </w:tcPr>
          <w:p w:rsidR="00671FBC" w:rsidRPr="004018D4" w:rsidRDefault="00671FBC" w:rsidP="00671FBC">
            <w:pPr>
              <w:spacing w:after="0" w:line="240" w:lineRule="auto"/>
              <w:rPr>
                <w:color w:val="000000"/>
                <w:sz w:val="18"/>
                <w:szCs w:val="18"/>
              </w:rPr>
            </w:pPr>
            <w:r w:rsidRPr="004018D4">
              <w:rPr>
                <w:color w:val="000000"/>
                <w:sz w:val="18"/>
                <w:szCs w:val="18"/>
              </w:rPr>
              <w:t>Ujedinjeno Kraljevstvo, Kina, Indija, Sjedinjene Američke Države, Kanada, Francuska, Njemačka</w:t>
            </w:r>
          </w:p>
        </w:tc>
        <w:tc>
          <w:tcPr>
            <w:tcW w:w="2693" w:type="dxa"/>
            <w:tcBorders>
              <w:top w:val="nil"/>
              <w:left w:val="nil"/>
              <w:bottom w:val="single" w:sz="4" w:space="0" w:color="auto"/>
              <w:right w:val="single" w:sz="4" w:space="0" w:color="auto"/>
            </w:tcBorders>
            <w:shd w:val="clear" w:color="000000" w:fill="DCE6F1"/>
          </w:tcPr>
          <w:p w:rsidR="00671FBC" w:rsidRPr="004018D4" w:rsidRDefault="00671FBC" w:rsidP="00671FBC">
            <w:pPr>
              <w:spacing w:after="0" w:line="240" w:lineRule="auto"/>
              <w:rPr>
                <w:color w:val="000000"/>
                <w:sz w:val="18"/>
                <w:szCs w:val="18"/>
              </w:rPr>
            </w:pPr>
            <w:r w:rsidRPr="004018D4">
              <w:rPr>
                <w:color w:val="000000"/>
                <w:sz w:val="18"/>
                <w:szCs w:val="18"/>
              </w:rPr>
              <w:t>Sjedinjene Američke Države, Ujedinjeno Kraljevstvo, Njemačka, Francuska, Japan, Nizozemska</w:t>
            </w:r>
          </w:p>
        </w:tc>
      </w:tr>
      <w:tr w:rsidR="00671FBC" w:rsidRPr="004018D4" w:rsidTr="00671FBC">
        <w:trPr>
          <w:trHeight w:val="3345"/>
        </w:trPr>
        <w:tc>
          <w:tcPr>
            <w:tcW w:w="3559" w:type="dxa"/>
            <w:tcBorders>
              <w:top w:val="nil"/>
              <w:left w:val="single" w:sz="4" w:space="0" w:color="auto"/>
              <w:bottom w:val="single" w:sz="4" w:space="0" w:color="auto"/>
              <w:right w:val="single" w:sz="4" w:space="0" w:color="auto"/>
            </w:tcBorders>
            <w:shd w:val="clear" w:color="000000" w:fill="DCE6F1"/>
            <w:vAlign w:val="center"/>
          </w:tcPr>
          <w:p w:rsidR="00671FBC" w:rsidRPr="004018D4" w:rsidRDefault="00671FBC" w:rsidP="00671FBC">
            <w:pPr>
              <w:spacing w:after="0" w:line="240" w:lineRule="auto"/>
              <w:rPr>
                <w:color w:val="000000"/>
                <w:sz w:val="18"/>
                <w:szCs w:val="18"/>
              </w:rPr>
            </w:pPr>
            <w:r w:rsidRPr="004018D4">
              <w:rPr>
                <w:b/>
                <w:bCs/>
                <w:i/>
                <w:iCs/>
                <w:color w:val="000000"/>
                <w:sz w:val="18"/>
                <w:szCs w:val="18"/>
              </w:rPr>
              <w:lastRenderedPageBreak/>
              <w:t>4. Glavna proizvodnja</w:t>
            </w:r>
            <w:r w:rsidRPr="004018D4">
              <w:rPr>
                <w:color w:val="000000"/>
                <w:sz w:val="18"/>
                <w:szCs w:val="18"/>
              </w:rPr>
              <w:br/>
              <w:t>• Elektronika i uredski strojevi</w:t>
            </w:r>
            <w:r w:rsidRPr="004018D4">
              <w:rPr>
                <w:color w:val="000000"/>
                <w:sz w:val="18"/>
                <w:szCs w:val="18"/>
              </w:rPr>
              <w:br/>
              <w:t>• Plastika i guma</w:t>
            </w:r>
            <w:r w:rsidRPr="004018D4">
              <w:rPr>
                <w:color w:val="000000"/>
                <w:sz w:val="18"/>
                <w:szCs w:val="18"/>
              </w:rPr>
              <w:br/>
              <w:t>• Sklapanje automobila i dijelovi</w:t>
            </w:r>
            <w:r w:rsidRPr="004018D4">
              <w:rPr>
                <w:color w:val="000000"/>
                <w:sz w:val="18"/>
                <w:szCs w:val="18"/>
              </w:rPr>
              <w:br/>
              <w:t>• Medicinski uređaji</w:t>
            </w:r>
            <w:r w:rsidRPr="004018D4">
              <w:rPr>
                <w:color w:val="000000"/>
                <w:sz w:val="18"/>
                <w:szCs w:val="18"/>
              </w:rPr>
              <w:br/>
              <w:t>• Tekstil i proizvodnja hra</w:t>
            </w:r>
            <w:r>
              <w:rPr>
                <w:color w:val="000000"/>
                <w:sz w:val="18"/>
                <w:szCs w:val="18"/>
              </w:rPr>
              <w:t>ne</w:t>
            </w:r>
            <w:r>
              <w:rPr>
                <w:color w:val="000000"/>
                <w:sz w:val="18"/>
                <w:szCs w:val="18"/>
              </w:rPr>
              <w:br/>
              <w:t>• Proizvodi od drva i papira/</w:t>
            </w:r>
            <w:r w:rsidRPr="004018D4">
              <w:rPr>
                <w:color w:val="000000"/>
                <w:sz w:val="18"/>
                <w:szCs w:val="18"/>
              </w:rPr>
              <w:t>pakiranje</w:t>
            </w:r>
            <w:r w:rsidRPr="004018D4">
              <w:rPr>
                <w:color w:val="000000"/>
                <w:sz w:val="18"/>
                <w:szCs w:val="18"/>
              </w:rPr>
              <w:br/>
              <w:t>• Strojarstvo</w:t>
            </w:r>
          </w:p>
        </w:tc>
        <w:tc>
          <w:tcPr>
            <w:tcW w:w="4961" w:type="dxa"/>
            <w:tcBorders>
              <w:top w:val="nil"/>
              <w:left w:val="nil"/>
              <w:bottom w:val="single" w:sz="4" w:space="0" w:color="auto"/>
              <w:right w:val="single" w:sz="4" w:space="0" w:color="auto"/>
            </w:tcBorders>
            <w:shd w:val="clear" w:color="000000" w:fill="DCE6F1"/>
            <w:vAlign w:val="center"/>
          </w:tcPr>
          <w:p w:rsidR="00671FBC" w:rsidRPr="004018D4" w:rsidRDefault="00671FBC" w:rsidP="005F07EA">
            <w:pPr>
              <w:spacing w:after="0" w:line="240" w:lineRule="auto"/>
              <w:rPr>
                <w:color w:val="000000"/>
                <w:sz w:val="18"/>
                <w:szCs w:val="18"/>
              </w:rPr>
            </w:pPr>
            <w:r w:rsidRPr="004018D4">
              <w:rPr>
                <w:color w:val="000000"/>
                <w:sz w:val="18"/>
                <w:szCs w:val="18"/>
              </w:rPr>
              <w:t>• Kvalitetno tržište, pristup radu i dostavljačima</w:t>
            </w:r>
            <w:r w:rsidRPr="004018D4">
              <w:rPr>
                <w:color w:val="000000"/>
                <w:sz w:val="18"/>
                <w:szCs w:val="18"/>
              </w:rPr>
              <w:br/>
              <w:t>• Osjetljivost operativnih troškova</w:t>
            </w:r>
            <w:r w:rsidRPr="004018D4">
              <w:rPr>
                <w:color w:val="000000"/>
                <w:sz w:val="18"/>
                <w:szCs w:val="18"/>
              </w:rPr>
              <w:br/>
              <w:t>• Sve veći zahtjevi za educiranom i kvalificiranom radnom snagom</w:t>
            </w:r>
            <w:r w:rsidRPr="004018D4">
              <w:rPr>
                <w:color w:val="000000"/>
                <w:sz w:val="18"/>
                <w:szCs w:val="18"/>
              </w:rPr>
              <w:br/>
              <w:t xml:space="preserve">• Bitne su visokokvalitetna infrastruktura i logistika </w:t>
            </w:r>
            <w:r w:rsidRPr="004018D4">
              <w:rPr>
                <w:color w:val="000000"/>
                <w:sz w:val="18"/>
                <w:szCs w:val="18"/>
              </w:rPr>
              <w:br/>
              <w:t>• Preferiraju visokokvalitetne lokacije s dobrim do</w:t>
            </w:r>
            <w:r w:rsidR="005F07EA">
              <w:rPr>
                <w:color w:val="000000"/>
                <w:sz w:val="18"/>
                <w:szCs w:val="18"/>
              </w:rPr>
              <w:t>stignućima u industriji</w:t>
            </w:r>
            <w:r w:rsidRPr="00AE0E34">
              <w:rPr>
                <w:strike/>
                <w:color w:val="FF0000"/>
                <w:sz w:val="18"/>
                <w:szCs w:val="18"/>
              </w:rPr>
              <w:br/>
            </w:r>
            <w:r w:rsidRPr="004018D4">
              <w:rPr>
                <w:color w:val="000000"/>
                <w:sz w:val="18"/>
                <w:szCs w:val="18"/>
              </w:rPr>
              <w:t xml:space="preserve">• Pomak prema visokokvalitetnim tržištima u nastajanju s velikim tržištima </w:t>
            </w:r>
          </w:p>
        </w:tc>
        <w:tc>
          <w:tcPr>
            <w:tcW w:w="3261" w:type="dxa"/>
            <w:tcBorders>
              <w:top w:val="nil"/>
              <w:left w:val="nil"/>
              <w:bottom w:val="single" w:sz="4" w:space="0" w:color="auto"/>
              <w:right w:val="single" w:sz="4" w:space="0" w:color="auto"/>
            </w:tcBorders>
            <w:shd w:val="clear" w:color="000000" w:fill="DCE6F1"/>
          </w:tcPr>
          <w:p w:rsidR="00671FBC" w:rsidRPr="004018D4" w:rsidRDefault="00671FBC" w:rsidP="00671FBC">
            <w:pPr>
              <w:spacing w:after="0" w:line="240" w:lineRule="auto"/>
              <w:rPr>
                <w:color w:val="000000"/>
                <w:sz w:val="18"/>
                <w:szCs w:val="18"/>
              </w:rPr>
            </w:pPr>
            <w:r w:rsidRPr="004018D4">
              <w:rPr>
                <w:color w:val="000000"/>
                <w:sz w:val="18"/>
                <w:szCs w:val="18"/>
              </w:rPr>
              <w:t>Kina, Sjedinjene Američke Države, Ujedinjeno Kraljevstvo,Rusija, Kanada, Mađarska, Brazil, Češka</w:t>
            </w:r>
          </w:p>
        </w:tc>
        <w:tc>
          <w:tcPr>
            <w:tcW w:w="2693" w:type="dxa"/>
            <w:tcBorders>
              <w:top w:val="nil"/>
              <w:left w:val="nil"/>
              <w:bottom w:val="single" w:sz="4" w:space="0" w:color="auto"/>
              <w:right w:val="single" w:sz="4" w:space="0" w:color="auto"/>
            </w:tcBorders>
            <w:shd w:val="clear" w:color="000000" w:fill="DCE6F1"/>
          </w:tcPr>
          <w:p w:rsidR="00671FBC" w:rsidRPr="004018D4" w:rsidRDefault="00671FBC" w:rsidP="00671FBC">
            <w:pPr>
              <w:spacing w:after="0" w:line="240" w:lineRule="auto"/>
              <w:rPr>
                <w:color w:val="000000"/>
                <w:sz w:val="18"/>
                <w:szCs w:val="18"/>
              </w:rPr>
            </w:pPr>
            <w:r w:rsidRPr="004018D4">
              <w:rPr>
                <w:color w:val="000000"/>
                <w:sz w:val="18"/>
                <w:szCs w:val="18"/>
              </w:rPr>
              <w:t xml:space="preserve">Sjedinjene Američke Države, </w:t>
            </w:r>
            <w:proofErr w:type="spellStart"/>
            <w:r w:rsidRPr="004018D4">
              <w:rPr>
                <w:color w:val="000000"/>
                <w:sz w:val="18"/>
                <w:szCs w:val="18"/>
              </w:rPr>
              <w:t>japan</w:t>
            </w:r>
            <w:proofErr w:type="spellEnd"/>
            <w:r w:rsidRPr="004018D4">
              <w:rPr>
                <w:color w:val="000000"/>
                <w:sz w:val="18"/>
                <w:szCs w:val="18"/>
              </w:rPr>
              <w:t>, Njemačka, Francuska, Ujedinjeno Kraljevstvo, Sjeverna Koreja, Švedska, Nizozemska</w:t>
            </w:r>
          </w:p>
        </w:tc>
      </w:tr>
      <w:tr w:rsidR="00671FBC" w:rsidRPr="004018D4" w:rsidTr="00671FBC">
        <w:trPr>
          <w:trHeight w:val="2100"/>
        </w:trPr>
        <w:tc>
          <w:tcPr>
            <w:tcW w:w="3559" w:type="dxa"/>
            <w:tcBorders>
              <w:top w:val="nil"/>
              <w:left w:val="single" w:sz="4" w:space="0" w:color="auto"/>
              <w:bottom w:val="single" w:sz="4" w:space="0" w:color="auto"/>
              <w:right w:val="single" w:sz="4" w:space="0" w:color="auto"/>
            </w:tcBorders>
            <w:shd w:val="clear" w:color="000000" w:fill="DCE6F1"/>
            <w:vAlign w:val="center"/>
          </w:tcPr>
          <w:p w:rsidR="00671FBC" w:rsidRPr="004018D4" w:rsidRDefault="00671FBC" w:rsidP="00671FBC">
            <w:pPr>
              <w:spacing w:after="0" w:line="240" w:lineRule="auto"/>
              <w:rPr>
                <w:color w:val="000000"/>
                <w:sz w:val="18"/>
                <w:szCs w:val="18"/>
              </w:rPr>
            </w:pPr>
            <w:r w:rsidRPr="004018D4">
              <w:rPr>
                <w:b/>
                <w:bCs/>
                <w:i/>
                <w:iCs/>
                <w:color w:val="000000"/>
                <w:sz w:val="18"/>
                <w:szCs w:val="18"/>
              </w:rPr>
              <w:t>5. Uredske usluge</w:t>
            </w:r>
            <w:r w:rsidRPr="004018D4">
              <w:rPr>
                <w:color w:val="000000"/>
                <w:sz w:val="18"/>
                <w:szCs w:val="18"/>
              </w:rPr>
              <w:br/>
              <w:t>• Pozivni centri i zajedničke usluge</w:t>
            </w:r>
            <w:r w:rsidRPr="004018D4">
              <w:rPr>
                <w:color w:val="000000"/>
                <w:sz w:val="18"/>
                <w:szCs w:val="18"/>
              </w:rPr>
              <w:br/>
              <w:t xml:space="preserve">• Uredi koji ne uključuju rad sa strankama </w:t>
            </w:r>
            <w:r w:rsidRPr="004018D4">
              <w:rPr>
                <w:color w:val="000000"/>
                <w:sz w:val="18"/>
                <w:szCs w:val="18"/>
              </w:rPr>
              <w:br/>
              <w:t>• Državne agencije</w:t>
            </w:r>
          </w:p>
        </w:tc>
        <w:tc>
          <w:tcPr>
            <w:tcW w:w="4961" w:type="dxa"/>
            <w:tcBorders>
              <w:top w:val="nil"/>
              <w:left w:val="nil"/>
              <w:bottom w:val="single" w:sz="4" w:space="0" w:color="auto"/>
              <w:right w:val="single" w:sz="4" w:space="0" w:color="auto"/>
            </w:tcBorders>
            <w:shd w:val="clear" w:color="000000" w:fill="DCE6F1"/>
            <w:vAlign w:val="center"/>
          </w:tcPr>
          <w:p w:rsidR="00B710A8" w:rsidRDefault="00671FBC" w:rsidP="00B710A8">
            <w:pPr>
              <w:spacing w:after="0" w:line="240" w:lineRule="auto"/>
              <w:rPr>
                <w:color w:val="000000"/>
                <w:sz w:val="18"/>
                <w:szCs w:val="18"/>
              </w:rPr>
            </w:pPr>
            <w:r w:rsidRPr="004018D4">
              <w:rPr>
                <w:color w:val="000000"/>
                <w:sz w:val="18"/>
                <w:szCs w:val="18"/>
              </w:rPr>
              <w:t>• Dostupnost odgovarajuće radne snage</w:t>
            </w:r>
            <w:r w:rsidRPr="004018D4">
              <w:rPr>
                <w:color w:val="000000"/>
                <w:sz w:val="18"/>
                <w:szCs w:val="18"/>
              </w:rPr>
              <w:br/>
              <w:t>• Sve veća osjetljivost u pogledu troškova</w:t>
            </w:r>
            <w:r w:rsidRPr="004018D4">
              <w:rPr>
                <w:color w:val="000000"/>
                <w:sz w:val="18"/>
                <w:szCs w:val="18"/>
              </w:rPr>
              <w:br/>
              <w:t>• Obično je presudna višejezičnost</w:t>
            </w:r>
            <w:r w:rsidRPr="004018D4">
              <w:rPr>
                <w:color w:val="000000"/>
                <w:sz w:val="18"/>
                <w:szCs w:val="18"/>
              </w:rPr>
              <w:br/>
              <w:t>• Pristup potrošačima (unutarnji i vanjski) može biti važan</w:t>
            </w:r>
            <w:r w:rsidRPr="004018D4">
              <w:rPr>
                <w:color w:val="000000"/>
                <w:sz w:val="18"/>
                <w:szCs w:val="18"/>
              </w:rPr>
              <w:br/>
              <w:t>• Dobra kvaliteta informacijske i komunikacijske tehnologije (ICT) i prostorne infrastrukture također se traže</w:t>
            </w:r>
            <w:r w:rsidRPr="004018D4">
              <w:rPr>
                <w:color w:val="000000"/>
                <w:sz w:val="18"/>
                <w:szCs w:val="18"/>
              </w:rPr>
              <w:br/>
              <w:t>•</w:t>
            </w:r>
            <w:r w:rsidR="00B710A8">
              <w:rPr>
                <w:color w:val="000000"/>
                <w:sz w:val="18"/>
                <w:szCs w:val="18"/>
              </w:rPr>
              <w:t xml:space="preserve"> Prestižne lokacije nisu bitne</w:t>
            </w:r>
          </w:p>
          <w:p w:rsidR="00671FBC" w:rsidRPr="00B710A8" w:rsidRDefault="00B710A8" w:rsidP="00B710A8">
            <w:pPr>
              <w:spacing w:after="0" w:line="240" w:lineRule="auto"/>
              <w:rPr>
                <w:color w:val="000000"/>
                <w:sz w:val="18"/>
                <w:szCs w:val="18"/>
              </w:rPr>
            </w:pPr>
            <w:r w:rsidRPr="00B710A8">
              <w:rPr>
                <w:sz w:val="18"/>
                <w:szCs w:val="18"/>
              </w:rPr>
              <w:t>M</w:t>
            </w:r>
            <w:r w:rsidR="00671FBC" w:rsidRPr="00B710A8">
              <w:rPr>
                <w:sz w:val="18"/>
                <w:szCs w:val="18"/>
              </w:rPr>
              <w:t>oguća dodjela bespovratnih sredstava</w:t>
            </w:r>
            <w:r w:rsidR="00671FBC" w:rsidRPr="00B710A8">
              <w:rPr>
                <w:color w:val="FF0000"/>
                <w:sz w:val="18"/>
                <w:szCs w:val="18"/>
              </w:rPr>
              <w:br/>
            </w:r>
          </w:p>
        </w:tc>
        <w:tc>
          <w:tcPr>
            <w:tcW w:w="3261" w:type="dxa"/>
            <w:tcBorders>
              <w:top w:val="nil"/>
              <w:left w:val="nil"/>
              <w:bottom w:val="single" w:sz="4" w:space="0" w:color="auto"/>
              <w:right w:val="single" w:sz="4" w:space="0" w:color="auto"/>
            </w:tcBorders>
            <w:shd w:val="clear" w:color="000000" w:fill="DCE6F1"/>
          </w:tcPr>
          <w:p w:rsidR="00671FBC" w:rsidRPr="004018D4" w:rsidRDefault="00671FBC" w:rsidP="00671FBC">
            <w:pPr>
              <w:spacing w:after="0" w:line="240" w:lineRule="auto"/>
              <w:rPr>
                <w:color w:val="000000"/>
                <w:sz w:val="18"/>
                <w:szCs w:val="18"/>
              </w:rPr>
            </w:pPr>
            <w:r w:rsidRPr="004018D4">
              <w:rPr>
                <w:color w:val="000000"/>
                <w:sz w:val="18"/>
                <w:szCs w:val="18"/>
              </w:rPr>
              <w:t>Kanada, Ujedinjeno Kraljevstvo, Indija, Irska, Španjolska, Njemačka, Sjedinjene Američke Države</w:t>
            </w:r>
          </w:p>
        </w:tc>
        <w:tc>
          <w:tcPr>
            <w:tcW w:w="2693" w:type="dxa"/>
            <w:tcBorders>
              <w:top w:val="nil"/>
              <w:left w:val="nil"/>
              <w:bottom w:val="single" w:sz="4" w:space="0" w:color="auto"/>
              <w:right w:val="single" w:sz="4" w:space="0" w:color="auto"/>
            </w:tcBorders>
            <w:shd w:val="clear" w:color="000000" w:fill="DCE6F1"/>
          </w:tcPr>
          <w:p w:rsidR="00671FBC" w:rsidRPr="004018D4" w:rsidRDefault="00671FBC" w:rsidP="00671FBC">
            <w:pPr>
              <w:spacing w:after="0" w:line="240" w:lineRule="auto"/>
              <w:rPr>
                <w:color w:val="000000"/>
                <w:sz w:val="18"/>
                <w:szCs w:val="18"/>
              </w:rPr>
            </w:pPr>
            <w:r w:rsidRPr="004018D4">
              <w:rPr>
                <w:color w:val="000000"/>
                <w:sz w:val="18"/>
                <w:szCs w:val="18"/>
              </w:rPr>
              <w:t>Sjedinjene Američke Države, Njemačka, Ujedin</w:t>
            </w:r>
            <w:r>
              <w:rPr>
                <w:color w:val="000000"/>
                <w:sz w:val="18"/>
                <w:szCs w:val="18"/>
              </w:rPr>
              <w:t>jeno Kraljevstvo, zemlje Beneluks</w:t>
            </w:r>
            <w:r w:rsidRPr="004018D4">
              <w:rPr>
                <w:color w:val="000000"/>
                <w:sz w:val="18"/>
                <w:szCs w:val="18"/>
              </w:rPr>
              <w:t>a, Francuska, Švicarska, Indija</w:t>
            </w:r>
          </w:p>
        </w:tc>
      </w:tr>
      <w:tr w:rsidR="00671FBC" w:rsidRPr="004018D4" w:rsidTr="00671FBC">
        <w:trPr>
          <w:trHeight w:val="2265"/>
        </w:trPr>
        <w:tc>
          <w:tcPr>
            <w:tcW w:w="3559" w:type="dxa"/>
            <w:tcBorders>
              <w:top w:val="nil"/>
              <w:left w:val="single" w:sz="4" w:space="0" w:color="auto"/>
              <w:bottom w:val="single" w:sz="4" w:space="0" w:color="auto"/>
              <w:right w:val="single" w:sz="4" w:space="0" w:color="auto"/>
            </w:tcBorders>
            <w:shd w:val="clear" w:color="000000" w:fill="DCE6F1"/>
            <w:vAlign w:val="center"/>
          </w:tcPr>
          <w:p w:rsidR="00671FBC" w:rsidRPr="004018D4" w:rsidRDefault="00671FBC" w:rsidP="00671FBC">
            <w:pPr>
              <w:spacing w:after="0" w:line="240" w:lineRule="auto"/>
              <w:rPr>
                <w:color w:val="000000"/>
                <w:sz w:val="18"/>
                <w:szCs w:val="18"/>
              </w:rPr>
            </w:pPr>
            <w:r w:rsidRPr="004018D4">
              <w:rPr>
                <w:b/>
                <w:bCs/>
                <w:i/>
                <w:iCs/>
                <w:color w:val="000000"/>
                <w:sz w:val="18"/>
                <w:szCs w:val="18"/>
              </w:rPr>
              <w:t>6. Opće usluge</w:t>
            </w:r>
            <w:r w:rsidRPr="004018D4">
              <w:rPr>
                <w:color w:val="000000"/>
                <w:sz w:val="18"/>
                <w:szCs w:val="18"/>
              </w:rPr>
              <w:br/>
              <w:t>• Prijevoz, logistika i distribucija</w:t>
            </w:r>
            <w:r w:rsidRPr="004018D4">
              <w:rPr>
                <w:color w:val="000000"/>
                <w:sz w:val="18"/>
                <w:szCs w:val="18"/>
              </w:rPr>
              <w:br/>
              <w:t>• Ispis</w:t>
            </w:r>
            <w:r w:rsidRPr="004018D4">
              <w:rPr>
                <w:color w:val="000000"/>
                <w:sz w:val="18"/>
                <w:szCs w:val="18"/>
              </w:rPr>
              <w:br/>
              <w:t>• Zdravstvene usluge</w:t>
            </w:r>
            <w:r w:rsidRPr="004018D4">
              <w:rPr>
                <w:color w:val="000000"/>
                <w:sz w:val="18"/>
                <w:szCs w:val="18"/>
              </w:rPr>
              <w:br/>
              <w:t>• Trgovački centri/građevinske usluge, itd.</w:t>
            </w:r>
          </w:p>
        </w:tc>
        <w:tc>
          <w:tcPr>
            <w:tcW w:w="4961" w:type="dxa"/>
            <w:tcBorders>
              <w:top w:val="nil"/>
              <w:left w:val="nil"/>
              <w:bottom w:val="single" w:sz="4" w:space="0" w:color="auto"/>
              <w:right w:val="single" w:sz="4" w:space="0" w:color="auto"/>
            </w:tcBorders>
            <w:shd w:val="clear" w:color="000000" w:fill="DCE6F1"/>
            <w:vAlign w:val="center"/>
          </w:tcPr>
          <w:p w:rsidR="00671FBC" w:rsidRPr="004018D4" w:rsidRDefault="00671FBC" w:rsidP="00671FBC">
            <w:pPr>
              <w:spacing w:after="0" w:line="240" w:lineRule="auto"/>
              <w:rPr>
                <w:color w:val="000000"/>
                <w:sz w:val="18"/>
                <w:szCs w:val="18"/>
              </w:rPr>
            </w:pPr>
            <w:r w:rsidRPr="004018D4">
              <w:rPr>
                <w:color w:val="000000"/>
                <w:sz w:val="18"/>
                <w:szCs w:val="18"/>
              </w:rPr>
              <w:t>• Važnost pristupa tržištu (potrošaču)</w:t>
            </w:r>
            <w:r w:rsidRPr="004018D4">
              <w:rPr>
                <w:color w:val="000000"/>
                <w:sz w:val="18"/>
                <w:szCs w:val="18"/>
              </w:rPr>
              <w:br/>
              <w:t xml:space="preserve">• Važnost infrastrukture i operativne podrške za distribucijske djelatnosti </w:t>
            </w:r>
            <w:r w:rsidRPr="004018D4">
              <w:rPr>
                <w:color w:val="000000"/>
                <w:sz w:val="18"/>
                <w:szCs w:val="18"/>
              </w:rPr>
              <w:br/>
              <w:t xml:space="preserve">• Važna je dostupnost stručne radne snage </w:t>
            </w:r>
            <w:r w:rsidRPr="004018D4">
              <w:rPr>
                <w:color w:val="000000"/>
                <w:sz w:val="18"/>
                <w:szCs w:val="18"/>
              </w:rPr>
              <w:br/>
              <w:t xml:space="preserve">• Osjetljivost u pogledu troškova </w:t>
            </w:r>
            <w:r w:rsidRPr="004018D4">
              <w:rPr>
                <w:color w:val="000000"/>
                <w:sz w:val="18"/>
                <w:szCs w:val="18"/>
              </w:rPr>
              <w:br/>
              <w:t xml:space="preserve">• Namjenski izgrađeni objekti i velike lokacije također su važni </w:t>
            </w:r>
          </w:p>
        </w:tc>
        <w:tc>
          <w:tcPr>
            <w:tcW w:w="3261" w:type="dxa"/>
            <w:tcBorders>
              <w:top w:val="nil"/>
              <w:left w:val="nil"/>
              <w:bottom w:val="single" w:sz="4" w:space="0" w:color="auto"/>
              <w:right w:val="single" w:sz="4" w:space="0" w:color="auto"/>
            </w:tcBorders>
            <w:shd w:val="clear" w:color="000000" w:fill="DCE6F1"/>
          </w:tcPr>
          <w:p w:rsidR="00671FBC" w:rsidRPr="004018D4" w:rsidRDefault="00671FBC" w:rsidP="00671FBC">
            <w:pPr>
              <w:spacing w:after="0" w:line="240" w:lineRule="auto"/>
              <w:rPr>
                <w:color w:val="000000"/>
                <w:sz w:val="18"/>
                <w:szCs w:val="18"/>
              </w:rPr>
            </w:pPr>
            <w:r w:rsidRPr="004018D4">
              <w:rPr>
                <w:color w:val="000000"/>
                <w:sz w:val="18"/>
                <w:szCs w:val="18"/>
              </w:rPr>
              <w:t>Kina, Sjedinjene Američke Države, Nizozemska, Ujedinjeno Kraljevstvo, Francuska</w:t>
            </w:r>
          </w:p>
        </w:tc>
        <w:tc>
          <w:tcPr>
            <w:tcW w:w="2693" w:type="dxa"/>
            <w:tcBorders>
              <w:top w:val="nil"/>
              <w:left w:val="nil"/>
              <w:bottom w:val="single" w:sz="4" w:space="0" w:color="auto"/>
              <w:right w:val="single" w:sz="4" w:space="0" w:color="auto"/>
            </w:tcBorders>
            <w:shd w:val="clear" w:color="000000" w:fill="DCE6F1"/>
          </w:tcPr>
          <w:p w:rsidR="00671FBC" w:rsidRPr="004018D4" w:rsidRDefault="00671FBC" w:rsidP="00671FBC">
            <w:pPr>
              <w:spacing w:after="0" w:line="240" w:lineRule="auto"/>
              <w:rPr>
                <w:color w:val="000000"/>
                <w:sz w:val="18"/>
                <w:szCs w:val="18"/>
              </w:rPr>
            </w:pPr>
            <w:r w:rsidRPr="004018D4">
              <w:rPr>
                <w:color w:val="000000"/>
                <w:sz w:val="18"/>
                <w:szCs w:val="18"/>
              </w:rPr>
              <w:t>Sjedinjene Američke Države, Njemačka, Ujedinjeno Kraljevstvo, Japan, Nizozemska</w:t>
            </w:r>
          </w:p>
        </w:tc>
      </w:tr>
      <w:tr w:rsidR="00671FBC" w:rsidRPr="004018D4" w:rsidTr="00671FBC">
        <w:trPr>
          <w:trHeight w:val="1605"/>
        </w:trPr>
        <w:tc>
          <w:tcPr>
            <w:tcW w:w="3559" w:type="dxa"/>
            <w:tcBorders>
              <w:top w:val="nil"/>
              <w:left w:val="single" w:sz="4" w:space="0" w:color="auto"/>
              <w:bottom w:val="single" w:sz="4" w:space="0" w:color="auto"/>
              <w:right w:val="single" w:sz="4" w:space="0" w:color="auto"/>
            </w:tcBorders>
            <w:shd w:val="clear" w:color="000000" w:fill="DCE6F1"/>
            <w:vAlign w:val="center"/>
          </w:tcPr>
          <w:p w:rsidR="00671FBC" w:rsidRPr="004018D4" w:rsidRDefault="00671FBC" w:rsidP="00671FBC">
            <w:pPr>
              <w:spacing w:after="0" w:line="240" w:lineRule="auto"/>
              <w:rPr>
                <w:color w:val="000000"/>
                <w:sz w:val="18"/>
                <w:szCs w:val="18"/>
              </w:rPr>
            </w:pPr>
            <w:r w:rsidRPr="004018D4">
              <w:rPr>
                <w:b/>
                <w:bCs/>
                <w:i/>
                <w:iCs/>
                <w:color w:val="000000"/>
                <w:sz w:val="18"/>
                <w:szCs w:val="18"/>
              </w:rPr>
              <w:lastRenderedPageBreak/>
              <w:t>7. Rekreacija i turizam</w:t>
            </w:r>
            <w:r w:rsidRPr="004018D4">
              <w:rPr>
                <w:color w:val="000000"/>
                <w:sz w:val="18"/>
                <w:szCs w:val="18"/>
              </w:rPr>
              <w:br/>
              <w:t>• Hoteli</w:t>
            </w:r>
            <w:r w:rsidRPr="004018D4">
              <w:rPr>
                <w:color w:val="000000"/>
                <w:sz w:val="18"/>
                <w:szCs w:val="18"/>
              </w:rPr>
              <w:br/>
              <w:t>• Sadržaji</w:t>
            </w:r>
          </w:p>
        </w:tc>
        <w:tc>
          <w:tcPr>
            <w:tcW w:w="4961" w:type="dxa"/>
            <w:tcBorders>
              <w:top w:val="nil"/>
              <w:left w:val="nil"/>
              <w:bottom w:val="single" w:sz="4" w:space="0" w:color="auto"/>
              <w:right w:val="single" w:sz="4" w:space="0" w:color="auto"/>
            </w:tcBorders>
            <w:shd w:val="clear" w:color="000000" w:fill="DCE6F1"/>
            <w:vAlign w:val="center"/>
          </w:tcPr>
          <w:p w:rsidR="00671FBC" w:rsidRPr="004018D4" w:rsidRDefault="00671FBC" w:rsidP="00671FBC">
            <w:pPr>
              <w:spacing w:after="0" w:line="240" w:lineRule="auto"/>
              <w:rPr>
                <w:color w:val="000000"/>
                <w:sz w:val="18"/>
                <w:szCs w:val="18"/>
              </w:rPr>
            </w:pPr>
            <w:r w:rsidRPr="004018D4">
              <w:rPr>
                <w:color w:val="000000"/>
                <w:sz w:val="18"/>
                <w:szCs w:val="18"/>
              </w:rPr>
              <w:t>• Pristup tržištu (potrošaču) i potencijal rasta imaju važnost</w:t>
            </w:r>
            <w:r w:rsidRPr="004018D4">
              <w:rPr>
                <w:color w:val="000000"/>
                <w:sz w:val="18"/>
                <w:szCs w:val="18"/>
              </w:rPr>
              <w:br/>
              <w:t xml:space="preserve">• Dostupnost radne snage, uključujući i jezične vještine </w:t>
            </w:r>
            <w:r w:rsidRPr="004018D4">
              <w:rPr>
                <w:color w:val="000000"/>
                <w:sz w:val="18"/>
                <w:szCs w:val="18"/>
              </w:rPr>
              <w:br/>
              <w:t xml:space="preserve">• Propisi za izgradnju i radove </w:t>
            </w:r>
            <w:r w:rsidRPr="004018D4">
              <w:rPr>
                <w:color w:val="000000"/>
                <w:sz w:val="18"/>
                <w:szCs w:val="18"/>
              </w:rPr>
              <w:br/>
              <w:t xml:space="preserve">• Kvaliteta infrastrukture i logistika </w:t>
            </w:r>
            <w:r w:rsidRPr="004018D4">
              <w:rPr>
                <w:color w:val="000000"/>
                <w:sz w:val="18"/>
                <w:szCs w:val="18"/>
              </w:rPr>
              <w:br/>
              <w:t>• Kvaliteta i privlačnost okoline (ruralne ili urbane)</w:t>
            </w:r>
          </w:p>
        </w:tc>
        <w:tc>
          <w:tcPr>
            <w:tcW w:w="3261" w:type="dxa"/>
            <w:tcBorders>
              <w:top w:val="nil"/>
              <w:left w:val="nil"/>
              <w:bottom w:val="single" w:sz="4" w:space="0" w:color="auto"/>
              <w:right w:val="single" w:sz="4" w:space="0" w:color="auto"/>
            </w:tcBorders>
            <w:shd w:val="clear" w:color="000000" w:fill="DCE6F1"/>
          </w:tcPr>
          <w:p w:rsidR="00671FBC" w:rsidRPr="004018D4" w:rsidRDefault="00671FBC" w:rsidP="00671FBC">
            <w:pPr>
              <w:spacing w:after="0" w:line="240" w:lineRule="auto"/>
              <w:rPr>
                <w:color w:val="000000"/>
                <w:sz w:val="18"/>
                <w:szCs w:val="18"/>
              </w:rPr>
            </w:pPr>
            <w:r w:rsidRPr="004018D4">
              <w:rPr>
                <w:color w:val="000000"/>
                <w:sz w:val="18"/>
                <w:szCs w:val="18"/>
              </w:rPr>
              <w:t>Kina, Ujedinjeno Kraljevstvo, Indija, Brazil, Rusija</w:t>
            </w:r>
          </w:p>
        </w:tc>
        <w:tc>
          <w:tcPr>
            <w:tcW w:w="2693" w:type="dxa"/>
            <w:tcBorders>
              <w:top w:val="nil"/>
              <w:left w:val="nil"/>
              <w:bottom w:val="single" w:sz="4" w:space="0" w:color="auto"/>
              <w:right w:val="single" w:sz="4" w:space="0" w:color="auto"/>
            </w:tcBorders>
            <w:shd w:val="clear" w:color="000000" w:fill="DCE6F1"/>
          </w:tcPr>
          <w:p w:rsidR="00671FBC" w:rsidRPr="004018D4" w:rsidRDefault="00671FBC" w:rsidP="00671FBC">
            <w:pPr>
              <w:spacing w:after="0" w:line="240" w:lineRule="auto"/>
              <w:rPr>
                <w:color w:val="000000"/>
                <w:sz w:val="18"/>
                <w:szCs w:val="18"/>
              </w:rPr>
            </w:pPr>
            <w:r w:rsidRPr="004018D4">
              <w:rPr>
                <w:color w:val="000000"/>
                <w:sz w:val="18"/>
                <w:szCs w:val="18"/>
              </w:rPr>
              <w:t>Sjedinjene Američke Države, Ujedinjeno Kraljevstvo,</w:t>
            </w:r>
            <w:r w:rsidRPr="004018D4">
              <w:rPr>
                <w:color w:val="000000"/>
                <w:sz w:val="18"/>
                <w:szCs w:val="18"/>
              </w:rPr>
              <w:br/>
              <w:t>Španjolska, Francuska, Italija</w:t>
            </w:r>
          </w:p>
        </w:tc>
      </w:tr>
      <w:tr w:rsidR="00671FBC" w:rsidRPr="004018D4" w:rsidTr="00671FBC">
        <w:trPr>
          <w:trHeight w:val="3150"/>
        </w:trPr>
        <w:tc>
          <w:tcPr>
            <w:tcW w:w="3559" w:type="dxa"/>
            <w:tcBorders>
              <w:top w:val="nil"/>
              <w:left w:val="single" w:sz="4" w:space="0" w:color="auto"/>
              <w:bottom w:val="single" w:sz="4" w:space="0" w:color="auto"/>
              <w:right w:val="single" w:sz="4" w:space="0" w:color="auto"/>
            </w:tcBorders>
            <w:shd w:val="clear" w:color="000000" w:fill="DCE6F1"/>
            <w:vAlign w:val="center"/>
          </w:tcPr>
          <w:p w:rsidR="00671FBC" w:rsidRPr="004018D4" w:rsidRDefault="00671FBC" w:rsidP="00671FBC">
            <w:pPr>
              <w:spacing w:after="0" w:line="240" w:lineRule="auto"/>
              <w:rPr>
                <w:color w:val="000000"/>
                <w:sz w:val="18"/>
                <w:szCs w:val="18"/>
              </w:rPr>
            </w:pPr>
            <w:r w:rsidRPr="004018D4">
              <w:rPr>
                <w:b/>
                <w:bCs/>
                <w:i/>
                <w:iCs/>
                <w:color w:val="000000"/>
                <w:sz w:val="18"/>
                <w:szCs w:val="18"/>
              </w:rPr>
              <w:t>8. Prerađivačke industrije</w:t>
            </w:r>
            <w:r w:rsidRPr="004018D4">
              <w:rPr>
                <w:color w:val="000000"/>
                <w:sz w:val="18"/>
                <w:szCs w:val="18"/>
              </w:rPr>
              <w:br/>
              <w:t>• Celuloza i papir</w:t>
            </w:r>
            <w:r w:rsidRPr="004018D4">
              <w:rPr>
                <w:color w:val="000000"/>
                <w:sz w:val="18"/>
                <w:szCs w:val="18"/>
              </w:rPr>
              <w:br/>
              <w:t>• Mineralne sirovine (građevni materijal), itd.</w:t>
            </w:r>
            <w:r w:rsidRPr="004018D4">
              <w:rPr>
                <w:color w:val="000000"/>
                <w:sz w:val="18"/>
                <w:szCs w:val="18"/>
              </w:rPr>
              <w:br/>
              <w:t>• Šumarski proizvodi</w:t>
            </w:r>
            <w:r w:rsidRPr="004018D4">
              <w:rPr>
                <w:color w:val="000000"/>
                <w:sz w:val="18"/>
                <w:szCs w:val="18"/>
              </w:rPr>
              <w:br/>
              <w:t>• Glavni prehrambeni proizvodi</w:t>
            </w:r>
            <w:r w:rsidRPr="004018D4">
              <w:rPr>
                <w:color w:val="000000"/>
                <w:sz w:val="18"/>
                <w:szCs w:val="18"/>
              </w:rPr>
              <w:br/>
              <w:t>• Naftne prerađevine</w:t>
            </w:r>
            <w:r w:rsidRPr="004018D4">
              <w:rPr>
                <w:color w:val="000000"/>
                <w:sz w:val="18"/>
                <w:szCs w:val="18"/>
              </w:rPr>
              <w:br/>
              <w:t>• Eksploatacijske industrije</w:t>
            </w:r>
            <w:r w:rsidRPr="004018D4">
              <w:rPr>
                <w:color w:val="000000"/>
                <w:sz w:val="18"/>
                <w:szCs w:val="18"/>
              </w:rPr>
              <w:br/>
              <w:t>• Čelik i aluminij</w:t>
            </w:r>
          </w:p>
        </w:tc>
        <w:tc>
          <w:tcPr>
            <w:tcW w:w="4961" w:type="dxa"/>
            <w:tcBorders>
              <w:top w:val="nil"/>
              <w:left w:val="nil"/>
              <w:bottom w:val="single" w:sz="4" w:space="0" w:color="auto"/>
              <w:right w:val="single" w:sz="4" w:space="0" w:color="auto"/>
            </w:tcBorders>
            <w:shd w:val="clear" w:color="000000" w:fill="DCE6F1"/>
            <w:vAlign w:val="center"/>
          </w:tcPr>
          <w:p w:rsidR="00671FBC" w:rsidRPr="004018D4" w:rsidRDefault="00671FBC" w:rsidP="00671FBC">
            <w:pPr>
              <w:spacing w:after="0" w:line="240" w:lineRule="auto"/>
              <w:rPr>
                <w:color w:val="000000"/>
                <w:sz w:val="18"/>
                <w:szCs w:val="18"/>
              </w:rPr>
            </w:pPr>
            <w:r w:rsidRPr="004018D4">
              <w:rPr>
                <w:color w:val="000000"/>
                <w:sz w:val="18"/>
                <w:szCs w:val="18"/>
              </w:rPr>
              <w:t>• Pristup rastućim tržištima i ključnim potrošačima</w:t>
            </w:r>
            <w:r w:rsidRPr="004018D4">
              <w:rPr>
                <w:color w:val="000000"/>
                <w:sz w:val="18"/>
                <w:szCs w:val="18"/>
              </w:rPr>
              <w:br/>
              <w:t>• Blizina prirodnim bogatstvima</w:t>
            </w:r>
            <w:r w:rsidRPr="004018D4">
              <w:rPr>
                <w:color w:val="000000"/>
                <w:sz w:val="18"/>
                <w:szCs w:val="18"/>
              </w:rPr>
              <w:br/>
              <w:t>• Dobra kvaliteta cesta, željeznice i lučke infrastrukture</w:t>
            </w:r>
            <w:r w:rsidRPr="004018D4">
              <w:rPr>
                <w:color w:val="000000"/>
                <w:sz w:val="18"/>
                <w:szCs w:val="18"/>
              </w:rPr>
              <w:br/>
              <w:t>• Niski operativni troškovi</w:t>
            </w:r>
            <w:r w:rsidRPr="004018D4">
              <w:rPr>
                <w:color w:val="000000"/>
                <w:sz w:val="18"/>
                <w:szCs w:val="18"/>
              </w:rPr>
              <w:br/>
              <w:t>• Odgovarajuća radna snaga</w:t>
            </w:r>
            <w:r w:rsidRPr="004018D4">
              <w:rPr>
                <w:color w:val="000000"/>
                <w:sz w:val="18"/>
                <w:szCs w:val="18"/>
              </w:rPr>
              <w:br/>
              <w:t>• Prisutnost srodnih i potpornih industrija</w:t>
            </w:r>
            <w:r w:rsidRPr="004018D4">
              <w:rPr>
                <w:color w:val="000000"/>
                <w:sz w:val="18"/>
                <w:szCs w:val="18"/>
              </w:rPr>
              <w:br/>
              <w:t xml:space="preserve">• Propisi vezani uz poslovanje </w:t>
            </w:r>
            <w:r w:rsidRPr="004018D4">
              <w:rPr>
                <w:color w:val="000000"/>
                <w:sz w:val="18"/>
                <w:szCs w:val="18"/>
              </w:rPr>
              <w:br/>
              <w:t xml:space="preserve">• Značajni i pouzdani zahtjevi s obzirom na vodu i energiju </w:t>
            </w:r>
          </w:p>
        </w:tc>
        <w:tc>
          <w:tcPr>
            <w:tcW w:w="3261" w:type="dxa"/>
            <w:tcBorders>
              <w:top w:val="nil"/>
              <w:left w:val="nil"/>
              <w:bottom w:val="single" w:sz="4" w:space="0" w:color="auto"/>
              <w:right w:val="single" w:sz="4" w:space="0" w:color="auto"/>
            </w:tcBorders>
            <w:shd w:val="clear" w:color="000000" w:fill="DCE6F1"/>
          </w:tcPr>
          <w:p w:rsidR="00671FBC" w:rsidRPr="004018D4" w:rsidRDefault="00671FBC" w:rsidP="00671FBC">
            <w:pPr>
              <w:spacing w:after="0" w:line="240" w:lineRule="auto"/>
              <w:rPr>
                <w:color w:val="000000"/>
                <w:sz w:val="18"/>
                <w:szCs w:val="18"/>
              </w:rPr>
            </w:pPr>
            <w:r w:rsidRPr="004018D4">
              <w:rPr>
                <w:color w:val="000000"/>
                <w:sz w:val="18"/>
                <w:szCs w:val="18"/>
              </w:rPr>
              <w:t>Kina, Kanada, Rusija, Meksiko, Brazil, Australija, Sjedinjene Američke Države, Ujedinjeno Kraljevstvo</w:t>
            </w:r>
          </w:p>
        </w:tc>
        <w:tc>
          <w:tcPr>
            <w:tcW w:w="2693" w:type="dxa"/>
            <w:tcBorders>
              <w:top w:val="nil"/>
              <w:left w:val="nil"/>
              <w:bottom w:val="single" w:sz="4" w:space="0" w:color="auto"/>
              <w:right w:val="single" w:sz="4" w:space="0" w:color="auto"/>
            </w:tcBorders>
            <w:shd w:val="clear" w:color="000000" w:fill="DCE6F1"/>
          </w:tcPr>
          <w:p w:rsidR="00671FBC" w:rsidRPr="004018D4" w:rsidRDefault="00671FBC" w:rsidP="00671FBC">
            <w:pPr>
              <w:spacing w:after="0" w:line="240" w:lineRule="auto"/>
              <w:rPr>
                <w:color w:val="000000"/>
                <w:sz w:val="18"/>
                <w:szCs w:val="18"/>
              </w:rPr>
            </w:pPr>
            <w:r w:rsidRPr="004018D4">
              <w:rPr>
                <w:color w:val="000000"/>
                <w:sz w:val="18"/>
                <w:szCs w:val="18"/>
              </w:rPr>
              <w:t>Kanada, Australija, Rusija, Nizozemska, Njemačka, Japan, Sjedinjene Američke Države, Ujedinjeno Kraljevstvo</w:t>
            </w:r>
          </w:p>
        </w:tc>
      </w:tr>
    </w:tbl>
    <w:p w:rsidR="00671FBC" w:rsidRPr="00DB39D7" w:rsidRDefault="00671FBC" w:rsidP="00671FBC">
      <w:pPr>
        <w:rPr>
          <w:rFonts w:cs="Calibri"/>
          <w:sz w:val="16"/>
          <w:szCs w:val="16"/>
        </w:rPr>
      </w:pPr>
    </w:p>
    <w:p w:rsidR="00671FBC" w:rsidRPr="00DB39D7" w:rsidRDefault="00671FBC" w:rsidP="00671FBC">
      <w:pPr>
        <w:rPr>
          <w:b/>
          <w:bCs/>
        </w:rPr>
      </w:pPr>
    </w:p>
    <w:p w:rsidR="00671FBC" w:rsidRPr="00DB39D7" w:rsidRDefault="00671FBC" w:rsidP="00671FBC">
      <w:pPr>
        <w:rPr>
          <w:b/>
          <w:bCs/>
        </w:rPr>
      </w:pPr>
    </w:p>
    <w:p w:rsidR="00671FBC" w:rsidRPr="00DB39D7" w:rsidRDefault="00671FBC" w:rsidP="00671FBC">
      <w:pPr>
        <w:rPr>
          <w:b/>
          <w:bCs/>
        </w:rPr>
      </w:pPr>
    </w:p>
    <w:p w:rsidR="00671FBC" w:rsidRPr="00DB39D7" w:rsidRDefault="00671FBC" w:rsidP="00671FBC">
      <w:pPr>
        <w:rPr>
          <w:b/>
          <w:bCs/>
        </w:rPr>
      </w:pPr>
    </w:p>
    <w:p w:rsidR="00671FBC" w:rsidRPr="00DB39D7" w:rsidRDefault="00671FBC" w:rsidP="00671FBC">
      <w:pPr>
        <w:rPr>
          <w:b/>
          <w:bCs/>
        </w:rPr>
      </w:pPr>
    </w:p>
    <w:p w:rsidR="00671FBC" w:rsidRPr="00DB39D7" w:rsidRDefault="00671FBC" w:rsidP="00671FBC">
      <w:pPr>
        <w:rPr>
          <w:b/>
          <w:bCs/>
        </w:rPr>
      </w:pPr>
    </w:p>
    <w:p w:rsidR="00671FBC" w:rsidRPr="00DB39D7" w:rsidRDefault="00671FBC" w:rsidP="00671FBC">
      <w:pPr>
        <w:rPr>
          <w:b/>
          <w:bCs/>
        </w:rPr>
      </w:pPr>
    </w:p>
    <w:p w:rsidR="00671FBC" w:rsidRPr="00DB39D7" w:rsidRDefault="00671FBC" w:rsidP="00671FBC">
      <w:pPr>
        <w:rPr>
          <w:b/>
          <w:bCs/>
          <w:sz w:val="20"/>
          <w:szCs w:val="20"/>
        </w:rPr>
      </w:pPr>
      <w:r w:rsidRPr="00DB39D7">
        <w:rPr>
          <w:b/>
          <w:bCs/>
          <w:sz w:val="20"/>
          <w:szCs w:val="20"/>
        </w:rPr>
        <w:lastRenderedPageBreak/>
        <w:t xml:space="preserve">DODATAK 5. </w:t>
      </w:r>
      <w:r>
        <w:rPr>
          <w:bCs/>
          <w:sz w:val="20"/>
          <w:szCs w:val="20"/>
        </w:rPr>
        <w:t>Mjesto koje Republika Hrvatska zauzima na ljestvici</w:t>
      </w:r>
      <w:r w:rsidRPr="00DB39D7">
        <w:rPr>
          <w:bCs/>
          <w:sz w:val="20"/>
          <w:szCs w:val="20"/>
        </w:rPr>
        <w:t xml:space="preserve"> </w:t>
      </w:r>
      <w:r>
        <w:rPr>
          <w:bCs/>
          <w:i/>
          <w:sz w:val="20"/>
          <w:szCs w:val="20"/>
        </w:rPr>
        <w:t>Lakoće poslovanja</w:t>
      </w:r>
      <w:r w:rsidRPr="00DB39D7">
        <w:rPr>
          <w:bCs/>
          <w:i/>
          <w:sz w:val="20"/>
          <w:szCs w:val="20"/>
        </w:rPr>
        <w:t xml:space="preserve"> </w:t>
      </w:r>
      <w:r w:rsidRPr="00DB39D7">
        <w:rPr>
          <w:bCs/>
          <w:sz w:val="20"/>
          <w:szCs w:val="20"/>
        </w:rPr>
        <w:t>za 2013. godinu</w:t>
      </w:r>
    </w:p>
    <w:tbl>
      <w:tblPr>
        <w:tblW w:w="15040" w:type="dxa"/>
        <w:tblInd w:w="-176" w:type="dxa"/>
        <w:tblLayout w:type="fixed"/>
        <w:tblLook w:val="00A0" w:firstRow="1" w:lastRow="0" w:firstColumn="1" w:lastColumn="0" w:noHBand="0" w:noVBand="0"/>
      </w:tblPr>
      <w:tblGrid>
        <w:gridCol w:w="1134"/>
        <w:gridCol w:w="724"/>
        <w:gridCol w:w="410"/>
        <w:gridCol w:w="724"/>
        <w:gridCol w:w="661"/>
        <w:gridCol w:w="473"/>
        <w:gridCol w:w="755"/>
        <w:gridCol w:w="630"/>
        <w:gridCol w:w="443"/>
        <w:gridCol w:w="785"/>
        <w:gridCol w:w="349"/>
        <w:gridCol w:w="724"/>
        <w:gridCol w:w="329"/>
        <w:gridCol w:w="805"/>
        <w:gridCol w:w="207"/>
        <w:gridCol w:w="846"/>
        <w:gridCol w:w="632"/>
        <w:gridCol w:w="380"/>
        <w:gridCol w:w="672"/>
        <w:gridCol w:w="806"/>
        <w:gridCol w:w="693"/>
        <w:gridCol w:w="359"/>
        <w:gridCol w:w="1499"/>
      </w:tblGrid>
      <w:tr w:rsidR="00671FBC" w:rsidRPr="00623771" w:rsidTr="00671FBC">
        <w:trPr>
          <w:trHeight w:val="1110"/>
        </w:trPr>
        <w:tc>
          <w:tcPr>
            <w:tcW w:w="1858" w:type="dxa"/>
            <w:gridSpan w:val="2"/>
            <w:tcBorders>
              <w:top w:val="single" w:sz="8" w:space="0" w:color="auto"/>
              <w:left w:val="single" w:sz="8" w:space="0" w:color="auto"/>
              <w:bottom w:val="single" w:sz="8" w:space="0" w:color="auto"/>
              <w:right w:val="single" w:sz="8" w:space="0" w:color="auto"/>
            </w:tcBorders>
            <w:shd w:val="clear" w:color="000000" w:fill="BFBFBF"/>
            <w:vAlign w:val="center"/>
          </w:tcPr>
          <w:p w:rsidR="00671FBC" w:rsidRPr="0075701E" w:rsidRDefault="00671FBC" w:rsidP="00671FBC">
            <w:pPr>
              <w:tabs>
                <w:tab w:val="left" w:pos="1892"/>
              </w:tabs>
              <w:spacing w:after="0" w:line="240" w:lineRule="auto"/>
              <w:ind w:right="34"/>
              <w:jc w:val="center"/>
              <w:rPr>
                <w:b/>
                <w:bCs/>
                <w:color w:val="000000"/>
                <w:sz w:val="18"/>
                <w:szCs w:val="18"/>
              </w:rPr>
            </w:pPr>
            <w:r w:rsidRPr="0075701E">
              <w:rPr>
                <w:b/>
                <w:bCs/>
                <w:color w:val="000000"/>
                <w:sz w:val="18"/>
                <w:szCs w:val="18"/>
              </w:rPr>
              <w:t>Država</w:t>
            </w:r>
          </w:p>
        </w:tc>
        <w:tc>
          <w:tcPr>
            <w:tcW w:w="1134" w:type="dxa"/>
            <w:gridSpan w:val="2"/>
            <w:tcBorders>
              <w:top w:val="single" w:sz="8" w:space="0" w:color="auto"/>
              <w:left w:val="nil"/>
              <w:bottom w:val="single" w:sz="8" w:space="0" w:color="auto"/>
              <w:right w:val="single" w:sz="4" w:space="0" w:color="auto"/>
            </w:tcBorders>
            <w:shd w:val="clear" w:color="000000" w:fill="BFBFBF"/>
            <w:vAlign w:val="center"/>
          </w:tcPr>
          <w:p w:rsidR="00671FBC" w:rsidRPr="0075701E" w:rsidRDefault="00671FBC" w:rsidP="00671FBC">
            <w:pPr>
              <w:spacing w:after="0" w:line="240" w:lineRule="auto"/>
              <w:jc w:val="center"/>
              <w:rPr>
                <w:b/>
                <w:bCs/>
                <w:color w:val="000000"/>
                <w:sz w:val="18"/>
                <w:szCs w:val="18"/>
              </w:rPr>
            </w:pPr>
            <w:r w:rsidRPr="0075701E">
              <w:rPr>
                <w:b/>
                <w:bCs/>
                <w:color w:val="000000"/>
                <w:sz w:val="18"/>
                <w:szCs w:val="18"/>
              </w:rPr>
              <w:t xml:space="preserve">Lakoća poslovanja </w:t>
            </w:r>
          </w:p>
        </w:tc>
        <w:tc>
          <w:tcPr>
            <w:tcW w:w="1134" w:type="dxa"/>
            <w:gridSpan w:val="2"/>
            <w:tcBorders>
              <w:top w:val="single" w:sz="8" w:space="0" w:color="auto"/>
              <w:left w:val="nil"/>
              <w:bottom w:val="single" w:sz="8" w:space="0" w:color="auto"/>
              <w:right w:val="single" w:sz="4" w:space="0" w:color="auto"/>
            </w:tcBorders>
            <w:shd w:val="clear" w:color="000000" w:fill="BFBFBF"/>
            <w:vAlign w:val="center"/>
          </w:tcPr>
          <w:p w:rsidR="00671FBC" w:rsidRPr="0075701E" w:rsidRDefault="00671FBC" w:rsidP="00671FBC">
            <w:pPr>
              <w:spacing w:after="0" w:line="240" w:lineRule="auto"/>
              <w:jc w:val="center"/>
              <w:rPr>
                <w:b/>
                <w:bCs/>
                <w:color w:val="000000"/>
                <w:sz w:val="18"/>
                <w:szCs w:val="18"/>
              </w:rPr>
            </w:pPr>
            <w:r w:rsidRPr="0075701E">
              <w:rPr>
                <w:b/>
                <w:bCs/>
                <w:color w:val="000000"/>
                <w:sz w:val="18"/>
                <w:szCs w:val="18"/>
              </w:rPr>
              <w:t>Osnivanje tvrtke</w:t>
            </w:r>
          </w:p>
        </w:tc>
        <w:tc>
          <w:tcPr>
            <w:tcW w:w="1385" w:type="dxa"/>
            <w:gridSpan w:val="2"/>
            <w:tcBorders>
              <w:top w:val="single" w:sz="8" w:space="0" w:color="auto"/>
              <w:left w:val="nil"/>
              <w:bottom w:val="single" w:sz="8" w:space="0" w:color="auto"/>
              <w:right w:val="single" w:sz="4" w:space="0" w:color="auto"/>
            </w:tcBorders>
            <w:shd w:val="clear" w:color="000000" w:fill="BFBFBF"/>
            <w:vAlign w:val="center"/>
          </w:tcPr>
          <w:p w:rsidR="00671FBC" w:rsidRPr="0075701E" w:rsidRDefault="00671FBC" w:rsidP="00671FBC">
            <w:pPr>
              <w:spacing w:after="0" w:line="240" w:lineRule="auto"/>
              <w:jc w:val="center"/>
              <w:rPr>
                <w:b/>
                <w:bCs/>
                <w:color w:val="000000"/>
                <w:sz w:val="18"/>
                <w:szCs w:val="18"/>
              </w:rPr>
            </w:pPr>
            <w:r w:rsidRPr="0075701E">
              <w:rPr>
                <w:b/>
                <w:bCs/>
                <w:color w:val="000000"/>
                <w:sz w:val="18"/>
                <w:szCs w:val="18"/>
              </w:rPr>
              <w:t>Rješavanje građevinskih dozvola</w:t>
            </w:r>
          </w:p>
        </w:tc>
        <w:tc>
          <w:tcPr>
            <w:tcW w:w="1228" w:type="dxa"/>
            <w:gridSpan w:val="2"/>
            <w:tcBorders>
              <w:top w:val="single" w:sz="8" w:space="0" w:color="auto"/>
              <w:left w:val="nil"/>
              <w:bottom w:val="single" w:sz="8" w:space="0" w:color="auto"/>
              <w:right w:val="single" w:sz="4" w:space="0" w:color="auto"/>
            </w:tcBorders>
            <w:shd w:val="clear" w:color="000000" w:fill="BFBFBF"/>
            <w:vAlign w:val="center"/>
          </w:tcPr>
          <w:p w:rsidR="00671FBC" w:rsidRPr="0075701E" w:rsidRDefault="00671FBC" w:rsidP="00671FBC">
            <w:pPr>
              <w:spacing w:after="0" w:line="240" w:lineRule="auto"/>
              <w:jc w:val="center"/>
              <w:rPr>
                <w:b/>
                <w:bCs/>
                <w:color w:val="000000"/>
                <w:sz w:val="18"/>
                <w:szCs w:val="18"/>
              </w:rPr>
            </w:pPr>
            <w:r w:rsidRPr="0075701E">
              <w:rPr>
                <w:b/>
                <w:bCs/>
                <w:color w:val="000000"/>
                <w:sz w:val="18"/>
                <w:szCs w:val="18"/>
              </w:rPr>
              <w:t>Dobivanje električne energije</w:t>
            </w:r>
          </w:p>
        </w:tc>
        <w:tc>
          <w:tcPr>
            <w:tcW w:w="1073" w:type="dxa"/>
            <w:gridSpan w:val="2"/>
            <w:tcBorders>
              <w:top w:val="single" w:sz="8" w:space="0" w:color="auto"/>
              <w:left w:val="nil"/>
              <w:bottom w:val="single" w:sz="8" w:space="0" w:color="auto"/>
              <w:right w:val="single" w:sz="4" w:space="0" w:color="auto"/>
            </w:tcBorders>
            <w:shd w:val="clear" w:color="000000" w:fill="BFBFBF"/>
            <w:vAlign w:val="center"/>
          </w:tcPr>
          <w:p w:rsidR="00671FBC" w:rsidRPr="0075701E" w:rsidRDefault="00671FBC" w:rsidP="00671FBC">
            <w:pPr>
              <w:spacing w:after="0" w:line="240" w:lineRule="auto"/>
              <w:jc w:val="center"/>
              <w:rPr>
                <w:b/>
                <w:bCs/>
                <w:color w:val="000000"/>
                <w:sz w:val="18"/>
                <w:szCs w:val="18"/>
              </w:rPr>
            </w:pPr>
            <w:r w:rsidRPr="0075701E">
              <w:rPr>
                <w:b/>
                <w:bCs/>
                <w:color w:val="000000"/>
                <w:sz w:val="18"/>
                <w:szCs w:val="18"/>
              </w:rPr>
              <w:t>Upis vlasništva</w:t>
            </w:r>
          </w:p>
        </w:tc>
        <w:tc>
          <w:tcPr>
            <w:tcW w:w="1134" w:type="dxa"/>
            <w:gridSpan w:val="2"/>
            <w:tcBorders>
              <w:top w:val="single" w:sz="8" w:space="0" w:color="auto"/>
              <w:left w:val="nil"/>
              <w:bottom w:val="single" w:sz="8" w:space="0" w:color="auto"/>
              <w:right w:val="single" w:sz="4" w:space="0" w:color="auto"/>
            </w:tcBorders>
            <w:shd w:val="clear" w:color="000000" w:fill="BFBFBF"/>
            <w:vAlign w:val="center"/>
          </w:tcPr>
          <w:p w:rsidR="00671FBC" w:rsidRPr="0075701E" w:rsidRDefault="00671FBC" w:rsidP="00671FBC">
            <w:pPr>
              <w:spacing w:after="0" w:line="240" w:lineRule="auto"/>
              <w:jc w:val="center"/>
              <w:rPr>
                <w:b/>
                <w:bCs/>
                <w:color w:val="000000"/>
                <w:sz w:val="18"/>
                <w:szCs w:val="18"/>
              </w:rPr>
            </w:pPr>
            <w:r w:rsidRPr="0075701E">
              <w:rPr>
                <w:b/>
                <w:bCs/>
                <w:color w:val="000000"/>
                <w:sz w:val="18"/>
                <w:szCs w:val="18"/>
              </w:rPr>
              <w:t>Dobivanje kredita</w:t>
            </w:r>
          </w:p>
        </w:tc>
        <w:tc>
          <w:tcPr>
            <w:tcW w:w="1053" w:type="dxa"/>
            <w:gridSpan w:val="2"/>
            <w:tcBorders>
              <w:top w:val="single" w:sz="8" w:space="0" w:color="auto"/>
              <w:left w:val="nil"/>
              <w:bottom w:val="single" w:sz="8" w:space="0" w:color="auto"/>
              <w:right w:val="single" w:sz="4" w:space="0" w:color="auto"/>
            </w:tcBorders>
            <w:shd w:val="clear" w:color="000000" w:fill="BFBFBF"/>
            <w:vAlign w:val="center"/>
          </w:tcPr>
          <w:p w:rsidR="00671FBC" w:rsidRPr="0075701E" w:rsidRDefault="00671FBC" w:rsidP="00671FBC">
            <w:pPr>
              <w:spacing w:after="0" w:line="240" w:lineRule="auto"/>
              <w:jc w:val="center"/>
              <w:rPr>
                <w:b/>
                <w:bCs/>
                <w:color w:val="000000"/>
                <w:sz w:val="18"/>
                <w:szCs w:val="18"/>
              </w:rPr>
            </w:pPr>
            <w:r w:rsidRPr="0075701E">
              <w:rPr>
                <w:b/>
                <w:bCs/>
                <w:color w:val="000000"/>
                <w:sz w:val="18"/>
                <w:szCs w:val="18"/>
              </w:rPr>
              <w:t>Zaštita ulagača</w:t>
            </w:r>
          </w:p>
        </w:tc>
        <w:tc>
          <w:tcPr>
            <w:tcW w:w="1012" w:type="dxa"/>
            <w:gridSpan w:val="2"/>
            <w:tcBorders>
              <w:top w:val="single" w:sz="8" w:space="0" w:color="auto"/>
              <w:left w:val="nil"/>
              <w:bottom w:val="single" w:sz="8" w:space="0" w:color="auto"/>
              <w:right w:val="single" w:sz="4" w:space="0" w:color="auto"/>
            </w:tcBorders>
            <w:shd w:val="clear" w:color="000000" w:fill="BFBFBF"/>
            <w:vAlign w:val="center"/>
          </w:tcPr>
          <w:p w:rsidR="00671FBC" w:rsidRPr="0075701E" w:rsidRDefault="00671FBC" w:rsidP="00671FBC">
            <w:pPr>
              <w:spacing w:after="0" w:line="240" w:lineRule="auto"/>
              <w:jc w:val="center"/>
              <w:rPr>
                <w:b/>
                <w:bCs/>
                <w:color w:val="000000"/>
                <w:sz w:val="18"/>
                <w:szCs w:val="18"/>
              </w:rPr>
            </w:pPr>
            <w:r w:rsidRPr="0075701E">
              <w:rPr>
                <w:b/>
                <w:bCs/>
                <w:color w:val="000000"/>
                <w:sz w:val="18"/>
                <w:szCs w:val="18"/>
              </w:rPr>
              <w:t>Plaćanje poreza</w:t>
            </w:r>
          </w:p>
        </w:tc>
        <w:tc>
          <w:tcPr>
            <w:tcW w:w="1478" w:type="dxa"/>
            <w:gridSpan w:val="2"/>
            <w:tcBorders>
              <w:top w:val="single" w:sz="8" w:space="0" w:color="auto"/>
              <w:left w:val="nil"/>
              <w:bottom w:val="single" w:sz="8" w:space="0" w:color="auto"/>
              <w:right w:val="single" w:sz="4" w:space="0" w:color="auto"/>
            </w:tcBorders>
            <w:shd w:val="clear" w:color="000000" w:fill="BFBFBF"/>
            <w:vAlign w:val="center"/>
          </w:tcPr>
          <w:p w:rsidR="00671FBC" w:rsidRPr="0075701E" w:rsidRDefault="00671FBC" w:rsidP="00671FBC">
            <w:pPr>
              <w:spacing w:after="0" w:line="240" w:lineRule="auto"/>
              <w:jc w:val="center"/>
              <w:rPr>
                <w:b/>
                <w:bCs/>
                <w:color w:val="000000"/>
                <w:sz w:val="18"/>
                <w:szCs w:val="18"/>
              </w:rPr>
            </w:pPr>
            <w:r w:rsidRPr="0075701E">
              <w:rPr>
                <w:b/>
                <w:bCs/>
                <w:color w:val="000000"/>
                <w:sz w:val="18"/>
                <w:szCs w:val="18"/>
              </w:rPr>
              <w:t>Prekogranična trgovina</w:t>
            </w:r>
          </w:p>
        </w:tc>
        <w:tc>
          <w:tcPr>
            <w:tcW w:w="1052" w:type="dxa"/>
            <w:gridSpan w:val="2"/>
            <w:tcBorders>
              <w:top w:val="single" w:sz="8" w:space="0" w:color="auto"/>
              <w:left w:val="nil"/>
              <w:bottom w:val="single" w:sz="8" w:space="0" w:color="auto"/>
              <w:right w:val="single" w:sz="4" w:space="0" w:color="auto"/>
            </w:tcBorders>
            <w:shd w:val="clear" w:color="000000" w:fill="BFBFBF"/>
            <w:vAlign w:val="center"/>
          </w:tcPr>
          <w:p w:rsidR="00671FBC" w:rsidRPr="0075701E" w:rsidRDefault="00671FBC" w:rsidP="00671FBC">
            <w:pPr>
              <w:spacing w:after="0" w:line="240" w:lineRule="auto"/>
              <w:jc w:val="center"/>
              <w:rPr>
                <w:b/>
                <w:bCs/>
                <w:color w:val="000000"/>
                <w:sz w:val="18"/>
                <w:szCs w:val="18"/>
              </w:rPr>
            </w:pPr>
            <w:r w:rsidRPr="0075701E">
              <w:rPr>
                <w:b/>
                <w:bCs/>
                <w:color w:val="000000"/>
                <w:sz w:val="18"/>
                <w:szCs w:val="18"/>
              </w:rPr>
              <w:t>Provedba ugovora</w:t>
            </w:r>
          </w:p>
        </w:tc>
        <w:tc>
          <w:tcPr>
            <w:tcW w:w="1499" w:type="dxa"/>
            <w:tcBorders>
              <w:top w:val="single" w:sz="8" w:space="0" w:color="auto"/>
              <w:left w:val="nil"/>
              <w:bottom w:val="single" w:sz="8" w:space="0" w:color="auto"/>
              <w:right w:val="single" w:sz="8" w:space="0" w:color="auto"/>
            </w:tcBorders>
            <w:shd w:val="clear" w:color="000000" w:fill="BFBFBF"/>
            <w:vAlign w:val="center"/>
          </w:tcPr>
          <w:p w:rsidR="00671FBC" w:rsidRPr="0075701E" w:rsidRDefault="00671FBC" w:rsidP="00671FBC">
            <w:pPr>
              <w:spacing w:after="0" w:line="240" w:lineRule="auto"/>
              <w:jc w:val="center"/>
              <w:rPr>
                <w:b/>
                <w:bCs/>
                <w:color w:val="000000"/>
                <w:sz w:val="18"/>
                <w:szCs w:val="18"/>
              </w:rPr>
            </w:pPr>
            <w:r w:rsidRPr="0075701E">
              <w:rPr>
                <w:b/>
                <w:bCs/>
                <w:color w:val="000000"/>
                <w:sz w:val="18"/>
                <w:szCs w:val="18"/>
              </w:rPr>
              <w:t>Rješavanje insolventnosti</w:t>
            </w:r>
          </w:p>
        </w:tc>
      </w:tr>
      <w:tr w:rsidR="00671FBC" w:rsidRPr="00623771" w:rsidTr="00671FBC">
        <w:trPr>
          <w:trHeight w:val="315"/>
        </w:trPr>
        <w:tc>
          <w:tcPr>
            <w:tcW w:w="1858" w:type="dxa"/>
            <w:gridSpan w:val="2"/>
            <w:tcBorders>
              <w:top w:val="nil"/>
              <w:left w:val="single" w:sz="8" w:space="0" w:color="auto"/>
              <w:bottom w:val="single" w:sz="8" w:space="0" w:color="auto"/>
              <w:right w:val="single" w:sz="8" w:space="0" w:color="auto"/>
            </w:tcBorders>
            <w:shd w:val="clear" w:color="000000" w:fill="E6B8B7"/>
            <w:noWrap/>
            <w:vAlign w:val="bottom"/>
          </w:tcPr>
          <w:p w:rsidR="00671FBC" w:rsidRPr="00DB39D7" w:rsidRDefault="00671FBC" w:rsidP="00671FBC">
            <w:pPr>
              <w:spacing w:after="0" w:line="240" w:lineRule="auto"/>
              <w:rPr>
                <w:sz w:val="20"/>
                <w:szCs w:val="20"/>
              </w:rPr>
            </w:pPr>
            <w:r w:rsidRPr="00DB39D7">
              <w:rPr>
                <w:sz w:val="20"/>
                <w:szCs w:val="20"/>
              </w:rPr>
              <w:t>Hrvatska</w:t>
            </w:r>
          </w:p>
        </w:tc>
        <w:tc>
          <w:tcPr>
            <w:tcW w:w="1134" w:type="dxa"/>
            <w:gridSpan w:val="2"/>
            <w:tcBorders>
              <w:top w:val="nil"/>
              <w:left w:val="nil"/>
              <w:bottom w:val="single" w:sz="8" w:space="0" w:color="auto"/>
              <w:right w:val="single" w:sz="4" w:space="0" w:color="auto"/>
            </w:tcBorders>
            <w:shd w:val="clear" w:color="000000" w:fill="E6B8B7"/>
            <w:noWrap/>
            <w:vAlign w:val="bottom"/>
          </w:tcPr>
          <w:p w:rsidR="00671FBC" w:rsidRPr="00DB39D7" w:rsidRDefault="00671FBC" w:rsidP="00671FBC">
            <w:pPr>
              <w:spacing w:after="0" w:line="240" w:lineRule="auto"/>
              <w:jc w:val="center"/>
              <w:rPr>
                <w:sz w:val="20"/>
                <w:szCs w:val="20"/>
              </w:rPr>
            </w:pPr>
            <w:r w:rsidRPr="00DB39D7">
              <w:rPr>
                <w:sz w:val="20"/>
                <w:szCs w:val="20"/>
              </w:rPr>
              <w:t>89</w:t>
            </w:r>
          </w:p>
        </w:tc>
        <w:tc>
          <w:tcPr>
            <w:tcW w:w="1134" w:type="dxa"/>
            <w:gridSpan w:val="2"/>
            <w:tcBorders>
              <w:top w:val="nil"/>
              <w:left w:val="nil"/>
              <w:bottom w:val="single" w:sz="8" w:space="0" w:color="auto"/>
              <w:right w:val="single" w:sz="4" w:space="0" w:color="auto"/>
            </w:tcBorders>
            <w:shd w:val="clear" w:color="000000" w:fill="E6B8B7"/>
            <w:noWrap/>
            <w:vAlign w:val="bottom"/>
          </w:tcPr>
          <w:p w:rsidR="00671FBC" w:rsidRPr="00DB39D7" w:rsidRDefault="00671FBC" w:rsidP="00671FBC">
            <w:pPr>
              <w:spacing w:after="0" w:line="240" w:lineRule="auto"/>
              <w:jc w:val="center"/>
              <w:rPr>
                <w:sz w:val="20"/>
                <w:szCs w:val="20"/>
              </w:rPr>
            </w:pPr>
            <w:r w:rsidRPr="00DB39D7">
              <w:rPr>
                <w:sz w:val="20"/>
                <w:szCs w:val="20"/>
              </w:rPr>
              <w:t>80</w:t>
            </w:r>
          </w:p>
        </w:tc>
        <w:tc>
          <w:tcPr>
            <w:tcW w:w="1385" w:type="dxa"/>
            <w:gridSpan w:val="2"/>
            <w:tcBorders>
              <w:top w:val="nil"/>
              <w:left w:val="nil"/>
              <w:bottom w:val="single" w:sz="8" w:space="0" w:color="auto"/>
              <w:right w:val="single" w:sz="4" w:space="0" w:color="auto"/>
            </w:tcBorders>
            <w:shd w:val="clear" w:color="000000" w:fill="E6B8B7"/>
            <w:noWrap/>
            <w:vAlign w:val="bottom"/>
          </w:tcPr>
          <w:p w:rsidR="00671FBC" w:rsidRPr="00DB39D7" w:rsidRDefault="00671FBC" w:rsidP="00671FBC">
            <w:pPr>
              <w:spacing w:after="0" w:line="240" w:lineRule="auto"/>
              <w:jc w:val="center"/>
              <w:rPr>
                <w:sz w:val="20"/>
                <w:szCs w:val="20"/>
              </w:rPr>
            </w:pPr>
            <w:r w:rsidRPr="00DB39D7">
              <w:rPr>
                <w:sz w:val="20"/>
                <w:szCs w:val="20"/>
              </w:rPr>
              <w:t>152</w:t>
            </w:r>
          </w:p>
        </w:tc>
        <w:tc>
          <w:tcPr>
            <w:tcW w:w="1228" w:type="dxa"/>
            <w:gridSpan w:val="2"/>
            <w:tcBorders>
              <w:top w:val="nil"/>
              <w:left w:val="nil"/>
              <w:bottom w:val="single" w:sz="8" w:space="0" w:color="auto"/>
              <w:right w:val="single" w:sz="4" w:space="0" w:color="auto"/>
            </w:tcBorders>
            <w:shd w:val="clear" w:color="000000" w:fill="E6B8B7"/>
            <w:noWrap/>
            <w:vAlign w:val="bottom"/>
          </w:tcPr>
          <w:p w:rsidR="00671FBC" w:rsidRPr="00DB39D7" w:rsidRDefault="00671FBC" w:rsidP="00671FBC">
            <w:pPr>
              <w:spacing w:after="0" w:line="240" w:lineRule="auto"/>
              <w:jc w:val="center"/>
              <w:rPr>
                <w:sz w:val="20"/>
                <w:szCs w:val="20"/>
              </w:rPr>
            </w:pPr>
            <w:r w:rsidRPr="00DB39D7">
              <w:rPr>
                <w:sz w:val="20"/>
                <w:szCs w:val="20"/>
              </w:rPr>
              <w:t>60</w:t>
            </w:r>
          </w:p>
        </w:tc>
        <w:tc>
          <w:tcPr>
            <w:tcW w:w="1073" w:type="dxa"/>
            <w:gridSpan w:val="2"/>
            <w:tcBorders>
              <w:top w:val="nil"/>
              <w:left w:val="nil"/>
              <w:bottom w:val="single" w:sz="8" w:space="0" w:color="auto"/>
              <w:right w:val="single" w:sz="4" w:space="0" w:color="auto"/>
            </w:tcBorders>
            <w:shd w:val="clear" w:color="000000" w:fill="E6B8B7"/>
            <w:noWrap/>
            <w:vAlign w:val="bottom"/>
          </w:tcPr>
          <w:p w:rsidR="00671FBC" w:rsidRPr="00DB39D7" w:rsidRDefault="00671FBC" w:rsidP="00671FBC">
            <w:pPr>
              <w:spacing w:after="0" w:line="240" w:lineRule="auto"/>
              <w:jc w:val="center"/>
              <w:rPr>
                <w:sz w:val="20"/>
                <w:szCs w:val="20"/>
              </w:rPr>
            </w:pPr>
            <w:r w:rsidRPr="00DB39D7">
              <w:rPr>
                <w:sz w:val="20"/>
                <w:szCs w:val="20"/>
              </w:rPr>
              <w:t>106</w:t>
            </w:r>
          </w:p>
        </w:tc>
        <w:tc>
          <w:tcPr>
            <w:tcW w:w="1134" w:type="dxa"/>
            <w:gridSpan w:val="2"/>
            <w:tcBorders>
              <w:top w:val="nil"/>
              <w:left w:val="nil"/>
              <w:bottom w:val="single" w:sz="8" w:space="0" w:color="auto"/>
              <w:right w:val="single" w:sz="4" w:space="0" w:color="auto"/>
            </w:tcBorders>
            <w:shd w:val="clear" w:color="000000" w:fill="E6B8B7"/>
            <w:noWrap/>
            <w:vAlign w:val="bottom"/>
          </w:tcPr>
          <w:p w:rsidR="00671FBC" w:rsidRPr="00DB39D7" w:rsidRDefault="00671FBC" w:rsidP="00671FBC">
            <w:pPr>
              <w:spacing w:after="0" w:line="240" w:lineRule="auto"/>
              <w:jc w:val="center"/>
              <w:rPr>
                <w:sz w:val="20"/>
                <w:szCs w:val="20"/>
              </w:rPr>
            </w:pPr>
            <w:r w:rsidRPr="00DB39D7">
              <w:rPr>
                <w:sz w:val="20"/>
                <w:szCs w:val="20"/>
              </w:rPr>
              <w:t>42</w:t>
            </w:r>
          </w:p>
        </w:tc>
        <w:tc>
          <w:tcPr>
            <w:tcW w:w="1053" w:type="dxa"/>
            <w:gridSpan w:val="2"/>
            <w:tcBorders>
              <w:top w:val="nil"/>
              <w:left w:val="nil"/>
              <w:bottom w:val="single" w:sz="8" w:space="0" w:color="auto"/>
              <w:right w:val="single" w:sz="4" w:space="0" w:color="auto"/>
            </w:tcBorders>
            <w:shd w:val="clear" w:color="000000" w:fill="E6B8B7"/>
            <w:noWrap/>
            <w:vAlign w:val="bottom"/>
          </w:tcPr>
          <w:p w:rsidR="00671FBC" w:rsidRPr="00DB39D7" w:rsidRDefault="00671FBC" w:rsidP="00671FBC">
            <w:pPr>
              <w:spacing w:after="0" w:line="240" w:lineRule="auto"/>
              <w:jc w:val="center"/>
              <w:rPr>
                <w:sz w:val="20"/>
                <w:szCs w:val="20"/>
              </w:rPr>
            </w:pPr>
            <w:r w:rsidRPr="00DB39D7">
              <w:rPr>
                <w:sz w:val="20"/>
                <w:szCs w:val="20"/>
              </w:rPr>
              <w:t>157</w:t>
            </w:r>
          </w:p>
        </w:tc>
        <w:tc>
          <w:tcPr>
            <w:tcW w:w="1012" w:type="dxa"/>
            <w:gridSpan w:val="2"/>
            <w:tcBorders>
              <w:top w:val="nil"/>
              <w:left w:val="nil"/>
              <w:bottom w:val="single" w:sz="8" w:space="0" w:color="auto"/>
              <w:right w:val="single" w:sz="4" w:space="0" w:color="auto"/>
            </w:tcBorders>
            <w:shd w:val="clear" w:color="000000" w:fill="E6B8B7"/>
            <w:noWrap/>
            <w:vAlign w:val="bottom"/>
          </w:tcPr>
          <w:p w:rsidR="00671FBC" w:rsidRPr="00DB39D7" w:rsidRDefault="00671FBC" w:rsidP="00671FBC">
            <w:pPr>
              <w:spacing w:after="0" w:line="240" w:lineRule="auto"/>
              <w:jc w:val="center"/>
              <w:rPr>
                <w:sz w:val="20"/>
                <w:szCs w:val="20"/>
              </w:rPr>
            </w:pPr>
            <w:r w:rsidRPr="00DB39D7">
              <w:rPr>
                <w:sz w:val="20"/>
                <w:szCs w:val="20"/>
              </w:rPr>
              <w:t>34</w:t>
            </w:r>
          </w:p>
        </w:tc>
        <w:tc>
          <w:tcPr>
            <w:tcW w:w="1478" w:type="dxa"/>
            <w:gridSpan w:val="2"/>
            <w:tcBorders>
              <w:top w:val="nil"/>
              <w:left w:val="nil"/>
              <w:bottom w:val="single" w:sz="8" w:space="0" w:color="auto"/>
              <w:right w:val="single" w:sz="4" w:space="0" w:color="auto"/>
            </w:tcBorders>
            <w:shd w:val="clear" w:color="000000" w:fill="E6B8B7"/>
            <w:noWrap/>
            <w:vAlign w:val="bottom"/>
          </w:tcPr>
          <w:p w:rsidR="00671FBC" w:rsidRPr="00DB39D7" w:rsidRDefault="00671FBC" w:rsidP="00671FBC">
            <w:pPr>
              <w:spacing w:after="0" w:line="240" w:lineRule="auto"/>
              <w:jc w:val="center"/>
              <w:rPr>
                <w:sz w:val="20"/>
                <w:szCs w:val="20"/>
              </w:rPr>
            </w:pPr>
            <w:r w:rsidRPr="00DB39D7">
              <w:rPr>
                <w:sz w:val="20"/>
                <w:szCs w:val="20"/>
              </w:rPr>
              <w:t>99</w:t>
            </w:r>
          </w:p>
        </w:tc>
        <w:tc>
          <w:tcPr>
            <w:tcW w:w="1052" w:type="dxa"/>
            <w:gridSpan w:val="2"/>
            <w:tcBorders>
              <w:top w:val="nil"/>
              <w:left w:val="nil"/>
              <w:bottom w:val="single" w:sz="8" w:space="0" w:color="auto"/>
              <w:right w:val="single" w:sz="4" w:space="0" w:color="auto"/>
            </w:tcBorders>
            <w:shd w:val="clear" w:color="000000" w:fill="E6B8B7"/>
            <w:noWrap/>
            <w:vAlign w:val="bottom"/>
          </w:tcPr>
          <w:p w:rsidR="00671FBC" w:rsidRPr="00DB39D7" w:rsidRDefault="00671FBC" w:rsidP="00671FBC">
            <w:pPr>
              <w:spacing w:after="0" w:line="240" w:lineRule="auto"/>
              <w:jc w:val="center"/>
              <w:rPr>
                <w:sz w:val="20"/>
                <w:szCs w:val="20"/>
              </w:rPr>
            </w:pPr>
            <w:r w:rsidRPr="00DB39D7">
              <w:rPr>
                <w:sz w:val="20"/>
                <w:szCs w:val="20"/>
              </w:rPr>
              <w:t>49</w:t>
            </w:r>
          </w:p>
        </w:tc>
        <w:tc>
          <w:tcPr>
            <w:tcW w:w="1499" w:type="dxa"/>
            <w:tcBorders>
              <w:top w:val="nil"/>
              <w:left w:val="nil"/>
              <w:bottom w:val="single" w:sz="8" w:space="0" w:color="auto"/>
              <w:right w:val="single" w:sz="8" w:space="0" w:color="auto"/>
            </w:tcBorders>
            <w:shd w:val="clear" w:color="000000" w:fill="E6B8B7"/>
            <w:noWrap/>
            <w:vAlign w:val="bottom"/>
          </w:tcPr>
          <w:p w:rsidR="00671FBC" w:rsidRPr="00DB39D7" w:rsidRDefault="00671FBC" w:rsidP="00671FBC">
            <w:pPr>
              <w:spacing w:after="0" w:line="240" w:lineRule="auto"/>
              <w:jc w:val="center"/>
              <w:rPr>
                <w:sz w:val="20"/>
                <w:szCs w:val="20"/>
              </w:rPr>
            </w:pPr>
            <w:r w:rsidRPr="00DB39D7">
              <w:rPr>
                <w:sz w:val="20"/>
                <w:szCs w:val="20"/>
              </w:rPr>
              <w:t>98</w:t>
            </w:r>
          </w:p>
        </w:tc>
      </w:tr>
      <w:tr w:rsidR="00671FBC" w:rsidRPr="00623771" w:rsidTr="00671FBC">
        <w:trPr>
          <w:trHeight w:val="300"/>
        </w:trPr>
        <w:tc>
          <w:tcPr>
            <w:tcW w:w="1858" w:type="dxa"/>
            <w:gridSpan w:val="2"/>
            <w:tcBorders>
              <w:top w:val="nil"/>
              <w:left w:val="single" w:sz="8" w:space="0" w:color="auto"/>
              <w:bottom w:val="nil"/>
              <w:right w:val="single" w:sz="8" w:space="0" w:color="auto"/>
            </w:tcBorders>
            <w:shd w:val="clear" w:color="000000" w:fill="DCE6F1"/>
            <w:noWrap/>
            <w:vAlign w:val="bottom"/>
          </w:tcPr>
          <w:p w:rsidR="00671FBC" w:rsidRPr="00DB39D7" w:rsidRDefault="00671FBC" w:rsidP="00671FBC">
            <w:pPr>
              <w:spacing w:after="0" w:line="240" w:lineRule="auto"/>
              <w:rPr>
                <w:color w:val="000000"/>
                <w:sz w:val="18"/>
                <w:szCs w:val="18"/>
              </w:rPr>
            </w:pPr>
            <w:r w:rsidRPr="00DB39D7">
              <w:rPr>
                <w:color w:val="000000"/>
                <w:sz w:val="18"/>
                <w:szCs w:val="18"/>
              </w:rPr>
              <w:t>Češka</w:t>
            </w:r>
          </w:p>
        </w:tc>
        <w:tc>
          <w:tcPr>
            <w:tcW w:w="1134"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75</w:t>
            </w:r>
          </w:p>
        </w:tc>
        <w:tc>
          <w:tcPr>
            <w:tcW w:w="1134"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146</w:t>
            </w:r>
          </w:p>
        </w:tc>
        <w:tc>
          <w:tcPr>
            <w:tcW w:w="1385"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86</w:t>
            </w:r>
          </w:p>
        </w:tc>
        <w:tc>
          <w:tcPr>
            <w:tcW w:w="1228"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146</w:t>
            </w:r>
          </w:p>
        </w:tc>
        <w:tc>
          <w:tcPr>
            <w:tcW w:w="1073"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37</w:t>
            </w:r>
          </w:p>
        </w:tc>
        <w:tc>
          <w:tcPr>
            <w:tcW w:w="1134"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55</w:t>
            </w:r>
          </w:p>
        </w:tc>
        <w:tc>
          <w:tcPr>
            <w:tcW w:w="1053"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98</w:t>
            </w:r>
          </w:p>
        </w:tc>
        <w:tc>
          <w:tcPr>
            <w:tcW w:w="1012"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122</w:t>
            </w:r>
          </w:p>
        </w:tc>
        <w:tc>
          <w:tcPr>
            <w:tcW w:w="1478"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68</w:t>
            </w:r>
          </w:p>
        </w:tc>
        <w:tc>
          <w:tcPr>
            <w:tcW w:w="1052"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75</w:t>
            </w:r>
          </w:p>
        </w:tc>
        <w:tc>
          <w:tcPr>
            <w:tcW w:w="1499" w:type="dxa"/>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29</w:t>
            </w:r>
          </w:p>
        </w:tc>
      </w:tr>
      <w:tr w:rsidR="00671FBC" w:rsidRPr="00623771" w:rsidTr="00671FBC">
        <w:trPr>
          <w:trHeight w:val="300"/>
        </w:trPr>
        <w:tc>
          <w:tcPr>
            <w:tcW w:w="1858" w:type="dxa"/>
            <w:gridSpan w:val="2"/>
            <w:tcBorders>
              <w:top w:val="nil"/>
              <w:left w:val="single" w:sz="8" w:space="0" w:color="auto"/>
              <w:bottom w:val="nil"/>
              <w:right w:val="single" w:sz="8" w:space="0" w:color="auto"/>
            </w:tcBorders>
            <w:shd w:val="clear" w:color="000000" w:fill="DCE6F1"/>
            <w:noWrap/>
            <w:vAlign w:val="bottom"/>
          </w:tcPr>
          <w:p w:rsidR="00671FBC" w:rsidRPr="00DB39D7" w:rsidRDefault="00671FBC" w:rsidP="00671FBC">
            <w:pPr>
              <w:spacing w:after="0" w:line="240" w:lineRule="auto"/>
              <w:rPr>
                <w:color w:val="000000"/>
                <w:sz w:val="18"/>
                <w:szCs w:val="18"/>
              </w:rPr>
            </w:pPr>
            <w:r w:rsidRPr="00DB39D7">
              <w:rPr>
                <w:color w:val="000000"/>
                <w:sz w:val="18"/>
                <w:szCs w:val="18"/>
              </w:rPr>
              <w:t>Mađarska</w:t>
            </w:r>
          </w:p>
        </w:tc>
        <w:tc>
          <w:tcPr>
            <w:tcW w:w="1134"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54</w:t>
            </w:r>
          </w:p>
        </w:tc>
        <w:tc>
          <w:tcPr>
            <w:tcW w:w="1134"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59</w:t>
            </w:r>
          </w:p>
        </w:tc>
        <w:tc>
          <w:tcPr>
            <w:tcW w:w="1385"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47</w:t>
            </w:r>
          </w:p>
        </w:tc>
        <w:tc>
          <w:tcPr>
            <w:tcW w:w="1228"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112</w:t>
            </w:r>
          </w:p>
        </w:tc>
        <w:tc>
          <w:tcPr>
            <w:tcW w:w="1073"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45</w:t>
            </w:r>
          </w:p>
        </w:tc>
        <w:tc>
          <w:tcPr>
            <w:tcW w:w="1134"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55</w:t>
            </w:r>
          </w:p>
        </w:tc>
        <w:tc>
          <w:tcPr>
            <w:tcW w:w="1053"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128</w:t>
            </w:r>
          </w:p>
        </w:tc>
        <w:tc>
          <w:tcPr>
            <w:tcW w:w="1012"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124</w:t>
            </w:r>
          </w:p>
        </w:tc>
        <w:tc>
          <w:tcPr>
            <w:tcW w:w="1478"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70</w:t>
            </w:r>
          </w:p>
        </w:tc>
        <w:tc>
          <w:tcPr>
            <w:tcW w:w="1052"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15</w:t>
            </w:r>
          </w:p>
        </w:tc>
        <w:tc>
          <w:tcPr>
            <w:tcW w:w="1499" w:type="dxa"/>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70</w:t>
            </w:r>
          </w:p>
        </w:tc>
      </w:tr>
      <w:tr w:rsidR="00671FBC" w:rsidRPr="00623771" w:rsidTr="00671FBC">
        <w:trPr>
          <w:trHeight w:val="300"/>
        </w:trPr>
        <w:tc>
          <w:tcPr>
            <w:tcW w:w="1858" w:type="dxa"/>
            <w:gridSpan w:val="2"/>
            <w:tcBorders>
              <w:top w:val="nil"/>
              <w:left w:val="single" w:sz="8" w:space="0" w:color="auto"/>
              <w:bottom w:val="nil"/>
              <w:right w:val="single" w:sz="8" w:space="0" w:color="auto"/>
            </w:tcBorders>
            <w:shd w:val="clear" w:color="000000" w:fill="DCE6F1"/>
            <w:noWrap/>
            <w:vAlign w:val="bottom"/>
          </w:tcPr>
          <w:p w:rsidR="00671FBC" w:rsidRPr="00DB39D7" w:rsidRDefault="00671FBC" w:rsidP="00671FBC">
            <w:pPr>
              <w:spacing w:after="0" w:line="240" w:lineRule="auto"/>
              <w:rPr>
                <w:color w:val="000000"/>
                <w:sz w:val="18"/>
                <w:szCs w:val="18"/>
              </w:rPr>
            </w:pPr>
            <w:r w:rsidRPr="00DB39D7">
              <w:rPr>
                <w:color w:val="000000"/>
                <w:sz w:val="18"/>
                <w:szCs w:val="18"/>
              </w:rPr>
              <w:t>Poljska</w:t>
            </w:r>
          </w:p>
        </w:tc>
        <w:tc>
          <w:tcPr>
            <w:tcW w:w="1134"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45</w:t>
            </w:r>
          </w:p>
        </w:tc>
        <w:tc>
          <w:tcPr>
            <w:tcW w:w="1134"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116</w:t>
            </w:r>
          </w:p>
        </w:tc>
        <w:tc>
          <w:tcPr>
            <w:tcW w:w="1385"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88</w:t>
            </w:r>
          </w:p>
        </w:tc>
        <w:tc>
          <w:tcPr>
            <w:tcW w:w="1228"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137</w:t>
            </w:r>
          </w:p>
        </w:tc>
        <w:tc>
          <w:tcPr>
            <w:tcW w:w="1073"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54</w:t>
            </w:r>
          </w:p>
        </w:tc>
        <w:tc>
          <w:tcPr>
            <w:tcW w:w="1134"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3</w:t>
            </w:r>
          </w:p>
        </w:tc>
        <w:tc>
          <w:tcPr>
            <w:tcW w:w="1053"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52</w:t>
            </w:r>
          </w:p>
        </w:tc>
        <w:tc>
          <w:tcPr>
            <w:tcW w:w="1012"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113</w:t>
            </w:r>
          </w:p>
        </w:tc>
        <w:tc>
          <w:tcPr>
            <w:tcW w:w="1478"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49</w:t>
            </w:r>
          </w:p>
        </w:tc>
        <w:tc>
          <w:tcPr>
            <w:tcW w:w="1052"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55</w:t>
            </w:r>
          </w:p>
        </w:tc>
        <w:tc>
          <w:tcPr>
            <w:tcW w:w="1499" w:type="dxa"/>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37</w:t>
            </w:r>
          </w:p>
        </w:tc>
      </w:tr>
      <w:tr w:rsidR="00671FBC" w:rsidRPr="00623771" w:rsidTr="00671FBC">
        <w:trPr>
          <w:trHeight w:val="300"/>
        </w:trPr>
        <w:tc>
          <w:tcPr>
            <w:tcW w:w="1858" w:type="dxa"/>
            <w:gridSpan w:val="2"/>
            <w:tcBorders>
              <w:top w:val="nil"/>
              <w:left w:val="single" w:sz="8" w:space="0" w:color="auto"/>
              <w:bottom w:val="nil"/>
              <w:right w:val="single" w:sz="8" w:space="0" w:color="auto"/>
            </w:tcBorders>
            <w:shd w:val="clear" w:color="000000" w:fill="DCE6F1"/>
            <w:noWrap/>
            <w:vAlign w:val="bottom"/>
          </w:tcPr>
          <w:p w:rsidR="00671FBC" w:rsidRPr="00DB39D7" w:rsidRDefault="00671FBC" w:rsidP="00671FBC">
            <w:pPr>
              <w:spacing w:after="0" w:line="240" w:lineRule="auto"/>
              <w:rPr>
                <w:color w:val="000000"/>
                <w:sz w:val="18"/>
                <w:szCs w:val="18"/>
              </w:rPr>
            </w:pPr>
            <w:r w:rsidRPr="00DB39D7">
              <w:rPr>
                <w:color w:val="000000"/>
                <w:sz w:val="18"/>
                <w:szCs w:val="18"/>
              </w:rPr>
              <w:t>Rumunjska</w:t>
            </w:r>
          </w:p>
        </w:tc>
        <w:tc>
          <w:tcPr>
            <w:tcW w:w="1134"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73</w:t>
            </w:r>
          </w:p>
        </w:tc>
        <w:tc>
          <w:tcPr>
            <w:tcW w:w="1134"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60</w:t>
            </w:r>
          </w:p>
        </w:tc>
        <w:tc>
          <w:tcPr>
            <w:tcW w:w="1385"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136</w:t>
            </w:r>
          </w:p>
        </w:tc>
        <w:tc>
          <w:tcPr>
            <w:tcW w:w="1228"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174</w:t>
            </w:r>
          </w:p>
        </w:tc>
        <w:tc>
          <w:tcPr>
            <w:tcW w:w="1073"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70</w:t>
            </w:r>
          </w:p>
        </w:tc>
        <w:tc>
          <w:tcPr>
            <w:tcW w:w="1134"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13</w:t>
            </w:r>
          </w:p>
        </w:tc>
        <w:tc>
          <w:tcPr>
            <w:tcW w:w="1053"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52</w:t>
            </w:r>
          </w:p>
        </w:tc>
        <w:tc>
          <w:tcPr>
            <w:tcW w:w="1012"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134</w:t>
            </w:r>
          </w:p>
        </w:tc>
        <w:tc>
          <w:tcPr>
            <w:tcW w:w="1478"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76</w:t>
            </w:r>
          </w:p>
        </w:tc>
        <w:tc>
          <w:tcPr>
            <w:tcW w:w="1052"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53</w:t>
            </w:r>
          </w:p>
        </w:tc>
        <w:tc>
          <w:tcPr>
            <w:tcW w:w="1499" w:type="dxa"/>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99</w:t>
            </w:r>
          </w:p>
        </w:tc>
      </w:tr>
      <w:tr w:rsidR="00671FBC" w:rsidRPr="00623771" w:rsidTr="00671FBC">
        <w:trPr>
          <w:trHeight w:val="300"/>
        </w:trPr>
        <w:tc>
          <w:tcPr>
            <w:tcW w:w="1858" w:type="dxa"/>
            <w:gridSpan w:val="2"/>
            <w:tcBorders>
              <w:top w:val="nil"/>
              <w:left w:val="single" w:sz="8" w:space="0" w:color="auto"/>
              <w:bottom w:val="nil"/>
              <w:right w:val="single" w:sz="8" w:space="0" w:color="auto"/>
            </w:tcBorders>
            <w:shd w:val="clear" w:color="000000" w:fill="DCE6F1"/>
            <w:noWrap/>
            <w:vAlign w:val="bottom"/>
          </w:tcPr>
          <w:p w:rsidR="00671FBC" w:rsidRPr="00DB39D7" w:rsidRDefault="00671FBC" w:rsidP="00671FBC">
            <w:pPr>
              <w:spacing w:after="0" w:line="240" w:lineRule="auto"/>
              <w:rPr>
                <w:color w:val="000000"/>
                <w:sz w:val="18"/>
                <w:szCs w:val="18"/>
              </w:rPr>
            </w:pPr>
            <w:r w:rsidRPr="00DB39D7">
              <w:rPr>
                <w:color w:val="000000"/>
                <w:sz w:val="18"/>
                <w:szCs w:val="18"/>
              </w:rPr>
              <w:t>Slovačka</w:t>
            </w:r>
          </w:p>
        </w:tc>
        <w:tc>
          <w:tcPr>
            <w:tcW w:w="1134"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49</w:t>
            </w:r>
          </w:p>
        </w:tc>
        <w:tc>
          <w:tcPr>
            <w:tcW w:w="1134"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108</w:t>
            </w:r>
          </w:p>
        </w:tc>
        <w:tc>
          <w:tcPr>
            <w:tcW w:w="1385"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53</w:t>
            </w:r>
          </w:p>
        </w:tc>
        <w:tc>
          <w:tcPr>
            <w:tcW w:w="1228"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65</w:t>
            </w:r>
          </w:p>
        </w:tc>
        <w:tc>
          <w:tcPr>
            <w:tcW w:w="1073"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11</w:t>
            </w:r>
          </w:p>
        </w:tc>
        <w:tc>
          <w:tcPr>
            <w:tcW w:w="1134"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42</w:t>
            </w:r>
          </w:p>
        </w:tc>
        <w:tc>
          <w:tcPr>
            <w:tcW w:w="1053"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115</w:t>
            </w:r>
          </w:p>
        </w:tc>
        <w:tc>
          <w:tcPr>
            <w:tcW w:w="1012"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102</w:t>
            </w:r>
          </w:p>
        </w:tc>
        <w:tc>
          <w:tcPr>
            <w:tcW w:w="1478"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108</w:t>
            </w:r>
          </w:p>
        </w:tc>
        <w:tc>
          <w:tcPr>
            <w:tcW w:w="1052"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65</w:t>
            </w:r>
          </w:p>
        </w:tc>
        <w:tc>
          <w:tcPr>
            <w:tcW w:w="1499" w:type="dxa"/>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38</w:t>
            </w:r>
          </w:p>
        </w:tc>
      </w:tr>
      <w:tr w:rsidR="00671FBC" w:rsidRPr="00623771" w:rsidTr="00671FBC">
        <w:trPr>
          <w:trHeight w:val="315"/>
        </w:trPr>
        <w:tc>
          <w:tcPr>
            <w:tcW w:w="1858" w:type="dxa"/>
            <w:gridSpan w:val="2"/>
            <w:tcBorders>
              <w:top w:val="nil"/>
              <w:left w:val="single" w:sz="8" w:space="0" w:color="auto"/>
              <w:bottom w:val="single" w:sz="8" w:space="0" w:color="auto"/>
              <w:right w:val="single" w:sz="8" w:space="0" w:color="auto"/>
            </w:tcBorders>
            <w:shd w:val="clear" w:color="000000" w:fill="DCE6F1"/>
            <w:noWrap/>
            <w:vAlign w:val="bottom"/>
          </w:tcPr>
          <w:p w:rsidR="00671FBC" w:rsidRPr="00DB39D7" w:rsidRDefault="00671FBC" w:rsidP="00671FBC">
            <w:pPr>
              <w:spacing w:after="0" w:line="240" w:lineRule="auto"/>
              <w:rPr>
                <w:color w:val="000000"/>
                <w:sz w:val="18"/>
                <w:szCs w:val="18"/>
              </w:rPr>
            </w:pPr>
            <w:r w:rsidRPr="00DB39D7">
              <w:rPr>
                <w:color w:val="000000"/>
                <w:sz w:val="18"/>
                <w:szCs w:val="18"/>
              </w:rPr>
              <w:t>Srbija</w:t>
            </w:r>
          </w:p>
        </w:tc>
        <w:tc>
          <w:tcPr>
            <w:tcW w:w="1134"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93</w:t>
            </w:r>
          </w:p>
        </w:tc>
        <w:tc>
          <w:tcPr>
            <w:tcW w:w="1134"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45</w:t>
            </w:r>
          </w:p>
        </w:tc>
        <w:tc>
          <w:tcPr>
            <w:tcW w:w="1385"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182</w:t>
            </w:r>
          </w:p>
        </w:tc>
        <w:tc>
          <w:tcPr>
            <w:tcW w:w="1228"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85</w:t>
            </w:r>
          </w:p>
        </w:tc>
        <w:tc>
          <w:tcPr>
            <w:tcW w:w="1073"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44</w:t>
            </w:r>
          </w:p>
        </w:tc>
        <w:tc>
          <w:tcPr>
            <w:tcW w:w="1134"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42</w:t>
            </w:r>
          </w:p>
        </w:tc>
        <w:tc>
          <w:tcPr>
            <w:tcW w:w="1053"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80</w:t>
            </w:r>
          </w:p>
        </w:tc>
        <w:tc>
          <w:tcPr>
            <w:tcW w:w="1012"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161</w:t>
            </w:r>
          </w:p>
        </w:tc>
        <w:tc>
          <w:tcPr>
            <w:tcW w:w="1478"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98</w:t>
            </w:r>
          </w:p>
        </w:tc>
        <w:tc>
          <w:tcPr>
            <w:tcW w:w="1052" w:type="dxa"/>
            <w:gridSpan w:val="2"/>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116</w:t>
            </w:r>
          </w:p>
        </w:tc>
        <w:tc>
          <w:tcPr>
            <w:tcW w:w="1499" w:type="dxa"/>
            <w:tcBorders>
              <w:top w:val="nil"/>
              <w:left w:val="nil"/>
              <w:bottom w:val="single" w:sz="4" w:space="0" w:color="auto"/>
              <w:right w:val="single" w:sz="4" w:space="0" w:color="auto"/>
            </w:tcBorders>
            <w:noWrap/>
            <w:vAlign w:val="bottom"/>
          </w:tcPr>
          <w:p w:rsidR="00671FBC" w:rsidRPr="00DB39D7" w:rsidRDefault="00671FBC" w:rsidP="00671FBC">
            <w:pPr>
              <w:spacing w:after="0" w:line="240" w:lineRule="auto"/>
              <w:jc w:val="center"/>
              <w:rPr>
                <w:color w:val="000000"/>
                <w:sz w:val="18"/>
                <w:szCs w:val="18"/>
              </w:rPr>
            </w:pPr>
            <w:r w:rsidRPr="00DB39D7">
              <w:rPr>
                <w:color w:val="000000"/>
                <w:sz w:val="18"/>
                <w:szCs w:val="18"/>
              </w:rPr>
              <w:t>103</w:t>
            </w:r>
          </w:p>
        </w:tc>
      </w:tr>
      <w:tr w:rsidR="00671FBC" w:rsidRPr="00623771" w:rsidTr="00671FBC">
        <w:trPr>
          <w:gridAfter w:val="2"/>
          <w:wAfter w:w="1858" w:type="dxa"/>
          <w:trHeight w:val="300"/>
        </w:trPr>
        <w:tc>
          <w:tcPr>
            <w:tcW w:w="1134" w:type="dxa"/>
            <w:tcBorders>
              <w:top w:val="nil"/>
              <w:left w:val="nil"/>
              <w:bottom w:val="nil"/>
              <w:right w:val="nil"/>
            </w:tcBorders>
            <w:noWrap/>
            <w:vAlign w:val="bottom"/>
          </w:tcPr>
          <w:p w:rsidR="00671FBC" w:rsidRPr="00DB39D7" w:rsidRDefault="00671FBC" w:rsidP="00671FBC">
            <w:pPr>
              <w:spacing w:after="0" w:line="240" w:lineRule="auto"/>
              <w:rPr>
                <w:color w:val="000000"/>
              </w:rPr>
            </w:pPr>
          </w:p>
        </w:tc>
        <w:tc>
          <w:tcPr>
            <w:tcW w:w="1134" w:type="dxa"/>
            <w:gridSpan w:val="2"/>
            <w:tcBorders>
              <w:top w:val="nil"/>
              <w:left w:val="nil"/>
              <w:bottom w:val="nil"/>
              <w:right w:val="nil"/>
            </w:tcBorders>
            <w:noWrap/>
            <w:vAlign w:val="bottom"/>
          </w:tcPr>
          <w:p w:rsidR="00671FBC" w:rsidRPr="00DB39D7" w:rsidRDefault="00671FBC" w:rsidP="00671FBC">
            <w:pPr>
              <w:spacing w:after="0" w:line="240" w:lineRule="auto"/>
              <w:rPr>
                <w:color w:val="000000"/>
              </w:rPr>
            </w:pPr>
          </w:p>
        </w:tc>
        <w:tc>
          <w:tcPr>
            <w:tcW w:w="1385" w:type="dxa"/>
            <w:gridSpan w:val="2"/>
            <w:tcBorders>
              <w:top w:val="nil"/>
              <w:left w:val="nil"/>
              <w:bottom w:val="nil"/>
              <w:right w:val="nil"/>
            </w:tcBorders>
            <w:noWrap/>
            <w:vAlign w:val="bottom"/>
          </w:tcPr>
          <w:p w:rsidR="00671FBC" w:rsidRPr="00DB39D7" w:rsidRDefault="00671FBC" w:rsidP="00671FBC">
            <w:pPr>
              <w:spacing w:after="0" w:line="240" w:lineRule="auto"/>
              <w:rPr>
                <w:color w:val="000000"/>
              </w:rPr>
            </w:pPr>
          </w:p>
        </w:tc>
        <w:tc>
          <w:tcPr>
            <w:tcW w:w="1228" w:type="dxa"/>
            <w:gridSpan w:val="2"/>
            <w:tcBorders>
              <w:top w:val="nil"/>
              <w:left w:val="nil"/>
              <w:bottom w:val="nil"/>
              <w:right w:val="nil"/>
            </w:tcBorders>
            <w:noWrap/>
            <w:vAlign w:val="bottom"/>
          </w:tcPr>
          <w:p w:rsidR="00671FBC" w:rsidRPr="00DB39D7" w:rsidRDefault="00671FBC" w:rsidP="00671FBC">
            <w:pPr>
              <w:spacing w:after="0" w:line="240" w:lineRule="auto"/>
              <w:rPr>
                <w:color w:val="000000"/>
              </w:rPr>
            </w:pPr>
          </w:p>
        </w:tc>
        <w:tc>
          <w:tcPr>
            <w:tcW w:w="1073" w:type="dxa"/>
            <w:gridSpan w:val="2"/>
            <w:tcBorders>
              <w:top w:val="nil"/>
              <w:left w:val="nil"/>
              <w:bottom w:val="nil"/>
              <w:right w:val="nil"/>
            </w:tcBorders>
            <w:noWrap/>
            <w:vAlign w:val="bottom"/>
          </w:tcPr>
          <w:p w:rsidR="00671FBC" w:rsidRPr="00DB39D7" w:rsidRDefault="00671FBC" w:rsidP="00671FBC">
            <w:pPr>
              <w:spacing w:after="0" w:line="240" w:lineRule="auto"/>
              <w:rPr>
                <w:color w:val="000000"/>
              </w:rPr>
            </w:pPr>
          </w:p>
        </w:tc>
        <w:tc>
          <w:tcPr>
            <w:tcW w:w="1134" w:type="dxa"/>
            <w:gridSpan w:val="2"/>
            <w:tcBorders>
              <w:top w:val="nil"/>
              <w:left w:val="nil"/>
              <w:bottom w:val="nil"/>
              <w:right w:val="nil"/>
            </w:tcBorders>
            <w:noWrap/>
            <w:vAlign w:val="bottom"/>
          </w:tcPr>
          <w:p w:rsidR="00671FBC" w:rsidRPr="00DB39D7" w:rsidRDefault="00671FBC" w:rsidP="00671FBC">
            <w:pPr>
              <w:spacing w:after="0" w:line="240" w:lineRule="auto"/>
              <w:rPr>
                <w:color w:val="000000"/>
              </w:rPr>
            </w:pPr>
          </w:p>
        </w:tc>
        <w:tc>
          <w:tcPr>
            <w:tcW w:w="1053" w:type="dxa"/>
            <w:gridSpan w:val="2"/>
            <w:tcBorders>
              <w:top w:val="nil"/>
              <w:left w:val="nil"/>
              <w:bottom w:val="nil"/>
              <w:right w:val="nil"/>
            </w:tcBorders>
            <w:noWrap/>
            <w:vAlign w:val="bottom"/>
          </w:tcPr>
          <w:p w:rsidR="00671FBC" w:rsidRPr="00DB39D7" w:rsidRDefault="00671FBC" w:rsidP="00671FBC">
            <w:pPr>
              <w:spacing w:after="0" w:line="240" w:lineRule="auto"/>
              <w:rPr>
                <w:color w:val="000000"/>
              </w:rPr>
            </w:pPr>
          </w:p>
        </w:tc>
        <w:tc>
          <w:tcPr>
            <w:tcW w:w="1012" w:type="dxa"/>
            <w:gridSpan w:val="2"/>
            <w:tcBorders>
              <w:top w:val="nil"/>
              <w:left w:val="nil"/>
              <w:bottom w:val="nil"/>
              <w:right w:val="nil"/>
            </w:tcBorders>
            <w:noWrap/>
            <w:vAlign w:val="bottom"/>
          </w:tcPr>
          <w:p w:rsidR="00671FBC" w:rsidRPr="00DB39D7" w:rsidRDefault="00671FBC" w:rsidP="00671FBC">
            <w:pPr>
              <w:spacing w:after="0" w:line="240" w:lineRule="auto"/>
              <w:rPr>
                <w:color w:val="000000"/>
              </w:rPr>
            </w:pPr>
          </w:p>
        </w:tc>
        <w:tc>
          <w:tcPr>
            <w:tcW w:w="1478" w:type="dxa"/>
            <w:gridSpan w:val="2"/>
            <w:tcBorders>
              <w:top w:val="nil"/>
              <w:left w:val="nil"/>
              <w:bottom w:val="nil"/>
              <w:right w:val="nil"/>
            </w:tcBorders>
            <w:noWrap/>
            <w:vAlign w:val="bottom"/>
          </w:tcPr>
          <w:p w:rsidR="00671FBC" w:rsidRPr="00DB39D7" w:rsidRDefault="00671FBC" w:rsidP="00671FBC">
            <w:pPr>
              <w:spacing w:after="0" w:line="240" w:lineRule="auto"/>
              <w:rPr>
                <w:color w:val="000000"/>
              </w:rPr>
            </w:pPr>
          </w:p>
        </w:tc>
        <w:tc>
          <w:tcPr>
            <w:tcW w:w="1052" w:type="dxa"/>
            <w:gridSpan w:val="2"/>
            <w:tcBorders>
              <w:top w:val="nil"/>
              <w:left w:val="nil"/>
              <w:bottom w:val="nil"/>
              <w:right w:val="nil"/>
            </w:tcBorders>
            <w:noWrap/>
            <w:vAlign w:val="bottom"/>
          </w:tcPr>
          <w:p w:rsidR="00671FBC" w:rsidRPr="00DB39D7" w:rsidRDefault="00671FBC" w:rsidP="00671FBC">
            <w:pPr>
              <w:spacing w:after="0" w:line="240" w:lineRule="auto"/>
              <w:rPr>
                <w:color w:val="000000"/>
              </w:rPr>
            </w:pPr>
          </w:p>
        </w:tc>
        <w:tc>
          <w:tcPr>
            <w:tcW w:w="1499" w:type="dxa"/>
            <w:gridSpan w:val="2"/>
            <w:tcBorders>
              <w:top w:val="nil"/>
              <w:left w:val="nil"/>
              <w:bottom w:val="nil"/>
              <w:right w:val="nil"/>
            </w:tcBorders>
            <w:noWrap/>
            <w:vAlign w:val="bottom"/>
          </w:tcPr>
          <w:p w:rsidR="00671FBC" w:rsidRPr="00DB39D7" w:rsidRDefault="00671FBC" w:rsidP="00671FBC">
            <w:pPr>
              <w:spacing w:after="0" w:line="240" w:lineRule="auto"/>
              <w:rPr>
                <w:color w:val="000000"/>
              </w:rPr>
            </w:pPr>
          </w:p>
        </w:tc>
      </w:tr>
      <w:tr w:rsidR="00671FBC" w:rsidRPr="00623771" w:rsidTr="00671FBC">
        <w:trPr>
          <w:gridAfter w:val="2"/>
          <w:wAfter w:w="1858" w:type="dxa"/>
          <w:trHeight w:val="95"/>
        </w:trPr>
        <w:tc>
          <w:tcPr>
            <w:tcW w:w="1134" w:type="dxa"/>
            <w:tcBorders>
              <w:top w:val="nil"/>
              <w:left w:val="nil"/>
              <w:bottom w:val="nil"/>
              <w:right w:val="nil"/>
            </w:tcBorders>
            <w:noWrap/>
            <w:vAlign w:val="bottom"/>
          </w:tcPr>
          <w:p w:rsidR="00671FBC" w:rsidRPr="00DB39D7" w:rsidRDefault="00671FBC" w:rsidP="00671FBC">
            <w:pPr>
              <w:spacing w:after="0" w:line="240" w:lineRule="auto"/>
              <w:rPr>
                <w:color w:val="000000"/>
              </w:rPr>
            </w:pPr>
          </w:p>
        </w:tc>
        <w:tc>
          <w:tcPr>
            <w:tcW w:w="1134" w:type="dxa"/>
            <w:gridSpan w:val="2"/>
            <w:tcBorders>
              <w:top w:val="nil"/>
              <w:left w:val="nil"/>
              <w:bottom w:val="nil"/>
              <w:right w:val="nil"/>
            </w:tcBorders>
            <w:noWrap/>
            <w:vAlign w:val="bottom"/>
          </w:tcPr>
          <w:p w:rsidR="00671FBC" w:rsidRPr="00DB39D7" w:rsidRDefault="00671FBC" w:rsidP="00671FBC">
            <w:pPr>
              <w:spacing w:after="0" w:line="240" w:lineRule="auto"/>
              <w:rPr>
                <w:color w:val="000000"/>
              </w:rPr>
            </w:pPr>
          </w:p>
        </w:tc>
        <w:tc>
          <w:tcPr>
            <w:tcW w:w="1385" w:type="dxa"/>
            <w:gridSpan w:val="2"/>
            <w:tcBorders>
              <w:top w:val="nil"/>
              <w:left w:val="nil"/>
              <w:bottom w:val="nil"/>
              <w:right w:val="nil"/>
            </w:tcBorders>
            <w:noWrap/>
            <w:vAlign w:val="bottom"/>
          </w:tcPr>
          <w:p w:rsidR="00671FBC" w:rsidRPr="00DB39D7" w:rsidRDefault="00671FBC" w:rsidP="00671FBC">
            <w:pPr>
              <w:spacing w:after="0" w:line="240" w:lineRule="auto"/>
              <w:rPr>
                <w:color w:val="000000"/>
              </w:rPr>
            </w:pPr>
          </w:p>
        </w:tc>
        <w:tc>
          <w:tcPr>
            <w:tcW w:w="1228" w:type="dxa"/>
            <w:gridSpan w:val="2"/>
            <w:tcBorders>
              <w:top w:val="nil"/>
              <w:left w:val="nil"/>
              <w:bottom w:val="nil"/>
              <w:right w:val="nil"/>
            </w:tcBorders>
            <w:noWrap/>
            <w:vAlign w:val="bottom"/>
          </w:tcPr>
          <w:p w:rsidR="00671FBC" w:rsidRPr="00DB39D7" w:rsidRDefault="00671FBC" w:rsidP="00671FBC">
            <w:pPr>
              <w:spacing w:after="0" w:line="240" w:lineRule="auto"/>
              <w:rPr>
                <w:color w:val="000000"/>
              </w:rPr>
            </w:pPr>
          </w:p>
        </w:tc>
        <w:tc>
          <w:tcPr>
            <w:tcW w:w="1073" w:type="dxa"/>
            <w:gridSpan w:val="2"/>
            <w:tcBorders>
              <w:top w:val="nil"/>
              <w:left w:val="nil"/>
              <w:bottom w:val="nil"/>
              <w:right w:val="nil"/>
            </w:tcBorders>
            <w:noWrap/>
            <w:vAlign w:val="bottom"/>
          </w:tcPr>
          <w:p w:rsidR="00671FBC" w:rsidRPr="00DB39D7" w:rsidRDefault="00671FBC" w:rsidP="00671FBC">
            <w:pPr>
              <w:spacing w:after="0" w:line="240" w:lineRule="auto"/>
              <w:rPr>
                <w:color w:val="000000"/>
              </w:rPr>
            </w:pPr>
          </w:p>
        </w:tc>
        <w:tc>
          <w:tcPr>
            <w:tcW w:w="1134" w:type="dxa"/>
            <w:gridSpan w:val="2"/>
            <w:tcBorders>
              <w:top w:val="nil"/>
              <w:left w:val="nil"/>
              <w:bottom w:val="nil"/>
              <w:right w:val="nil"/>
            </w:tcBorders>
            <w:noWrap/>
            <w:vAlign w:val="bottom"/>
          </w:tcPr>
          <w:p w:rsidR="00671FBC" w:rsidRPr="00DB39D7" w:rsidRDefault="00671FBC" w:rsidP="00671FBC">
            <w:pPr>
              <w:spacing w:after="0" w:line="240" w:lineRule="auto"/>
              <w:rPr>
                <w:color w:val="000000"/>
              </w:rPr>
            </w:pPr>
          </w:p>
        </w:tc>
        <w:tc>
          <w:tcPr>
            <w:tcW w:w="1053" w:type="dxa"/>
            <w:gridSpan w:val="2"/>
            <w:tcBorders>
              <w:top w:val="nil"/>
              <w:left w:val="nil"/>
              <w:bottom w:val="nil"/>
              <w:right w:val="nil"/>
            </w:tcBorders>
            <w:noWrap/>
            <w:vAlign w:val="bottom"/>
          </w:tcPr>
          <w:p w:rsidR="00671FBC" w:rsidRPr="00DB39D7" w:rsidRDefault="00671FBC" w:rsidP="00671FBC">
            <w:pPr>
              <w:spacing w:after="0" w:line="240" w:lineRule="auto"/>
              <w:rPr>
                <w:color w:val="000000"/>
              </w:rPr>
            </w:pPr>
          </w:p>
        </w:tc>
        <w:tc>
          <w:tcPr>
            <w:tcW w:w="1012" w:type="dxa"/>
            <w:gridSpan w:val="2"/>
            <w:tcBorders>
              <w:top w:val="nil"/>
              <w:left w:val="nil"/>
              <w:bottom w:val="nil"/>
              <w:right w:val="nil"/>
            </w:tcBorders>
            <w:noWrap/>
            <w:vAlign w:val="bottom"/>
          </w:tcPr>
          <w:p w:rsidR="00671FBC" w:rsidRPr="00DB39D7" w:rsidRDefault="00671FBC" w:rsidP="00671FBC">
            <w:pPr>
              <w:spacing w:after="0" w:line="240" w:lineRule="auto"/>
              <w:rPr>
                <w:color w:val="000000"/>
              </w:rPr>
            </w:pPr>
          </w:p>
        </w:tc>
        <w:tc>
          <w:tcPr>
            <w:tcW w:w="1478" w:type="dxa"/>
            <w:gridSpan w:val="2"/>
            <w:tcBorders>
              <w:top w:val="nil"/>
              <w:left w:val="nil"/>
              <w:bottom w:val="nil"/>
              <w:right w:val="nil"/>
            </w:tcBorders>
            <w:noWrap/>
            <w:vAlign w:val="bottom"/>
          </w:tcPr>
          <w:p w:rsidR="00671FBC" w:rsidRPr="00DB39D7" w:rsidRDefault="00671FBC" w:rsidP="00671FBC">
            <w:pPr>
              <w:spacing w:after="0" w:line="240" w:lineRule="auto"/>
              <w:rPr>
                <w:color w:val="000000"/>
              </w:rPr>
            </w:pPr>
          </w:p>
        </w:tc>
        <w:tc>
          <w:tcPr>
            <w:tcW w:w="1052" w:type="dxa"/>
            <w:gridSpan w:val="2"/>
            <w:tcBorders>
              <w:top w:val="nil"/>
              <w:left w:val="nil"/>
              <w:bottom w:val="nil"/>
              <w:right w:val="nil"/>
            </w:tcBorders>
            <w:noWrap/>
            <w:vAlign w:val="bottom"/>
          </w:tcPr>
          <w:p w:rsidR="00671FBC" w:rsidRPr="00DB39D7" w:rsidRDefault="00671FBC" w:rsidP="00671FBC">
            <w:pPr>
              <w:spacing w:after="0" w:line="240" w:lineRule="auto"/>
              <w:rPr>
                <w:color w:val="000000"/>
              </w:rPr>
            </w:pPr>
          </w:p>
        </w:tc>
        <w:tc>
          <w:tcPr>
            <w:tcW w:w="1499" w:type="dxa"/>
            <w:gridSpan w:val="2"/>
            <w:tcBorders>
              <w:top w:val="nil"/>
              <w:left w:val="nil"/>
              <w:bottom w:val="nil"/>
              <w:right w:val="nil"/>
            </w:tcBorders>
            <w:noWrap/>
            <w:vAlign w:val="bottom"/>
          </w:tcPr>
          <w:p w:rsidR="00671FBC" w:rsidRPr="00DB39D7" w:rsidRDefault="00671FBC" w:rsidP="00671FBC">
            <w:pPr>
              <w:spacing w:after="0" w:line="240" w:lineRule="auto"/>
              <w:rPr>
                <w:color w:val="000000"/>
              </w:rPr>
            </w:pPr>
          </w:p>
        </w:tc>
      </w:tr>
    </w:tbl>
    <w:p w:rsidR="00671FBC" w:rsidRPr="00DB39D7" w:rsidRDefault="00671FBC" w:rsidP="00671FBC">
      <w:pPr>
        <w:spacing w:after="0" w:line="240" w:lineRule="auto"/>
        <w:rPr>
          <w:rFonts w:cs="Calibri"/>
          <w:sz w:val="20"/>
          <w:szCs w:val="20"/>
        </w:rPr>
      </w:pPr>
      <w:r w:rsidRPr="00DB39D7">
        <w:rPr>
          <w:rFonts w:cs="Calibri"/>
          <w:b/>
          <w:sz w:val="20"/>
          <w:szCs w:val="20"/>
        </w:rPr>
        <w:t>Izvor:</w:t>
      </w:r>
      <w:r w:rsidRPr="00DB39D7">
        <w:rPr>
          <w:rFonts w:cs="Calibri"/>
          <w:sz w:val="20"/>
          <w:szCs w:val="20"/>
        </w:rPr>
        <w:t xml:space="preserve"> doingbusiness.org/rankings</w:t>
      </w:r>
    </w:p>
    <w:p w:rsidR="00671FBC" w:rsidRPr="00D431FF" w:rsidRDefault="00671FBC" w:rsidP="00671FBC">
      <w:pPr>
        <w:rPr>
          <w:rFonts w:cs="Calibri"/>
          <w:sz w:val="16"/>
          <w:szCs w:val="16"/>
        </w:rPr>
      </w:pPr>
    </w:p>
    <w:p w:rsidR="000C1520" w:rsidRPr="00D54372" w:rsidRDefault="000C1520" w:rsidP="00671FBC">
      <w:pPr>
        <w:autoSpaceDE w:val="0"/>
        <w:autoSpaceDN w:val="0"/>
        <w:adjustRightInd w:val="0"/>
        <w:spacing w:after="0" w:line="360" w:lineRule="auto"/>
        <w:jc w:val="both"/>
        <w:rPr>
          <w:rFonts w:cs="Calibri"/>
          <w:sz w:val="18"/>
          <w:szCs w:val="18"/>
        </w:rPr>
      </w:pPr>
      <w:bookmarkStart w:id="73" w:name="_GoBack"/>
      <w:bookmarkEnd w:id="73"/>
    </w:p>
    <w:sectPr w:rsidR="000C1520" w:rsidRPr="00D54372" w:rsidSect="00DC4690">
      <w:pgSz w:w="16838" w:h="11906" w:orient="landscape"/>
      <w:pgMar w:top="1418" w:right="1134" w:bottom="1418"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072C" w:rsidRDefault="0029072C" w:rsidP="002E059B">
      <w:pPr>
        <w:spacing w:after="0" w:line="240" w:lineRule="auto"/>
      </w:pPr>
      <w:r>
        <w:separator/>
      </w:r>
    </w:p>
  </w:endnote>
  <w:endnote w:type="continuationSeparator" w:id="0">
    <w:p w:rsidR="0029072C" w:rsidRDefault="0029072C" w:rsidP="002E05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Times New (W1)">
    <w:altName w:val="Times New Roman"/>
    <w:charset w:val="00"/>
    <w:family w:val="roman"/>
    <w:pitch w:val="variable"/>
    <w:sig w:usb0="20002A87" w:usb1="80000000" w:usb2="00000008" w:usb3="00000000" w:csb0="000001FF" w:csb1="00000000"/>
  </w:font>
  <w:font w:name="HelveticaLT">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EYInterstate">
    <w:altName w:val="Arial"/>
    <w:panose1 w:val="00000000000000000000"/>
    <w:charset w:val="EE"/>
    <w:family w:val="swiss"/>
    <w:notTrueType/>
    <w:pitch w:val="default"/>
    <w:sig w:usb0="00000007" w:usb1="00000000" w:usb2="00000000" w:usb3="00000000" w:csb0="00000003" w:csb1="00000000"/>
  </w:font>
  <w:font w:name="Trebuchet MS">
    <w:panose1 w:val="020B0603020202020204"/>
    <w:charset w:val="EE"/>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TimesNewRomanPSMT">
    <w:altName w:val="MS Mincho"/>
    <w:panose1 w:val="00000000000000000000"/>
    <w:charset w:val="00"/>
    <w:family w:val="roman"/>
    <w:notTrueType/>
    <w:pitch w:val="default"/>
    <w:sig w:usb0="00000003" w:usb1="00000000" w:usb2="00000000" w:usb3="00000000" w:csb0="00000001" w:csb1="00000000"/>
  </w:font>
  <w:font w:name="TimesNewRomanPS-ItalicMT">
    <w:altName w:val="MS Mincho"/>
    <w:panose1 w:val="00000000000000000000"/>
    <w:charset w:val="00"/>
    <w:family w:val="roman"/>
    <w:notTrueType/>
    <w:pitch w:val="default"/>
    <w:sig w:usb0="00000003" w:usb1="00000000" w:usb2="00000000" w:usb3="00000000" w:csb0="00000001" w:csb1="00000000"/>
  </w:font>
  <w:font w:name="ECSquareSansPro-Regular">
    <w:panose1 w:val="00000000000000000000"/>
    <w:charset w:val="EE"/>
    <w:family w:val="swiss"/>
    <w:notTrueType/>
    <w:pitch w:val="default"/>
    <w:sig w:usb0="00000005" w:usb1="00000000" w:usb2="00000000" w:usb3="00000000" w:csb0="00000002"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PFDinTextPro-Light">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TTE22ACBD0t00">
    <w:altName w:val="MS Mincho"/>
    <w:panose1 w:val="00000000000000000000"/>
    <w:charset w:val="80"/>
    <w:family w:val="auto"/>
    <w:notTrueType/>
    <w:pitch w:val="default"/>
    <w:sig w:usb0="00000001" w:usb1="08070000" w:usb2="00000010" w:usb3="00000000" w:csb0="00020000" w:csb1="00000000"/>
  </w:font>
  <w:font w:name="Microsoft JhengHei">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A1D" w:rsidRDefault="00C91A1D">
    <w:pPr>
      <w:pStyle w:val="Footer"/>
      <w:jc w:val="right"/>
    </w:pPr>
  </w:p>
  <w:p w:rsidR="00C91A1D" w:rsidRDefault="00C91A1D">
    <w:pPr>
      <w:pStyle w:val="Footer"/>
      <w:jc w:val="right"/>
    </w:pPr>
    <w:r>
      <w:fldChar w:fldCharType="begin"/>
    </w:r>
    <w:r>
      <w:instrText xml:space="preserve"> PAGE   \* MERGEFORMAT </w:instrText>
    </w:r>
    <w:r>
      <w:fldChar w:fldCharType="separate"/>
    </w:r>
    <w:r w:rsidR="00807D24">
      <w:rPr>
        <w:noProof/>
      </w:rPr>
      <w:t>3</w:t>
    </w:r>
    <w:r>
      <w:rPr>
        <w:noProof/>
      </w:rPr>
      <w:fldChar w:fldCharType="end"/>
    </w:r>
  </w:p>
  <w:p w:rsidR="00C91A1D" w:rsidRDefault="00C91A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A1D" w:rsidRDefault="00C91A1D">
    <w:pPr>
      <w:pStyle w:val="Footer"/>
      <w:jc w:val="center"/>
    </w:pPr>
    <w:r>
      <w:fldChar w:fldCharType="begin"/>
    </w:r>
    <w:r>
      <w:instrText xml:space="preserve"> PAGE   \* MERGEFORMAT </w:instrText>
    </w:r>
    <w:r>
      <w:fldChar w:fldCharType="separate"/>
    </w:r>
    <w:r w:rsidR="00807D24">
      <w:rPr>
        <w:noProof/>
      </w:rPr>
      <w:t>1</w:t>
    </w:r>
    <w:r>
      <w:rPr>
        <w:noProof/>
      </w:rPr>
      <w:fldChar w:fldCharType="end"/>
    </w:r>
  </w:p>
  <w:p w:rsidR="00C91A1D" w:rsidRDefault="00C91A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072C" w:rsidRDefault="0029072C" w:rsidP="002E059B">
      <w:pPr>
        <w:spacing w:after="0" w:line="240" w:lineRule="auto"/>
      </w:pPr>
      <w:r>
        <w:separator/>
      </w:r>
    </w:p>
  </w:footnote>
  <w:footnote w:type="continuationSeparator" w:id="0">
    <w:p w:rsidR="0029072C" w:rsidRDefault="0029072C" w:rsidP="002E059B">
      <w:pPr>
        <w:spacing w:after="0" w:line="240" w:lineRule="auto"/>
      </w:pPr>
      <w:r>
        <w:continuationSeparator/>
      </w:r>
    </w:p>
  </w:footnote>
  <w:footnote w:id="1">
    <w:p w:rsidR="00C91A1D" w:rsidRPr="00230928" w:rsidRDefault="00C91A1D" w:rsidP="00923D77">
      <w:pPr>
        <w:pStyle w:val="FootnoteText"/>
        <w:jc w:val="both"/>
        <w:rPr>
          <w:sz w:val="16"/>
          <w:szCs w:val="16"/>
        </w:rPr>
      </w:pPr>
      <w:r w:rsidRPr="00230928">
        <w:rPr>
          <w:rStyle w:val="FootnoteReference"/>
          <w:rFonts w:ascii="Calibri" w:hAnsi="Calibri"/>
          <w:sz w:val="16"/>
          <w:szCs w:val="16"/>
        </w:rPr>
        <w:footnoteRef/>
      </w:r>
      <w:r w:rsidRPr="00230928">
        <w:rPr>
          <w:rFonts w:ascii="Calibri" w:hAnsi="Calibri"/>
          <w:sz w:val="16"/>
          <w:szCs w:val="16"/>
        </w:rPr>
        <w:t xml:space="preserve"> </w:t>
      </w:r>
      <w:r w:rsidRPr="00230928">
        <w:rPr>
          <w:rFonts w:ascii="Calibri" w:hAnsi="Calibri"/>
          <w:sz w:val="16"/>
          <w:szCs w:val="16"/>
          <w:lang w:val="hr-HR"/>
        </w:rPr>
        <w:t xml:space="preserve">Prema HNB-u, klasifikacija dokapitalizacije banaka ovisi o načinu na koji su banke osnovane. Primjerice, banke koje su preuzete klasificiraju se kao dokapitalizacija preuzetih poduzeća, dok se novoosnovane banke klasificiraju kao </w:t>
      </w:r>
      <w:r w:rsidRPr="00230928">
        <w:rPr>
          <w:rFonts w:ascii="Calibri" w:hAnsi="Calibri"/>
          <w:i/>
          <w:sz w:val="16"/>
          <w:szCs w:val="16"/>
          <w:lang w:val="hr-HR"/>
        </w:rPr>
        <w:t>greenfield</w:t>
      </w:r>
      <w:r w:rsidRPr="00230928">
        <w:rPr>
          <w:rFonts w:ascii="Calibri" w:hAnsi="Calibri"/>
          <w:sz w:val="16"/>
          <w:szCs w:val="16"/>
          <w:lang w:val="hr-HR"/>
        </w:rPr>
        <w:t xml:space="preserve"> investicije.</w:t>
      </w:r>
    </w:p>
  </w:footnote>
  <w:footnote w:id="2">
    <w:p w:rsidR="00C91A1D" w:rsidRDefault="00C91A1D" w:rsidP="00923D77">
      <w:pPr>
        <w:pStyle w:val="FootnoteText"/>
      </w:pPr>
      <w:r w:rsidRPr="00857923">
        <w:rPr>
          <w:rStyle w:val="FootnoteReference"/>
          <w:rFonts w:ascii="Calibri" w:hAnsi="Calibri"/>
          <w:sz w:val="16"/>
          <w:szCs w:val="16"/>
        </w:rPr>
        <w:footnoteRef/>
      </w:r>
      <w:r w:rsidRPr="00857923">
        <w:rPr>
          <w:rFonts w:ascii="Calibri" w:hAnsi="Calibri"/>
          <w:sz w:val="16"/>
          <w:szCs w:val="16"/>
        </w:rPr>
        <w:t xml:space="preserve"> Narodne </w:t>
      </w:r>
      <w:r w:rsidRPr="008C099D">
        <w:rPr>
          <w:rFonts w:ascii="Calibri" w:hAnsi="Calibri"/>
          <w:sz w:val="16"/>
          <w:szCs w:val="16"/>
        </w:rPr>
        <w:t>novine br. 111/93, 34</w:t>
      </w:r>
      <w:r w:rsidRPr="00857923">
        <w:rPr>
          <w:rFonts w:ascii="Calibri" w:hAnsi="Calibri"/>
          <w:sz w:val="16"/>
          <w:szCs w:val="16"/>
        </w:rPr>
        <w:t>/99, 121/99, 52/00, 118/03, 107/07,</w:t>
      </w:r>
      <w:r>
        <w:rPr>
          <w:rFonts w:ascii="Calibri" w:hAnsi="Calibri"/>
          <w:sz w:val="16"/>
          <w:szCs w:val="16"/>
        </w:rPr>
        <w:t xml:space="preserve"> </w:t>
      </w:r>
      <w:r w:rsidRPr="00857923">
        <w:rPr>
          <w:rFonts w:ascii="Calibri" w:hAnsi="Calibri"/>
          <w:sz w:val="16"/>
          <w:szCs w:val="16"/>
        </w:rPr>
        <w:t>146/08, 137/09, 152/11, 111/12,</w:t>
      </w:r>
      <w:r>
        <w:rPr>
          <w:rFonts w:ascii="Calibri" w:hAnsi="Calibri"/>
          <w:sz w:val="16"/>
          <w:szCs w:val="16"/>
        </w:rPr>
        <w:t xml:space="preserve"> 144/12 i 68/13</w:t>
      </w:r>
    </w:p>
  </w:footnote>
  <w:footnote w:id="3">
    <w:p w:rsidR="00C91A1D" w:rsidRDefault="00C91A1D" w:rsidP="00923D77">
      <w:pPr>
        <w:pStyle w:val="FootnoteText"/>
      </w:pPr>
      <w:r w:rsidRPr="00E3779F">
        <w:rPr>
          <w:rStyle w:val="FootnoteReference"/>
          <w:rFonts w:ascii="Calibri" w:hAnsi="Calibri"/>
          <w:sz w:val="16"/>
          <w:szCs w:val="16"/>
        </w:rPr>
        <w:footnoteRef/>
      </w:r>
      <w:r>
        <w:rPr>
          <w:rFonts w:ascii="Calibri" w:hAnsi="Calibri"/>
          <w:sz w:val="16"/>
          <w:szCs w:val="16"/>
        </w:rPr>
        <w:t xml:space="preserve"> Narodne novine br. 96/03, 140/05</w:t>
      </w:r>
      <w:r w:rsidRPr="00E3779F">
        <w:rPr>
          <w:rFonts w:ascii="Calibri" w:hAnsi="Calibri"/>
          <w:sz w:val="16"/>
          <w:szCs w:val="16"/>
        </w:rPr>
        <w:t>, 132/06,</w:t>
      </w:r>
      <w:r>
        <w:rPr>
          <w:rFonts w:ascii="Calibri" w:hAnsi="Calibri"/>
          <w:sz w:val="16"/>
          <w:szCs w:val="16"/>
        </w:rPr>
        <w:t xml:space="preserve"> </w:t>
      </w:r>
      <w:r w:rsidRPr="00E3779F">
        <w:rPr>
          <w:rFonts w:ascii="Calibri" w:hAnsi="Calibri"/>
          <w:sz w:val="16"/>
          <w:szCs w:val="16"/>
        </w:rPr>
        <w:t>150/08, 92/09,</w:t>
      </w:r>
      <w:r>
        <w:rPr>
          <w:rFonts w:ascii="Calibri" w:hAnsi="Calibri"/>
          <w:sz w:val="16"/>
          <w:szCs w:val="16"/>
        </w:rPr>
        <w:t xml:space="preserve"> 133/09, 153/09</w:t>
      </w:r>
      <w:r w:rsidRPr="00E3779F">
        <w:rPr>
          <w:rFonts w:ascii="Calibri" w:hAnsi="Calibri"/>
          <w:sz w:val="16"/>
          <w:szCs w:val="16"/>
        </w:rPr>
        <w:t>, 145/10 76/13</w:t>
      </w:r>
      <w:r>
        <w:rPr>
          <w:rFonts w:ascii="Calibri" w:hAnsi="Calibri"/>
          <w:sz w:val="16"/>
          <w:szCs w:val="16"/>
        </w:rPr>
        <w:t xml:space="preserve"> i 30/14</w:t>
      </w:r>
    </w:p>
  </w:footnote>
  <w:footnote w:id="4">
    <w:p w:rsidR="00C91A1D" w:rsidRDefault="00C91A1D" w:rsidP="00923D77">
      <w:pPr>
        <w:pStyle w:val="FootnoteText"/>
      </w:pPr>
      <w:r w:rsidRPr="00E3779F">
        <w:rPr>
          <w:rStyle w:val="FootnoteReference"/>
          <w:rFonts w:ascii="Calibri" w:hAnsi="Calibri"/>
          <w:sz w:val="16"/>
          <w:szCs w:val="16"/>
        </w:rPr>
        <w:footnoteRef/>
      </w:r>
      <w:r w:rsidRPr="00E3779F">
        <w:rPr>
          <w:rFonts w:ascii="Calibri" w:hAnsi="Calibri"/>
          <w:sz w:val="16"/>
          <w:szCs w:val="16"/>
        </w:rPr>
        <w:t xml:space="preserve"> Narodne novine br.</w:t>
      </w:r>
      <w:r>
        <w:rPr>
          <w:rFonts w:ascii="Calibri" w:hAnsi="Calibri"/>
          <w:sz w:val="16"/>
          <w:szCs w:val="16"/>
        </w:rPr>
        <w:t xml:space="preserve"> </w:t>
      </w:r>
      <w:r w:rsidRPr="00E3779F">
        <w:rPr>
          <w:rFonts w:ascii="Calibri" w:hAnsi="Calibri"/>
          <w:sz w:val="16"/>
          <w:szCs w:val="16"/>
        </w:rPr>
        <w:t>87/08, 96/08, 116/08, 76/09, 114/11 i 68/13</w:t>
      </w:r>
    </w:p>
  </w:footnote>
  <w:footnote w:id="5">
    <w:p w:rsidR="00C91A1D" w:rsidRDefault="00C91A1D" w:rsidP="00923D77">
      <w:pPr>
        <w:pStyle w:val="FootnoteText"/>
      </w:pPr>
      <w:r w:rsidRPr="00E3779F">
        <w:rPr>
          <w:rStyle w:val="FootnoteReference"/>
          <w:rFonts w:ascii="Calibri" w:hAnsi="Calibri"/>
          <w:sz w:val="16"/>
          <w:szCs w:val="16"/>
        </w:rPr>
        <w:footnoteRef/>
      </w:r>
      <w:r>
        <w:rPr>
          <w:rFonts w:ascii="Calibri" w:hAnsi="Calibri"/>
          <w:sz w:val="16"/>
          <w:szCs w:val="16"/>
        </w:rPr>
        <w:t xml:space="preserve"> Narodne novine br. 111/12 i 28/13</w:t>
      </w:r>
    </w:p>
  </w:footnote>
  <w:footnote w:id="6">
    <w:p w:rsidR="00C91A1D" w:rsidRDefault="00C91A1D" w:rsidP="00923D77">
      <w:pPr>
        <w:pStyle w:val="FootnoteText"/>
      </w:pPr>
      <w:r w:rsidRPr="00E3779F">
        <w:rPr>
          <w:rStyle w:val="FootnoteReference"/>
          <w:rFonts w:ascii="Calibri" w:hAnsi="Calibri"/>
          <w:sz w:val="16"/>
          <w:szCs w:val="16"/>
        </w:rPr>
        <w:footnoteRef/>
      </w:r>
      <w:r>
        <w:rPr>
          <w:rFonts w:ascii="Calibri" w:hAnsi="Calibri"/>
          <w:sz w:val="16"/>
          <w:szCs w:val="16"/>
        </w:rPr>
        <w:t xml:space="preserve"> Narodne novine br. 76/07, 38/0</w:t>
      </w:r>
      <w:r w:rsidRPr="00E3779F">
        <w:rPr>
          <w:rFonts w:ascii="Calibri" w:hAnsi="Calibri"/>
          <w:sz w:val="16"/>
          <w:szCs w:val="16"/>
        </w:rPr>
        <w:t>8, 55/11, 90/11, 50/12, 55/12 i 80/13</w:t>
      </w:r>
    </w:p>
  </w:footnote>
  <w:footnote w:id="7">
    <w:p w:rsidR="00C91A1D" w:rsidRDefault="00C91A1D" w:rsidP="00923D77">
      <w:pPr>
        <w:pStyle w:val="FootnoteText"/>
      </w:pPr>
      <w:r w:rsidRPr="00E3779F">
        <w:rPr>
          <w:rStyle w:val="FootnoteReference"/>
          <w:rFonts w:ascii="Calibri" w:hAnsi="Calibri"/>
          <w:sz w:val="16"/>
          <w:szCs w:val="16"/>
        </w:rPr>
        <w:footnoteRef/>
      </w:r>
      <w:r w:rsidRPr="00E3779F">
        <w:rPr>
          <w:rFonts w:ascii="Calibri" w:hAnsi="Calibri"/>
          <w:sz w:val="16"/>
          <w:szCs w:val="16"/>
        </w:rPr>
        <w:t xml:space="preserve"> Narodne novine br.</w:t>
      </w:r>
      <w:r>
        <w:rPr>
          <w:rFonts w:ascii="Calibri" w:hAnsi="Calibri"/>
          <w:sz w:val="16"/>
          <w:szCs w:val="16"/>
        </w:rPr>
        <w:t xml:space="preserve"> 69/09, 128/10, </w:t>
      </w:r>
      <w:r w:rsidRPr="00E3779F">
        <w:rPr>
          <w:rFonts w:ascii="Calibri" w:hAnsi="Calibri"/>
          <w:sz w:val="16"/>
          <w:szCs w:val="16"/>
        </w:rPr>
        <w:t>136/12</w:t>
      </w:r>
      <w:r>
        <w:rPr>
          <w:rFonts w:ascii="Calibri" w:hAnsi="Calibri"/>
          <w:sz w:val="16"/>
          <w:szCs w:val="16"/>
        </w:rPr>
        <w:t>,</w:t>
      </w:r>
      <w:r w:rsidRPr="00E3779F">
        <w:rPr>
          <w:rFonts w:ascii="Calibri" w:hAnsi="Calibri"/>
          <w:sz w:val="16"/>
          <w:szCs w:val="16"/>
        </w:rPr>
        <w:t xml:space="preserve"> 76/13</w:t>
      </w:r>
      <w:r>
        <w:rPr>
          <w:rFonts w:ascii="Calibri" w:hAnsi="Calibri"/>
          <w:sz w:val="16"/>
          <w:szCs w:val="16"/>
        </w:rPr>
        <w:t xml:space="preserve"> i 153/13</w:t>
      </w:r>
    </w:p>
  </w:footnote>
  <w:footnote w:id="8">
    <w:p w:rsidR="00C91A1D" w:rsidRDefault="00C91A1D" w:rsidP="00923D77">
      <w:pPr>
        <w:pStyle w:val="FootnoteText"/>
      </w:pPr>
      <w:r w:rsidRPr="00E3779F">
        <w:rPr>
          <w:rStyle w:val="FootnoteReference"/>
          <w:rFonts w:ascii="Calibri" w:hAnsi="Calibri"/>
          <w:sz w:val="16"/>
          <w:szCs w:val="16"/>
        </w:rPr>
        <w:footnoteRef/>
      </w:r>
      <w:r w:rsidRPr="00E3779F">
        <w:rPr>
          <w:rFonts w:ascii="Calibri" w:hAnsi="Calibri"/>
          <w:sz w:val="16"/>
          <w:szCs w:val="16"/>
        </w:rPr>
        <w:t xml:space="preserve"> Narodne novine br. 80/11</w:t>
      </w:r>
    </w:p>
  </w:footnote>
  <w:footnote w:id="9">
    <w:p w:rsidR="00C91A1D" w:rsidRDefault="00C91A1D" w:rsidP="00923D77">
      <w:pPr>
        <w:pStyle w:val="FootnoteText"/>
      </w:pPr>
      <w:r w:rsidRPr="00E3779F">
        <w:rPr>
          <w:rStyle w:val="FootnoteReference"/>
          <w:rFonts w:ascii="Calibri" w:hAnsi="Calibri"/>
          <w:sz w:val="16"/>
          <w:szCs w:val="16"/>
        </w:rPr>
        <w:footnoteRef/>
      </w:r>
      <w:r w:rsidRPr="00E3779F">
        <w:rPr>
          <w:rFonts w:ascii="Calibri" w:hAnsi="Calibri"/>
          <w:sz w:val="16"/>
          <w:szCs w:val="16"/>
        </w:rPr>
        <w:t xml:space="preserve"> Narodne novine br. 143/12</w:t>
      </w:r>
    </w:p>
  </w:footnote>
  <w:footnote w:id="10">
    <w:p w:rsidR="00C91A1D" w:rsidRDefault="00C91A1D" w:rsidP="00923D77">
      <w:pPr>
        <w:pStyle w:val="FootnoteText"/>
      </w:pPr>
      <w:r w:rsidRPr="00E3779F">
        <w:rPr>
          <w:rStyle w:val="FootnoteReference"/>
          <w:rFonts w:ascii="Calibri" w:hAnsi="Calibri"/>
          <w:sz w:val="16"/>
          <w:szCs w:val="16"/>
        </w:rPr>
        <w:footnoteRef/>
      </w:r>
      <w:r w:rsidRPr="00E3779F">
        <w:rPr>
          <w:rFonts w:ascii="Calibri" w:hAnsi="Calibri"/>
          <w:sz w:val="16"/>
          <w:szCs w:val="16"/>
        </w:rPr>
        <w:t xml:space="preserve"> Narodne nov</w:t>
      </w:r>
      <w:r>
        <w:rPr>
          <w:rFonts w:ascii="Calibri" w:hAnsi="Calibri"/>
          <w:sz w:val="16"/>
          <w:szCs w:val="16"/>
        </w:rPr>
        <w:t xml:space="preserve">ine br. 158/03, 100/04, 141/06 i </w:t>
      </w:r>
      <w:r w:rsidRPr="00E3779F">
        <w:rPr>
          <w:rFonts w:ascii="Calibri" w:hAnsi="Calibri"/>
          <w:sz w:val="16"/>
          <w:szCs w:val="16"/>
        </w:rPr>
        <w:t>38/09</w:t>
      </w:r>
    </w:p>
  </w:footnote>
  <w:footnote w:id="11">
    <w:p w:rsidR="00C91A1D" w:rsidRDefault="00C91A1D" w:rsidP="00923D77">
      <w:pPr>
        <w:pStyle w:val="FootnoteText"/>
      </w:pPr>
      <w:r w:rsidRPr="00E3779F">
        <w:rPr>
          <w:rStyle w:val="FootnoteReference"/>
          <w:rFonts w:ascii="Calibri" w:hAnsi="Calibri"/>
          <w:sz w:val="16"/>
          <w:szCs w:val="16"/>
        </w:rPr>
        <w:footnoteRef/>
      </w:r>
      <w:r w:rsidRPr="00E3779F">
        <w:rPr>
          <w:rFonts w:ascii="Calibri" w:hAnsi="Calibri"/>
          <w:sz w:val="16"/>
          <w:szCs w:val="16"/>
        </w:rPr>
        <w:t xml:space="preserve"> Narodne novine </w:t>
      </w:r>
      <w:r>
        <w:rPr>
          <w:rFonts w:ascii="Calibri" w:hAnsi="Calibri"/>
          <w:sz w:val="16"/>
          <w:szCs w:val="16"/>
        </w:rPr>
        <w:t xml:space="preserve">br. </w:t>
      </w:r>
      <w:r w:rsidRPr="00E3779F">
        <w:rPr>
          <w:rFonts w:ascii="Calibri" w:hAnsi="Calibri"/>
          <w:sz w:val="16"/>
          <w:szCs w:val="16"/>
        </w:rPr>
        <w:t>54/13</w:t>
      </w:r>
    </w:p>
  </w:footnote>
  <w:footnote w:id="12">
    <w:p w:rsidR="00C91A1D" w:rsidRDefault="00C91A1D" w:rsidP="00923D77">
      <w:pPr>
        <w:pStyle w:val="FootnoteText"/>
      </w:pPr>
      <w:r w:rsidRPr="00E3779F">
        <w:rPr>
          <w:rStyle w:val="FootnoteReference"/>
          <w:rFonts w:ascii="Calibri" w:hAnsi="Calibri"/>
          <w:sz w:val="16"/>
          <w:szCs w:val="16"/>
        </w:rPr>
        <w:footnoteRef/>
      </w:r>
      <w:r>
        <w:rPr>
          <w:rFonts w:ascii="Calibri" w:hAnsi="Calibri"/>
          <w:sz w:val="16"/>
          <w:szCs w:val="16"/>
        </w:rPr>
        <w:t xml:space="preserve"> Narodne novine br. 91/96, 68/98</w:t>
      </w:r>
      <w:r w:rsidRPr="00E3779F">
        <w:rPr>
          <w:rFonts w:ascii="Calibri" w:hAnsi="Calibri"/>
          <w:sz w:val="16"/>
          <w:szCs w:val="16"/>
        </w:rPr>
        <w:t>, 137/99</w:t>
      </w:r>
      <w:r>
        <w:rPr>
          <w:rFonts w:ascii="Calibri" w:hAnsi="Calibri"/>
          <w:sz w:val="16"/>
          <w:szCs w:val="16"/>
        </w:rPr>
        <w:t>, 22/00, 73/00, 129/00, 114/01, 79/06, 141/06, 146/08</w:t>
      </w:r>
      <w:r w:rsidRPr="00E3779F">
        <w:rPr>
          <w:rFonts w:ascii="Calibri" w:hAnsi="Calibri"/>
          <w:sz w:val="16"/>
          <w:szCs w:val="16"/>
        </w:rPr>
        <w:t>, 38/09, 153/09 i 143/12</w:t>
      </w:r>
    </w:p>
  </w:footnote>
  <w:footnote w:id="13">
    <w:p w:rsidR="00C91A1D" w:rsidRDefault="00C91A1D" w:rsidP="00923D77">
      <w:pPr>
        <w:pStyle w:val="FootnoteText"/>
      </w:pPr>
      <w:r w:rsidRPr="00E3779F">
        <w:rPr>
          <w:rStyle w:val="FootnoteReference"/>
          <w:rFonts w:ascii="Calibri" w:hAnsi="Calibri"/>
          <w:sz w:val="16"/>
          <w:szCs w:val="16"/>
        </w:rPr>
        <w:footnoteRef/>
      </w:r>
      <w:r w:rsidRPr="00E3779F">
        <w:rPr>
          <w:rFonts w:ascii="Calibri" w:hAnsi="Calibri"/>
          <w:sz w:val="16"/>
          <w:szCs w:val="16"/>
        </w:rPr>
        <w:t xml:space="preserve"> </w:t>
      </w:r>
      <w:r w:rsidRPr="00E3779F">
        <w:rPr>
          <w:rStyle w:val="Strong"/>
          <w:rFonts w:ascii="Calibri" w:hAnsi="Calibri" w:cs="Calibri"/>
          <w:b w:val="0"/>
          <w:sz w:val="16"/>
          <w:szCs w:val="16"/>
        </w:rPr>
        <w:t>Narodne novine br. 177/0</w:t>
      </w:r>
      <w:r>
        <w:rPr>
          <w:rStyle w:val="Strong"/>
          <w:rFonts w:ascii="Calibri" w:hAnsi="Calibri" w:cs="Calibri"/>
          <w:b w:val="0"/>
          <w:sz w:val="16"/>
          <w:szCs w:val="16"/>
        </w:rPr>
        <w:t xml:space="preserve">4, 90/05, 57/06, 146/08, 80/10 , </w:t>
      </w:r>
      <w:r w:rsidRPr="00E3779F">
        <w:rPr>
          <w:rStyle w:val="Strong"/>
          <w:rFonts w:ascii="Calibri" w:hAnsi="Calibri" w:cs="Calibri"/>
          <w:b w:val="0"/>
          <w:sz w:val="16"/>
          <w:szCs w:val="16"/>
        </w:rPr>
        <w:t>22/12</w:t>
      </w:r>
      <w:r>
        <w:rPr>
          <w:rStyle w:val="Strong"/>
          <w:rFonts w:ascii="Calibri" w:hAnsi="Calibri" w:cs="Calibri"/>
          <w:b w:val="0"/>
          <w:sz w:val="16"/>
          <w:szCs w:val="16"/>
        </w:rPr>
        <w:t xml:space="preserve"> i 148/13</w:t>
      </w:r>
    </w:p>
  </w:footnote>
  <w:footnote w:id="14">
    <w:p w:rsidR="00C91A1D" w:rsidRDefault="00C91A1D" w:rsidP="00923D77">
      <w:pPr>
        <w:pStyle w:val="FootnoteText"/>
      </w:pPr>
      <w:r w:rsidRPr="00E3779F">
        <w:rPr>
          <w:rStyle w:val="FootnoteReference"/>
          <w:rFonts w:ascii="Calibri" w:hAnsi="Calibri"/>
          <w:sz w:val="16"/>
          <w:szCs w:val="16"/>
        </w:rPr>
        <w:footnoteRef/>
      </w:r>
      <w:r w:rsidRPr="00E3779F">
        <w:rPr>
          <w:rFonts w:ascii="Calibri" w:hAnsi="Calibri"/>
          <w:sz w:val="16"/>
          <w:szCs w:val="16"/>
        </w:rPr>
        <w:t xml:space="preserve"> </w:t>
      </w:r>
      <w:r w:rsidRPr="00E3779F">
        <w:rPr>
          <w:rStyle w:val="Strong"/>
          <w:rFonts w:ascii="Calibri" w:hAnsi="Calibri" w:cs="Calibri"/>
          <w:b w:val="0"/>
          <w:sz w:val="16"/>
          <w:szCs w:val="16"/>
        </w:rPr>
        <w:t>Narodne novine br. 140/05, 82/06</w:t>
      </w:r>
      <w:r>
        <w:rPr>
          <w:rStyle w:val="Strong"/>
          <w:rFonts w:ascii="Calibri" w:hAnsi="Calibri" w:cs="Calibri"/>
          <w:b w:val="0"/>
          <w:sz w:val="16"/>
          <w:szCs w:val="16"/>
        </w:rPr>
        <w:t xml:space="preserve">, 129/08, 80/10, 124/10, 25/12 , </w:t>
      </w:r>
      <w:r w:rsidRPr="00E3779F">
        <w:rPr>
          <w:rStyle w:val="Strong"/>
          <w:rFonts w:ascii="Calibri" w:hAnsi="Calibri" w:cs="Calibri"/>
          <w:b w:val="0"/>
          <w:sz w:val="16"/>
          <w:szCs w:val="16"/>
        </w:rPr>
        <w:t xml:space="preserve">68/12 </w:t>
      </w:r>
      <w:r>
        <w:rPr>
          <w:rStyle w:val="Strong"/>
          <w:rFonts w:ascii="Calibri" w:hAnsi="Calibri" w:cs="Calibri"/>
          <w:b w:val="0"/>
          <w:sz w:val="16"/>
          <w:szCs w:val="16"/>
        </w:rPr>
        <w:t xml:space="preserve"> i 148/13</w:t>
      </w:r>
    </w:p>
  </w:footnote>
  <w:footnote w:id="15">
    <w:p w:rsidR="00C91A1D" w:rsidRDefault="00C91A1D" w:rsidP="00923D77">
      <w:pPr>
        <w:pStyle w:val="FootnoteText"/>
      </w:pPr>
      <w:r w:rsidRPr="00E3779F">
        <w:rPr>
          <w:rStyle w:val="FootnoteReference"/>
          <w:rFonts w:ascii="Calibri" w:hAnsi="Calibri"/>
          <w:sz w:val="16"/>
          <w:szCs w:val="16"/>
        </w:rPr>
        <w:footnoteRef/>
      </w:r>
      <w:r w:rsidRPr="00E3779F">
        <w:rPr>
          <w:rFonts w:ascii="Calibri" w:hAnsi="Calibri"/>
          <w:sz w:val="16"/>
          <w:szCs w:val="16"/>
        </w:rPr>
        <w:t xml:space="preserve"> </w:t>
      </w:r>
      <w:r w:rsidRPr="00E3779F">
        <w:rPr>
          <w:rStyle w:val="Strong"/>
          <w:rFonts w:ascii="Calibri" w:hAnsi="Calibri" w:cs="Calibri"/>
          <w:b w:val="0"/>
          <w:sz w:val="16"/>
          <w:szCs w:val="16"/>
        </w:rPr>
        <w:t>Narodne novine br. 80/13</w:t>
      </w:r>
      <w:r>
        <w:rPr>
          <w:rStyle w:val="Strong"/>
          <w:rFonts w:ascii="Calibri" w:hAnsi="Calibri" w:cs="Calibri"/>
          <w:b w:val="0"/>
          <w:sz w:val="16"/>
          <w:szCs w:val="16"/>
        </w:rPr>
        <w:t xml:space="preserve">, 153/13  </w:t>
      </w:r>
    </w:p>
  </w:footnote>
  <w:footnote w:id="16">
    <w:p w:rsidR="00C91A1D" w:rsidRDefault="00C91A1D" w:rsidP="00923D77">
      <w:pPr>
        <w:pStyle w:val="FootnoteText"/>
      </w:pPr>
      <w:r w:rsidRPr="00E3779F">
        <w:rPr>
          <w:rStyle w:val="FootnoteReference"/>
          <w:rFonts w:ascii="Calibri" w:hAnsi="Calibri"/>
          <w:sz w:val="16"/>
          <w:szCs w:val="16"/>
        </w:rPr>
        <w:footnoteRef/>
      </w:r>
      <w:r w:rsidRPr="00E3779F">
        <w:rPr>
          <w:rFonts w:ascii="Calibri" w:hAnsi="Calibri"/>
          <w:sz w:val="16"/>
          <w:szCs w:val="16"/>
        </w:rPr>
        <w:t xml:space="preserve"> Narodne novine br. 167/03, 79/07, 80/11 </w:t>
      </w:r>
      <w:r>
        <w:rPr>
          <w:rFonts w:ascii="Calibri" w:hAnsi="Calibri"/>
          <w:sz w:val="16"/>
          <w:szCs w:val="16"/>
        </w:rPr>
        <w:t>,</w:t>
      </w:r>
      <w:r w:rsidRPr="00E3779F">
        <w:rPr>
          <w:rFonts w:ascii="Calibri" w:hAnsi="Calibri"/>
          <w:sz w:val="16"/>
          <w:szCs w:val="16"/>
        </w:rPr>
        <w:t>144/12</w:t>
      </w:r>
      <w:r>
        <w:rPr>
          <w:rFonts w:ascii="Calibri" w:hAnsi="Calibri"/>
          <w:sz w:val="16"/>
          <w:szCs w:val="16"/>
        </w:rPr>
        <w:t>, 141/13</w:t>
      </w:r>
    </w:p>
  </w:footnote>
  <w:footnote w:id="17">
    <w:p w:rsidR="00C91A1D" w:rsidRDefault="00C91A1D" w:rsidP="00923D77">
      <w:pPr>
        <w:pStyle w:val="FootnoteText"/>
      </w:pPr>
      <w:r w:rsidRPr="008C099D">
        <w:rPr>
          <w:rStyle w:val="FootnoteReference"/>
          <w:rFonts w:ascii="Calibri" w:hAnsi="Calibri"/>
          <w:sz w:val="16"/>
          <w:szCs w:val="16"/>
        </w:rPr>
        <w:footnoteRef/>
      </w:r>
      <w:r w:rsidRPr="008C099D">
        <w:rPr>
          <w:rFonts w:ascii="Calibri" w:hAnsi="Calibri"/>
          <w:sz w:val="16"/>
          <w:szCs w:val="16"/>
        </w:rPr>
        <w:t xml:space="preserve"> Narodne novine br. 130/11 i 74/13</w:t>
      </w:r>
    </w:p>
  </w:footnote>
  <w:footnote w:id="18">
    <w:p w:rsidR="00C91A1D" w:rsidRPr="00E603EE" w:rsidRDefault="00C91A1D" w:rsidP="00923D77">
      <w:pPr>
        <w:pStyle w:val="FootnoteText"/>
        <w:rPr>
          <w:rFonts w:ascii="Calibri" w:hAnsi="Calibri"/>
          <w:sz w:val="16"/>
          <w:szCs w:val="16"/>
        </w:rPr>
      </w:pPr>
      <w:r w:rsidRPr="00E3779F">
        <w:rPr>
          <w:rStyle w:val="FootnoteReference"/>
          <w:rFonts w:ascii="Calibri" w:hAnsi="Calibri"/>
          <w:sz w:val="16"/>
          <w:szCs w:val="16"/>
        </w:rPr>
        <w:footnoteRef/>
      </w:r>
      <w:r w:rsidRPr="00E3779F">
        <w:rPr>
          <w:rFonts w:ascii="Calibri" w:hAnsi="Calibri"/>
          <w:sz w:val="16"/>
          <w:szCs w:val="16"/>
        </w:rPr>
        <w:t xml:space="preserve"> Narodne novine br. 86/08, 57/11 </w:t>
      </w:r>
      <w:r>
        <w:rPr>
          <w:rFonts w:ascii="Calibri" w:hAnsi="Calibri"/>
          <w:sz w:val="16"/>
          <w:szCs w:val="16"/>
        </w:rPr>
        <w:t xml:space="preserve">, </w:t>
      </w:r>
      <w:r w:rsidRPr="00E3779F">
        <w:rPr>
          <w:rFonts w:ascii="Calibri" w:hAnsi="Calibri"/>
          <w:sz w:val="16"/>
          <w:szCs w:val="16"/>
        </w:rPr>
        <w:t>51/13</w:t>
      </w:r>
      <w:r>
        <w:rPr>
          <w:rFonts w:ascii="Calibri" w:hAnsi="Calibri"/>
          <w:sz w:val="16"/>
          <w:szCs w:val="16"/>
        </w:rPr>
        <w:t xml:space="preserve"> i 148/13</w:t>
      </w:r>
    </w:p>
  </w:footnote>
  <w:footnote w:id="19">
    <w:p w:rsidR="00C91A1D" w:rsidRDefault="00C91A1D">
      <w:pPr>
        <w:pStyle w:val="FootnoteText"/>
      </w:pPr>
      <w:r w:rsidRPr="00E3779F">
        <w:rPr>
          <w:rStyle w:val="FootnoteReference"/>
          <w:rFonts w:ascii="Calibri" w:hAnsi="Calibri"/>
          <w:sz w:val="16"/>
          <w:szCs w:val="16"/>
        </w:rPr>
        <w:footnoteRef/>
      </w:r>
      <w:r w:rsidRPr="00E3779F">
        <w:rPr>
          <w:rFonts w:ascii="Calibri" w:hAnsi="Calibri"/>
          <w:sz w:val="16"/>
          <w:szCs w:val="16"/>
        </w:rPr>
        <w:t xml:space="preserve"> Narodne novine br. </w:t>
      </w:r>
      <w:hyperlink r:id="rId1" w:history="1">
        <w:r w:rsidRPr="00E3779F">
          <w:rPr>
            <w:rStyle w:val="Hyperlink"/>
            <w:rFonts w:ascii="Calibri" w:hAnsi="Calibri"/>
            <w:color w:val="auto"/>
            <w:sz w:val="16"/>
            <w:szCs w:val="16"/>
            <w:u w:val="none"/>
            <w:lang w:val="hr-HR"/>
          </w:rPr>
          <w:t>153/09</w:t>
        </w:r>
      </w:hyperlink>
      <w:r w:rsidRPr="00E3779F">
        <w:rPr>
          <w:rFonts w:ascii="Calibri" w:hAnsi="Calibri"/>
          <w:sz w:val="16"/>
          <w:szCs w:val="16"/>
          <w:lang w:val="hr-HR"/>
        </w:rPr>
        <w:t xml:space="preserve">, </w:t>
      </w:r>
      <w:hyperlink r:id="rId2" w:history="1">
        <w:r w:rsidRPr="00E3779F">
          <w:rPr>
            <w:rStyle w:val="Hyperlink"/>
            <w:rFonts w:ascii="Calibri" w:hAnsi="Calibri"/>
            <w:color w:val="auto"/>
            <w:sz w:val="16"/>
            <w:szCs w:val="16"/>
            <w:u w:val="none"/>
            <w:lang w:val="hr-HR"/>
          </w:rPr>
          <w:t>63/11</w:t>
        </w:r>
      </w:hyperlink>
      <w:r w:rsidRPr="00E3779F">
        <w:rPr>
          <w:rFonts w:ascii="Calibri" w:hAnsi="Calibri"/>
          <w:sz w:val="16"/>
          <w:szCs w:val="16"/>
          <w:lang w:val="hr-HR"/>
        </w:rPr>
        <w:t xml:space="preserve">, </w:t>
      </w:r>
      <w:hyperlink r:id="rId3" w:history="1">
        <w:r w:rsidRPr="00E3779F">
          <w:rPr>
            <w:rStyle w:val="Hyperlink"/>
            <w:rFonts w:ascii="Calibri" w:hAnsi="Calibri"/>
            <w:color w:val="auto"/>
            <w:sz w:val="16"/>
            <w:szCs w:val="16"/>
            <w:u w:val="none"/>
            <w:lang w:val="hr-HR"/>
          </w:rPr>
          <w:t>130/11</w:t>
        </w:r>
      </w:hyperlink>
      <w:r>
        <w:rPr>
          <w:rFonts w:ascii="Calibri" w:hAnsi="Calibri"/>
          <w:sz w:val="16"/>
          <w:szCs w:val="16"/>
          <w:lang w:val="hr-HR"/>
        </w:rPr>
        <w:t xml:space="preserve"> ,</w:t>
      </w:r>
      <w:hyperlink r:id="rId4" w:history="1">
        <w:r w:rsidRPr="00E3779F">
          <w:rPr>
            <w:rStyle w:val="Hyperlink"/>
            <w:rFonts w:ascii="Calibri" w:hAnsi="Calibri"/>
            <w:color w:val="auto"/>
            <w:sz w:val="16"/>
            <w:szCs w:val="16"/>
            <w:u w:val="none"/>
            <w:lang w:val="hr-HR"/>
          </w:rPr>
          <w:t>56/13</w:t>
        </w:r>
      </w:hyperlink>
      <w:r>
        <w:rPr>
          <w:rStyle w:val="Hyperlink"/>
          <w:rFonts w:ascii="Calibri" w:hAnsi="Calibri"/>
          <w:color w:val="auto"/>
          <w:sz w:val="16"/>
          <w:szCs w:val="16"/>
          <w:u w:val="none"/>
          <w:lang w:val="hr-HR"/>
        </w:rPr>
        <w:t xml:space="preserve"> i 14/14</w:t>
      </w:r>
    </w:p>
  </w:footnote>
  <w:footnote w:id="20">
    <w:p w:rsidR="00C91A1D" w:rsidRDefault="00C91A1D">
      <w:pPr>
        <w:pStyle w:val="FootnoteText"/>
      </w:pPr>
      <w:r w:rsidRPr="00E3779F">
        <w:rPr>
          <w:rStyle w:val="FootnoteReference"/>
          <w:rFonts w:ascii="Calibri" w:hAnsi="Calibri"/>
          <w:sz w:val="16"/>
          <w:szCs w:val="16"/>
        </w:rPr>
        <w:footnoteRef/>
      </w:r>
      <w:r w:rsidRPr="00E3779F">
        <w:rPr>
          <w:rFonts w:ascii="Calibri" w:hAnsi="Calibri"/>
          <w:sz w:val="16"/>
          <w:szCs w:val="16"/>
        </w:rPr>
        <w:t xml:space="preserve"> </w:t>
      </w:r>
      <w:r w:rsidRPr="00E3779F">
        <w:rPr>
          <w:rFonts w:ascii="Calibri" w:hAnsi="Calibri"/>
          <w:sz w:val="16"/>
          <w:szCs w:val="16"/>
          <w:lang w:val="hr-HR"/>
        </w:rPr>
        <w:t>Narodne novine br.</w:t>
      </w:r>
      <w:r w:rsidRPr="00E3779F">
        <w:rPr>
          <w:rFonts w:ascii="Calibri" w:hAnsi="Calibri"/>
          <w:sz w:val="16"/>
          <w:szCs w:val="16"/>
        </w:rPr>
        <w:t xml:space="preserve"> </w:t>
      </w:r>
      <w:hyperlink r:id="rId5" w:history="1">
        <w:r w:rsidRPr="00E3779F">
          <w:rPr>
            <w:rStyle w:val="Hyperlink"/>
            <w:rFonts w:ascii="Calibri" w:hAnsi="Calibri"/>
            <w:color w:val="auto"/>
            <w:sz w:val="16"/>
            <w:szCs w:val="16"/>
            <w:u w:val="none"/>
            <w:lang w:val="hr-HR"/>
          </w:rPr>
          <w:t>90/11</w:t>
        </w:r>
      </w:hyperlink>
      <w:r>
        <w:rPr>
          <w:rFonts w:ascii="Calibri" w:hAnsi="Calibri"/>
          <w:sz w:val="16"/>
          <w:szCs w:val="16"/>
          <w:lang w:val="hr-HR"/>
        </w:rPr>
        <w:t xml:space="preserve"> , </w:t>
      </w:r>
      <w:hyperlink r:id="rId6" w:history="1">
        <w:r w:rsidRPr="00E3779F">
          <w:rPr>
            <w:rStyle w:val="Hyperlink"/>
            <w:rFonts w:ascii="Calibri" w:hAnsi="Calibri"/>
            <w:color w:val="auto"/>
            <w:sz w:val="16"/>
            <w:szCs w:val="16"/>
            <w:u w:val="none"/>
            <w:lang w:val="hr-HR"/>
          </w:rPr>
          <w:t>83/13</w:t>
        </w:r>
      </w:hyperlink>
      <w:r>
        <w:rPr>
          <w:rStyle w:val="Hyperlink"/>
          <w:rFonts w:ascii="Calibri" w:hAnsi="Calibri"/>
          <w:color w:val="auto"/>
          <w:sz w:val="16"/>
          <w:szCs w:val="16"/>
          <w:u w:val="none"/>
          <w:lang w:val="hr-HR"/>
        </w:rPr>
        <w:t>, 143/13 i 13/14</w:t>
      </w:r>
    </w:p>
  </w:footnote>
  <w:footnote w:id="21">
    <w:p w:rsidR="00C91A1D" w:rsidRPr="00E603EE" w:rsidRDefault="00C91A1D">
      <w:pPr>
        <w:pStyle w:val="FootnoteText"/>
        <w:rPr>
          <w:rFonts w:ascii="Calibri" w:hAnsi="Calibri"/>
          <w:sz w:val="16"/>
          <w:szCs w:val="16"/>
          <w:lang w:val="hr-HR"/>
        </w:rPr>
      </w:pPr>
      <w:r w:rsidRPr="00E3779F">
        <w:rPr>
          <w:rStyle w:val="FootnoteReference"/>
          <w:rFonts w:ascii="Calibri" w:hAnsi="Calibri"/>
          <w:sz w:val="16"/>
          <w:szCs w:val="16"/>
        </w:rPr>
        <w:footnoteRef/>
      </w:r>
      <w:r w:rsidRPr="00E3779F">
        <w:rPr>
          <w:sz w:val="16"/>
          <w:szCs w:val="16"/>
        </w:rPr>
        <w:t xml:space="preserve"> </w:t>
      </w:r>
      <w:r>
        <w:rPr>
          <w:rFonts w:ascii="Calibri" w:hAnsi="Calibri"/>
          <w:sz w:val="16"/>
          <w:szCs w:val="16"/>
          <w:lang w:val="hr-HR"/>
        </w:rPr>
        <w:t xml:space="preserve">Narodne novine br. </w:t>
      </w:r>
      <w:r w:rsidRPr="00E3779F">
        <w:rPr>
          <w:rFonts w:ascii="Calibri" w:hAnsi="Calibri"/>
          <w:sz w:val="16"/>
          <w:szCs w:val="16"/>
          <w:lang w:val="hr-HR"/>
        </w:rPr>
        <w:t>72/13</w:t>
      </w:r>
      <w:r>
        <w:rPr>
          <w:rFonts w:ascii="Calibri" w:hAnsi="Calibri"/>
          <w:sz w:val="16"/>
          <w:szCs w:val="16"/>
          <w:lang w:val="hr-HR"/>
        </w:rPr>
        <w:t xml:space="preserve"> i 141/13</w:t>
      </w:r>
    </w:p>
  </w:footnote>
  <w:footnote w:id="22">
    <w:p w:rsidR="00C91A1D" w:rsidRPr="00677BA1" w:rsidRDefault="00C91A1D">
      <w:pPr>
        <w:pStyle w:val="FootnoteText"/>
        <w:rPr>
          <w:sz w:val="16"/>
          <w:szCs w:val="16"/>
          <w:lang w:val="hr-HR"/>
        </w:rPr>
      </w:pPr>
      <w:r w:rsidRPr="00677BA1">
        <w:rPr>
          <w:rStyle w:val="FootnoteReference"/>
          <w:sz w:val="16"/>
          <w:szCs w:val="16"/>
        </w:rPr>
        <w:footnoteRef/>
      </w:r>
      <w:r w:rsidRPr="00677BA1">
        <w:rPr>
          <w:sz w:val="16"/>
          <w:szCs w:val="16"/>
        </w:rPr>
        <w:t xml:space="preserve"> </w:t>
      </w:r>
      <w:r w:rsidRPr="00677BA1">
        <w:rPr>
          <w:sz w:val="16"/>
          <w:szCs w:val="16"/>
          <w:lang w:val="hr-HR"/>
        </w:rPr>
        <w:t xml:space="preserve">Narodne novine br. </w:t>
      </w:r>
      <w:r w:rsidRPr="00677BA1">
        <w:rPr>
          <w:rFonts w:asciiTheme="minorHAnsi" w:hAnsiTheme="minorHAnsi"/>
          <w:sz w:val="16"/>
          <w:szCs w:val="16"/>
        </w:rPr>
        <w:t>177/04, 73/08, 80/10 , 114/11, 22/12, 144/12, 43/13, 120/13, 125/13, 148/13</w:t>
      </w:r>
    </w:p>
  </w:footnote>
  <w:footnote w:id="23">
    <w:p w:rsidR="00C91A1D" w:rsidRPr="00677BA1" w:rsidRDefault="00C91A1D">
      <w:pPr>
        <w:pStyle w:val="FootnoteText"/>
        <w:rPr>
          <w:sz w:val="16"/>
          <w:szCs w:val="16"/>
          <w:lang w:val="hr-HR"/>
        </w:rPr>
      </w:pPr>
      <w:r w:rsidRPr="00677BA1">
        <w:rPr>
          <w:rStyle w:val="FootnoteReference"/>
          <w:sz w:val="16"/>
          <w:szCs w:val="16"/>
        </w:rPr>
        <w:footnoteRef/>
      </w:r>
      <w:r w:rsidRPr="00677BA1">
        <w:rPr>
          <w:sz w:val="16"/>
          <w:szCs w:val="16"/>
        </w:rPr>
        <w:t xml:space="preserve"> </w:t>
      </w:r>
      <w:r w:rsidRPr="00677BA1">
        <w:rPr>
          <w:sz w:val="16"/>
          <w:szCs w:val="16"/>
          <w:lang w:val="hr-HR"/>
        </w:rPr>
        <w:t xml:space="preserve">Narodne novine br. </w:t>
      </w:r>
      <w:r w:rsidRPr="00677BA1">
        <w:rPr>
          <w:rFonts w:asciiTheme="minorHAnsi" w:hAnsiTheme="minorHAnsi"/>
          <w:sz w:val="16"/>
          <w:szCs w:val="16"/>
        </w:rPr>
        <w:t>73/13, 99/13, 148/13, 153/13</w:t>
      </w:r>
    </w:p>
  </w:footnote>
  <w:footnote w:id="24">
    <w:p w:rsidR="00C91A1D" w:rsidRPr="00677BA1" w:rsidRDefault="00C91A1D">
      <w:pPr>
        <w:pStyle w:val="FootnoteText"/>
        <w:rPr>
          <w:lang w:val="hr-HR"/>
        </w:rPr>
      </w:pPr>
      <w:r w:rsidRPr="00677BA1">
        <w:rPr>
          <w:rStyle w:val="FootnoteReference"/>
          <w:sz w:val="16"/>
          <w:szCs w:val="16"/>
        </w:rPr>
        <w:footnoteRef/>
      </w:r>
      <w:r w:rsidRPr="00677BA1">
        <w:rPr>
          <w:sz w:val="16"/>
          <w:szCs w:val="16"/>
        </w:rPr>
        <w:t xml:space="preserve"> </w:t>
      </w:r>
      <w:r w:rsidRPr="00677BA1">
        <w:rPr>
          <w:sz w:val="16"/>
          <w:szCs w:val="16"/>
          <w:lang w:val="hr-HR"/>
        </w:rPr>
        <w:t xml:space="preserve">Narodne novine br. </w:t>
      </w:r>
      <w:r w:rsidRPr="00677BA1">
        <w:rPr>
          <w:rFonts w:asciiTheme="minorHAnsi" w:hAnsiTheme="minorHAnsi"/>
          <w:sz w:val="16"/>
          <w:szCs w:val="16"/>
        </w:rPr>
        <w:t>69/97, 26/00, 127/00, 153/02, 22/11</w:t>
      </w:r>
      <w:r>
        <w:t xml:space="preserve"> </w:t>
      </w:r>
      <w:r w:rsidRPr="0001571B">
        <w:rPr>
          <w:rFonts w:ascii="Calibri" w:hAnsi="Calibri"/>
          <w:lang w:val="hr-HR"/>
        </w:rPr>
        <w:t xml:space="preserve"> </w:t>
      </w:r>
    </w:p>
  </w:footnote>
  <w:footnote w:id="25">
    <w:p w:rsidR="00C91A1D" w:rsidRDefault="00C91A1D" w:rsidP="00AF6936">
      <w:pPr>
        <w:pStyle w:val="FootnoteText"/>
        <w:tabs>
          <w:tab w:val="left" w:pos="5115"/>
        </w:tabs>
      </w:pPr>
      <w:r w:rsidRPr="00857923">
        <w:rPr>
          <w:rStyle w:val="FootnoteReference"/>
          <w:rFonts w:ascii="Calibri" w:hAnsi="Calibri"/>
          <w:sz w:val="16"/>
          <w:szCs w:val="16"/>
        </w:rPr>
        <w:footnoteRef/>
      </w:r>
      <w:r w:rsidRPr="00857923">
        <w:rPr>
          <w:rFonts w:ascii="Calibri" w:hAnsi="Calibri"/>
          <w:sz w:val="16"/>
          <w:szCs w:val="16"/>
        </w:rPr>
        <w:t xml:space="preserve"> Objavljeno </w:t>
      </w:r>
      <w:r>
        <w:rPr>
          <w:rFonts w:ascii="Calibri" w:hAnsi="Calibri" w:cs="Trebuchet MS"/>
          <w:sz w:val="16"/>
          <w:szCs w:val="16"/>
        </w:rPr>
        <w:t>2012., Svjetski ekonomski forum</w:t>
      </w:r>
      <w:r w:rsidRPr="00857923">
        <w:rPr>
          <w:rFonts w:ascii="Calibri" w:hAnsi="Calibri" w:cs="Trebuchet MS"/>
          <w:sz w:val="16"/>
          <w:szCs w:val="16"/>
        </w:rPr>
        <w:tab/>
      </w:r>
    </w:p>
  </w:footnote>
  <w:footnote w:id="26">
    <w:p w:rsidR="00C91A1D" w:rsidRDefault="00C91A1D" w:rsidP="00AF6936">
      <w:pPr>
        <w:pStyle w:val="FootnoteText"/>
      </w:pPr>
      <w:r w:rsidRPr="00857923">
        <w:rPr>
          <w:rStyle w:val="FootnoteReference"/>
          <w:rFonts w:ascii="Calibri" w:hAnsi="Calibri" w:cs="Calibri"/>
          <w:sz w:val="16"/>
          <w:szCs w:val="16"/>
        </w:rPr>
        <w:footnoteRef/>
      </w:r>
      <w:r w:rsidRPr="00857923">
        <w:rPr>
          <w:rFonts w:ascii="Calibri" w:hAnsi="Calibri" w:cs="Calibri"/>
          <w:sz w:val="16"/>
          <w:szCs w:val="16"/>
        </w:rPr>
        <w:t xml:space="preserve"> EUROSTAT</w:t>
      </w:r>
    </w:p>
  </w:footnote>
  <w:footnote w:id="27">
    <w:p w:rsidR="00C91A1D" w:rsidRDefault="00C91A1D" w:rsidP="00AF6936">
      <w:pPr>
        <w:pStyle w:val="FootnoteText"/>
      </w:pPr>
      <w:r w:rsidRPr="00857923">
        <w:rPr>
          <w:rStyle w:val="FootnoteReference"/>
          <w:rFonts w:ascii="Calibri" w:hAnsi="Calibri" w:cs="Calibri"/>
          <w:sz w:val="16"/>
          <w:szCs w:val="16"/>
        </w:rPr>
        <w:footnoteRef/>
      </w:r>
      <w:r w:rsidRPr="00857923">
        <w:rPr>
          <w:rFonts w:ascii="Calibri" w:hAnsi="Calibri" w:cs="Calibri"/>
          <w:sz w:val="16"/>
          <w:szCs w:val="16"/>
        </w:rPr>
        <w:t xml:space="preserve"> </w:t>
      </w:r>
      <w:r w:rsidRPr="00857923">
        <w:rPr>
          <w:rFonts w:ascii="Calibri" w:hAnsi="Calibri" w:cs="Calibri"/>
          <w:sz w:val="16"/>
          <w:szCs w:val="16"/>
          <w:lang w:val="en-US"/>
        </w:rPr>
        <w:t>EK Izvješće o napretku 2011.</w:t>
      </w:r>
    </w:p>
  </w:footnote>
  <w:footnote w:id="28">
    <w:p w:rsidR="00C91A1D" w:rsidRDefault="00C91A1D" w:rsidP="00AF6936">
      <w:pPr>
        <w:pStyle w:val="FootnoteText"/>
      </w:pPr>
      <w:r w:rsidRPr="00857923">
        <w:rPr>
          <w:rStyle w:val="FootnoteReference"/>
          <w:rFonts w:ascii="Calibri" w:hAnsi="Calibri" w:cs="Calibri"/>
          <w:sz w:val="16"/>
          <w:szCs w:val="16"/>
        </w:rPr>
        <w:footnoteRef/>
      </w:r>
      <w:r w:rsidRPr="00857923">
        <w:rPr>
          <w:rFonts w:ascii="Calibri" w:hAnsi="Calibri" w:cs="Calibri"/>
          <w:sz w:val="16"/>
          <w:szCs w:val="16"/>
        </w:rPr>
        <w:t xml:space="preserve"> EK Izvješće o napretku 2011.</w:t>
      </w:r>
    </w:p>
  </w:footnote>
  <w:footnote w:id="29">
    <w:p w:rsidR="00C91A1D" w:rsidRDefault="00C91A1D" w:rsidP="00AF6936">
      <w:pPr>
        <w:pStyle w:val="FootnoteText"/>
      </w:pPr>
      <w:r w:rsidRPr="00857923">
        <w:rPr>
          <w:rStyle w:val="FootnoteReference"/>
          <w:rFonts w:ascii="Calibri" w:hAnsi="Calibri" w:cs="Calibri"/>
          <w:sz w:val="16"/>
          <w:szCs w:val="16"/>
        </w:rPr>
        <w:footnoteRef/>
      </w:r>
      <w:r w:rsidRPr="00857923">
        <w:rPr>
          <w:rFonts w:ascii="Calibri" w:hAnsi="Calibri" w:cs="Calibri"/>
          <w:sz w:val="16"/>
          <w:szCs w:val="16"/>
        </w:rPr>
        <w:t xml:space="preserve"> </w:t>
      </w:r>
      <w:r w:rsidRPr="00857923">
        <w:rPr>
          <w:rFonts w:ascii="Calibri" w:eastAsia="SimSun" w:hAnsi="Calibri" w:cs="Calibri"/>
          <w:color w:val="1B1C20"/>
          <w:sz w:val="16"/>
          <w:szCs w:val="16"/>
          <w:lang w:eastAsia="zh-CN"/>
        </w:rPr>
        <w:t>Izvor: FINA</w:t>
      </w:r>
    </w:p>
  </w:footnote>
  <w:footnote w:id="30">
    <w:p w:rsidR="00C91A1D" w:rsidRDefault="00C91A1D" w:rsidP="00AF6936">
      <w:pPr>
        <w:pStyle w:val="NoSpacing"/>
      </w:pPr>
      <w:r w:rsidRPr="00857923">
        <w:rPr>
          <w:rStyle w:val="FootnoteReference"/>
          <w:rFonts w:cs="Calibri"/>
          <w:sz w:val="16"/>
          <w:szCs w:val="16"/>
        </w:rPr>
        <w:footnoteRef/>
      </w:r>
      <w:r w:rsidRPr="00857923">
        <w:rPr>
          <w:sz w:val="16"/>
          <w:szCs w:val="16"/>
        </w:rPr>
        <w:t xml:space="preserve"> </w:t>
      </w:r>
      <w:r w:rsidRPr="00597A43">
        <w:rPr>
          <w:sz w:val="16"/>
          <w:szCs w:val="16"/>
          <w:lang w:val="hr-HR" w:eastAsia="zh-CN"/>
        </w:rPr>
        <w:t xml:space="preserve">Mjerena TEA indeksom – </w:t>
      </w:r>
      <w:r w:rsidRPr="00A360B5">
        <w:rPr>
          <w:i/>
          <w:sz w:val="16"/>
          <w:szCs w:val="16"/>
          <w:lang w:val="hr-HR" w:eastAsia="zh-CN"/>
        </w:rPr>
        <w:t xml:space="preserve">Total </w:t>
      </w:r>
      <w:proofErr w:type="spellStart"/>
      <w:r w:rsidRPr="00A360B5">
        <w:rPr>
          <w:i/>
          <w:sz w:val="16"/>
          <w:szCs w:val="16"/>
          <w:lang w:val="hr-HR" w:eastAsia="zh-CN"/>
        </w:rPr>
        <w:t>Entrepreneurship</w:t>
      </w:r>
      <w:proofErr w:type="spellEnd"/>
      <w:r w:rsidRPr="00A360B5">
        <w:rPr>
          <w:i/>
          <w:sz w:val="16"/>
          <w:szCs w:val="16"/>
          <w:lang w:val="hr-HR" w:eastAsia="zh-CN"/>
        </w:rPr>
        <w:t xml:space="preserve"> </w:t>
      </w:r>
      <w:proofErr w:type="spellStart"/>
      <w:r w:rsidRPr="00A360B5">
        <w:rPr>
          <w:i/>
          <w:sz w:val="16"/>
          <w:szCs w:val="16"/>
          <w:lang w:val="hr-HR" w:eastAsia="zh-CN"/>
        </w:rPr>
        <w:t>Index</w:t>
      </w:r>
      <w:proofErr w:type="spellEnd"/>
      <w:r w:rsidRPr="00597A43">
        <w:rPr>
          <w:sz w:val="16"/>
          <w:szCs w:val="16"/>
          <w:lang w:val="hr-HR" w:eastAsia="zh-CN"/>
        </w:rPr>
        <w:t xml:space="preserve"> kroz GEM projekt – </w:t>
      </w:r>
      <w:r w:rsidRPr="00A360B5">
        <w:rPr>
          <w:i/>
          <w:sz w:val="16"/>
          <w:szCs w:val="16"/>
          <w:lang w:val="hr-HR" w:eastAsia="zh-CN"/>
        </w:rPr>
        <w:t xml:space="preserve">Global </w:t>
      </w:r>
      <w:proofErr w:type="spellStart"/>
      <w:r w:rsidRPr="00A360B5">
        <w:rPr>
          <w:i/>
          <w:sz w:val="16"/>
          <w:szCs w:val="16"/>
          <w:lang w:val="hr-HR" w:eastAsia="zh-CN"/>
        </w:rPr>
        <w:t>Entrepreneurship</w:t>
      </w:r>
      <w:proofErr w:type="spellEnd"/>
      <w:r w:rsidRPr="00A360B5">
        <w:rPr>
          <w:i/>
          <w:sz w:val="16"/>
          <w:szCs w:val="16"/>
          <w:lang w:val="hr-HR" w:eastAsia="zh-CN"/>
        </w:rPr>
        <w:t xml:space="preserve"> Monitor</w:t>
      </w:r>
      <w:r w:rsidRPr="00597A43">
        <w:rPr>
          <w:sz w:val="16"/>
          <w:szCs w:val="16"/>
          <w:lang w:val="hr-HR" w:eastAsia="zh-CN"/>
        </w:rPr>
        <w:t>. TEA indeks pokazuje broj novopokrenutih poslovnih pothvata, ne starijih od 42 mjeseca, na 100 odraslih stanovnika od 18 do 64 godine starosti.</w:t>
      </w:r>
    </w:p>
  </w:footnote>
  <w:footnote w:id="31">
    <w:p w:rsidR="00C91A1D" w:rsidRDefault="00C91A1D" w:rsidP="00AF6936">
      <w:pPr>
        <w:pStyle w:val="NoSpacing"/>
        <w:jc w:val="both"/>
      </w:pPr>
      <w:r w:rsidRPr="00597A43">
        <w:rPr>
          <w:rStyle w:val="FootnoteReference"/>
          <w:rFonts w:cs="Calibri"/>
          <w:sz w:val="16"/>
          <w:szCs w:val="16"/>
          <w:lang w:val="hr-HR"/>
        </w:rPr>
        <w:footnoteRef/>
      </w:r>
      <w:r w:rsidRPr="00597A43">
        <w:rPr>
          <w:sz w:val="16"/>
          <w:szCs w:val="16"/>
          <w:lang w:val="hr-HR"/>
        </w:rPr>
        <w:t xml:space="preserve"> </w:t>
      </w:r>
      <w:r w:rsidRPr="00597A43">
        <w:rPr>
          <w:sz w:val="16"/>
          <w:szCs w:val="16"/>
          <w:lang w:val="hr-HR" w:eastAsia="zh-CN"/>
        </w:rPr>
        <w:t xml:space="preserve">TEA indeks predstavlja broj poduzetnički aktivnih ljudi (kombinira broj ljudi koji pokušavaju pokrenuti poduzetnički pothvat i broj ljudi koji su vlasnici ili </w:t>
      </w:r>
      <w:r w:rsidRPr="009D7CBD">
        <w:rPr>
          <w:iCs/>
          <w:sz w:val="16"/>
          <w:szCs w:val="16"/>
          <w:lang w:val="hr-HR" w:eastAsia="zh-CN"/>
        </w:rPr>
        <w:t xml:space="preserve">rukovoditelji </w:t>
      </w:r>
      <w:r w:rsidRPr="009D7CBD">
        <w:rPr>
          <w:sz w:val="16"/>
          <w:szCs w:val="16"/>
          <w:lang w:val="hr-HR" w:eastAsia="zh-CN"/>
        </w:rPr>
        <w:t>poduzeća</w:t>
      </w:r>
      <w:r w:rsidRPr="00597A43">
        <w:rPr>
          <w:sz w:val="16"/>
          <w:szCs w:val="16"/>
          <w:lang w:val="hr-HR" w:eastAsia="zh-CN"/>
        </w:rPr>
        <w:t xml:space="preserve"> mlađih od 42 mjeseca) u odnosu na 100 ispitanika između 18 i 64 godine starosti.</w:t>
      </w:r>
    </w:p>
  </w:footnote>
  <w:footnote w:id="32">
    <w:p w:rsidR="00C91A1D" w:rsidRDefault="00C91A1D" w:rsidP="00AF6936">
      <w:pPr>
        <w:pStyle w:val="NoSpacing"/>
        <w:jc w:val="both"/>
      </w:pPr>
      <w:r w:rsidRPr="00857923">
        <w:rPr>
          <w:rStyle w:val="FootnoteReference"/>
          <w:rFonts w:cs="Calibri"/>
          <w:sz w:val="16"/>
          <w:szCs w:val="16"/>
        </w:rPr>
        <w:footnoteRef/>
      </w:r>
      <w:r w:rsidRPr="00857923">
        <w:rPr>
          <w:sz w:val="16"/>
          <w:szCs w:val="16"/>
        </w:rPr>
        <w:t xml:space="preserve"> </w:t>
      </w:r>
      <w:r w:rsidRPr="009D4FC0">
        <w:rPr>
          <w:sz w:val="16"/>
          <w:szCs w:val="16"/>
          <w:lang w:val="hr-HR" w:eastAsia="zh-CN"/>
        </w:rPr>
        <w:t>Prema GEM istraživanju, poduzeća s potencijalom rasta su ona koja koriste nove tehnologije, razvijaju nove proizvode, izlažu se konkurenciji i imaju kapacitet za novo zapošljavanje.</w:t>
      </w:r>
    </w:p>
  </w:footnote>
  <w:footnote w:id="33">
    <w:p w:rsidR="00C91A1D" w:rsidRDefault="00C91A1D" w:rsidP="00AF6936">
      <w:pPr>
        <w:pStyle w:val="FootnoteText"/>
      </w:pPr>
      <w:r w:rsidRPr="00857923">
        <w:rPr>
          <w:rStyle w:val="FootnoteReference"/>
          <w:rFonts w:ascii="Calibri" w:hAnsi="Calibri"/>
          <w:sz w:val="16"/>
          <w:szCs w:val="16"/>
        </w:rPr>
        <w:footnoteRef/>
      </w:r>
      <w:r w:rsidRPr="00857923">
        <w:rPr>
          <w:rFonts w:ascii="Calibri" w:hAnsi="Calibri"/>
          <w:sz w:val="16"/>
          <w:szCs w:val="16"/>
        </w:rPr>
        <w:t xml:space="preserve"> Eurostat</w:t>
      </w:r>
    </w:p>
  </w:footnote>
  <w:footnote w:id="34">
    <w:p w:rsidR="00C91A1D" w:rsidRDefault="00C91A1D" w:rsidP="00AF6936">
      <w:pPr>
        <w:pStyle w:val="FootnoteText"/>
      </w:pPr>
      <w:r w:rsidRPr="00857923">
        <w:rPr>
          <w:rStyle w:val="FootnoteReference"/>
          <w:rFonts w:ascii="Calibri" w:hAnsi="Calibri"/>
          <w:sz w:val="16"/>
          <w:szCs w:val="16"/>
        </w:rPr>
        <w:footnoteRef/>
      </w:r>
      <w:r w:rsidRPr="00857923">
        <w:rPr>
          <w:rFonts w:ascii="Calibri" w:hAnsi="Calibri"/>
          <w:sz w:val="16"/>
          <w:szCs w:val="16"/>
        </w:rPr>
        <w:t xml:space="preserve"> Eurostat</w:t>
      </w:r>
    </w:p>
  </w:footnote>
  <w:footnote w:id="35">
    <w:p w:rsidR="00C91A1D" w:rsidRDefault="00C91A1D" w:rsidP="00AF6936">
      <w:pPr>
        <w:pStyle w:val="FootnoteText"/>
      </w:pPr>
      <w:r w:rsidRPr="00857923">
        <w:rPr>
          <w:rStyle w:val="FootnoteReference"/>
          <w:rFonts w:ascii="Calibri" w:hAnsi="Calibri" w:cs="Calibri"/>
          <w:sz w:val="16"/>
          <w:szCs w:val="16"/>
        </w:rPr>
        <w:footnoteRef/>
      </w:r>
      <w:r>
        <w:rPr>
          <w:rFonts w:ascii="Calibri" w:hAnsi="Calibri" w:cs="Calibri"/>
          <w:sz w:val="16"/>
          <w:szCs w:val="16"/>
        </w:rPr>
        <w:t xml:space="preserve"> Baković, Tomislav: “</w:t>
      </w:r>
      <w:r w:rsidRPr="00857923">
        <w:rPr>
          <w:rFonts w:ascii="Calibri" w:hAnsi="Calibri" w:cs="Calibri"/>
          <w:sz w:val="16"/>
          <w:szCs w:val="16"/>
        </w:rPr>
        <w:t>Managing innovation system in transition economies“, University of Zagreb, Faculty</w:t>
      </w:r>
      <w:r w:rsidRPr="00857923">
        <w:rPr>
          <w:rFonts w:ascii="Calibri" w:hAnsi="Calibri" w:cs="Calibri"/>
          <w:sz w:val="16"/>
          <w:szCs w:val="16"/>
          <w:lang w:val="en-GB"/>
        </w:rPr>
        <w:t xml:space="preserve"> </w:t>
      </w:r>
      <w:r>
        <w:rPr>
          <w:rFonts w:ascii="Calibri" w:hAnsi="Calibri" w:cs="Calibri"/>
          <w:sz w:val="16"/>
          <w:szCs w:val="16"/>
        </w:rPr>
        <w:t xml:space="preserve">of </w:t>
      </w:r>
      <w:r w:rsidRPr="00857923">
        <w:rPr>
          <w:rFonts w:ascii="Calibri" w:hAnsi="Calibri" w:cs="Calibri"/>
          <w:sz w:val="16"/>
          <w:szCs w:val="16"/>
        </w:rPr>
        <w:t>Economics and Business,</w:t>
      </w:r>
      <w:r>
        <w:rPr>
          <w:rFonts w:ascii="Calibri" w:hAnsi="Calibri" w:cs="Calibri"/>
          <w:sz w:val="16"/>
          <w:szCs w:val="16"/>
        </w:rPr>
        <w:t xml:space="preserve"> Working Paper Series – Paper No</w:t>
      </w:r>
      <w:r w:rsidRPr="00857923">
        <w:rPr>
          <w:rFonts w:ascii="Calibri" w:hAnsi="Calibri" w:cs="Calibri"/>
          <w:sz w:val="16"/>
          <w:szCs w:val="16"/>
        </w:rPr>
        <w:t>. 10–01</w:t>
      </w:r>
    </w:p>
  </w:footnote>
  <w:footnote w:id="36">
    <w:p w:rsidR="00C91A1D" w:rsidRDefault="00C91A1D" w:rsidP="00AF6936">
      <w:pPr>
        <w:pStyle w:val="FootnoteText"/>
      </w:pPr>
      <w:r w:rsidRPr="00857923">
        <w:rPr>
          <w:rStyle w:val="FootnoteReference"/>
          <w:rFonts w:ascii="Calibri" w:hAnsi="Calibri" w:cs="Calibri"/>
          <w:sz w:val="16"/>
          <w:szCs w:val="16"/>
        </w:rPr>
        <w:footnoteRef/>
      </w:r>
      <w:r w:rsidRPr="00857923">
        <w:rPr>
          <w:rFonts w:ascii="Calibri" w:hAnsi="Calibri" w:cs="Calibri"/>
          <w:sz w:val="16"/>
          <w:szCs w:val="16"/>
        </w:rPr>
        <w:t xml:space="preserve"> UNESCO Science Report 2010: The Current Status of Science around the World, p. 194</w:t>
      </w:r>
    </w:p>
  </w:footnote>
  <w:footnote w:id="37">
    <w:p w:rsidR="00C91A1D" w:rsidRDefault="00C91A1D" w:rsidP="00AF6936">
      <w:pPr>
        <w:pStyle w:val="FootnoteText"/>
      </w:pPr>
      <w:r w:rsidRPr="00857923">
        <w:rPr>
          <w:rStyle w:val="FootnoteReference"/>
          <w:rFonts w:ascii="Calibri" w:hAnsi="Calibri" w:cs="Calibri"/>
          <w:sz w:val="16"/>
          <w:szCs w:val="16"/>
        </w:rPr>
        <w:footnoteRef/>
      </w:r>
      <w:r w:rsidRPr="00857923">
        <w:rPr>
          <w:rFonts w:ascii="Calibri" w:hAnsi="Calibri" w:cs="Calibri"/>
          <w:sz w:val="16"/>
          <w:szCs w:val="16"/>
        </w:rPr>
        <w:t xml:space="preserve"> The World Bank, 2012, p. 46</w:t>
      </w:r>
    </w:p>
  </w:footnote>
  <w:footnote w:id="38">
    <w:p w:rsidR="00C91A1D" w:rsidRDefault="00C91A1D" w:rsidP="00AF6936">
      <w:pPr>
        <w:pStyle w:val="FootnoteText"/>
      </w:pPr>
      <w:r w:rsidRPr="00857923">
        <w:rPr>
          <w:rStyle w:val="FootnoteReference"/>
          <w:rFonts w:ascii="Calibri" w:hAnsi="Calibri" w:cs="Calibri"/>
          <w:sz w:val="16"/>
          <w:szCs w:val="16"/>
        </w:rPr>
        <w:footnoteRef/>
      </w:r>
      <w:r w:rsidRPr="00857923">
        <w:rPr>
          <w:rFonts w:ascii="Calibri" w:hAnsi="Calibri" w:cs="Calibri"/>
          <w:sz w:val="16"/>
          <w:szCs w:val="16"/>
        </w:rPr>
        <w:t xml:space="preserve"> Ibid, p. 47</w:t>
      </w:r>
    </w:p>
  </w:footnote>
  <w:footnote w:id="39">
    <w:p w:rsidR="00C91A1D" w:rsidRDefault="00C91A1D" w:rsidP="00AF6936">
      <w:pPr>
        <w:pStyle w:val="FootnoteText"/>
      </w:pPr>
      <w:r w:rsidRPr="00857923">
        <w:rPr>
          <w:rStyle w:val="FootnoteReference"/>
          <w:rFonts w:ascii="Calibri" w:hAnsi="Calibri"/>
          <w:sz w:val="16"/>
          <w:szCs w:val="16"/>
        </w:rPr>
        <w:footnoteRef/>
      </w:r>
      <w:r w:rsidRPr="00857923">
        <w:rPr>
          <w:rFonts w:ascii="Calibri" w:hAnsi="Calibri"/>
          <w:sz w:val="16"/>
          <w:szCs w:val="16"/>
        </w:rPr>
        <w:t xml:space="preserve"> PRO INNO Europe-Summary Innovation Index (IUS-2008;IUS-2011)</w:t>
      </w:r>
    </w:p>
  </w:footnote>
  <w:footnote w:id="40">
    <w:p w:rsidR="00C91A1D" w:rsidRDefault="00C91A1D" w:rsidP="00AF6936">
      <w:pPr>
        <w:pStyle w:val="FootnoteText"/>
      </w:pPr>
      <w:r w:rsidRPr="00857923">
        <w:rPr>
          <w:rStyle w:val="FootnoteReference"/>
          <w:rFonts w:ascii="Calibri" w:hAnsi="Calibri"/>
          <w:sz w:val="16"/>
          <w:szCs w:val="16"/>
        </w:rPr>
        <w:footnoteRef/>
      </w:r>
      <w:r>
        <w:rPr>
          <w:rFonts w:ascii="Calibri" w:hAnsi="Calibri"/>
          <w:sz w:val="16"/>
          <w:szCs w:val="16"/>
        </w:rPr>
        <w:t xml:space="preserve"> Zacrtani cilj Strategije V</w:t>
      </w:r>
      <w:r w:rsidRPr="00857923">
        <w:rPr>
          <w:rFonts w:ascii="Calibri" w:hAnsi="Calibri"/>
          <w:sz w:val="16"/>
          <w:szCs w:val="16"/>
        </w:rPr>
        <w:t>ladinih programa 2013</w:t>
      </w:r>
      <w:r>
        <w:rPr>
          <w:rFonts w:ascii="Calibri" w:hAnsi="Calibri"/>
          <w:sz w:val="16"/>
          <w:szCs w:val="16"/>
        </w:rPr>
        <w:t xml:space="preserve">. – </w:t>
      </w:r>
      <w:r w:rsidRPr="00857923">
        <w:rPr>
          <w:rFonts w:ascii="Calibri" w:hAnsi="Calibri"/>
          <w:sz w:val="16"/>
          <w:szCs w:val="16"/>
        </w:rPr>
        <w:t>2015</w:t>
      </w:r>
      <w:r>
        <w:rPr>
          <w:rFonts w:ascii="Calibri" w:hAnsi="Calibri"/>
          <w:sz w:val="16"/>
          <w:szCs w:val="16"/>
        </w:rPr>
        <w:t>.</w:t>
      </w:r>
      <w:r w:rsidRPr="00857923">
        <w:rPr>
          <w:rFonts w:ascii="Calibri" w:hAnsi="Calibri"/>
          <w:sz w:val="16"/>
          <w:szCs w:val="16"/>
        </w:rPr>
        <w:t xml:space="preserve"> (u izradi)</w:t>
      </w:r>
    </w:p>
  </w:footnote>
  <w:footnote w:id="41">
    <w:p w:rsidR="00C91A1D" w:rsidRDefault="00C91A1D" w:rsidP="00AF6936">
      <w:pPr>
        <w:pStyle w:val="FootnoteText"/>
      </w:pPr>
      <w:r w:rsidRPr="00857923">
        <w:rPr>
          <w:rStyle w:val="FootnoteReference"/>
          <w:rFonts w:ascii="Calibri" w:hAnsi="Calibri"/>
          <w:sz w:val="16"/>
          <w:szCs w:val="16"/>
        </w:rPr>
        <w:footnoteRef/>
      </w:r>
      <w:r w:rsidRPr="00857923">
        <w:rPr>
          <w:rFonts w:ascii="Calibri" w:hAnsi="Calibri"/>
          <w:sz w:val="16"/>
          <w:szCs w:val="16"/>
        </w:rPr>
        <w:t xml:space="preserve"> PRO INNO Europe-Summary Innovation Index (IUS-2008;IUS-2011)</w:t>
      </w:r>
    </w:p>
  </w:footnote>
  <w:footnote w:id="42">
    <w:p w:rsidR="00C91A1D" w:rsidRDefault="00C91A1D" w:rsidP="00AF6936">
      <w:pPr>
        <w:pStyle w:val="FootnoteText"/>
      </w:pPr>
      <w:r w:rsidRPr="00857923">
        <w:rPr>
          <w:rStyle w:val="FootnoteReference"/>
          <w:rFonts w:ascii="Calibri" w:hAnsi="Calibri"/>
          <w:sz w:val="16"/>
          <w:szCs w:val="16"/>
        </w:rPr>
        <w:footnoteRef/>
      </w:r>
      <w:r w:rsidRPr="00857923">
        <w:rPr>
          <w:rFonts w:ascii="Calibri" w:hAnsi="Calibri"/>
          <w:sz w:val="16"/>
          <w:szCs w:val="16"/>
        </w:rPr>
        <w:t xml:space="preserve"> Eurostat</w:t>
      </w:r>
    </w:p>
  </w:footnote>
  <w:footnote w:id="43">
    <w:p w:rsidR="00C91A1D" w:rsidRDefault="00C91A1D" w:rsidP="00AF6936">
      <w:pPr>
        <w:pStyle w:val="FootnoteText"/>
      </w:pPr>
      <w:r w:rsidRPr="00857923">
        <w:rPr>
          <w:rStyle w:val="FootnoteReference"/>
          <w:rFonts w:ascii="Calibri" w:hAnsi="Calibri"/>
          <w:sz w:val="16"/>
          <w:szCs w:val="16"/>
        </w:rPr>
        <w:footnoteRef/>
      </w:r>
      <w:r w:rsidRPr="00857923">
        <w:rPr>
          <w:rFonts w:ascii="Calibri" w:hAnsi="Calibri"/>
          <w:sz w:val="16"/>
          <w:szCs w:val="16"/>
        </w:rPr>
        <w:t xml:space="preserve"> Evidencija MZOS-a</w:t>
      </w:r>
    </w:p>
  </w:footnote>
  <w:footnote w:id="44">
    <w:p w:rsidR="00C91A1D" w:rsidRDefault="00C91A1D" w:rsidP="00AF6936">
      <w:pPr>
        <w:pStyle w:val="FootnoteText"/>
      </w:pPr>
      <w:r w:rsidRPr="00857923">
        <w:rPr>
          <w:rStyle w:val="FootnoteReference"/>
          <w:rFonts w:ascii="Calibri" w:hAnsi="Calibri"/>
          <w:sz w:val="16"/>
          <w:szCs w:val="16"/>
        </w:rPr>
        <w:footnoteRef/>
      </w:r>
      <w:r w:rsidRPr="00857923">
        <w:rPr>
          <w:rFonts w:ascii="Calibri" w:hAnsi="Calibri"/>
          <w:sz w:val="16"/>
          <w:szCs w:val="16"/>
        </w:rPr>
        <w:t xml:space="preserve"> Eurostat</w:t>
      </w:r>
    </w:p>
  </w:footnote>
  <w:footnote w:id="45">
    <w:p w:rsidR="00C91A1D" w:rsidRDefault="00C91A1D" w:rsidP="00AF6936">
      <w:pPr>
        <w:pStyle w:val="FootnoteText"/>
      </w:pPr>
      <w:r w:rsidRPr="00857923">
        <w:rPr>
          <w:rStyle w:val="FootnoteReference"/>
          <w:rFonts w:ascii="Calibri" w:hAnsi="Calibri"/>
          <w:sz w:val="16"/>
          <w:szCs w:val="16"/>
        </w:rPr>
        <w:footnoteRef/>
      </w:r>
      <w:r w:rsidRPr="00857923">
        <w:rPr>
          <w:rFonts w:ascii="Calibri" w:hAnsi="Calibri"/>
          <w:sz w:val="16"/>
          <w:szCs w:val="16"/>
        </w:rPr>
        <w:t xml:space="preserve"> Eurostat</w:t>
      </w:r>
    </w:p>
  </w:footnote>
  <w:footnote w:id="46">
    <w:p w:rsidR="00C91A1D" w:rsidRDefault="00C91A1D" w:rsidP="00AF6936">
      <w:pPr>
        <w:pStyle w:val="FootnoteText"/>
      </w:pPr>
      <w:r w:rsidRPr="00857923">
        <w:rPr>
          <w:rStyle w:val="FootnoteReference"/>
          <w:rFonts w:ascii="Calibri" w:hAnsi="Calibri"/>
          <w:sz w:val="16"/>
          <w:szCs w:val="16"/>
        </w:rPr>
        <w:footnoteRef/>
      </w:r>
      <w:r w:rsidRPr="00857923">
        <w:rPr>
          <w:rFonts w:ascii="Calibri" w:hAnsi="Calibri"/>
          <w:sz w:val="16"/>
          <w:szCs w:val="16"/>
        </w:rPr>
        <w:t xml:space="preserve"> Eurostat</w:t>
      </w:r>
    </w:p>
  </w:footnote>
  <w:footnote w:id="47">
    <w:p w:rsidR="00C91A1D" w:rsidRDefault="00C91A1D" w:rsidP="003D4430">
      <w:pPr>
        <w:pStyle w:val="FootnoteText"/>
        <w:jc w:val="both"/>
      </w:pPr>
      <w:r w:rsidRPr="00857923">
        <w:rPr>
          <w:rStyle w:val="FootnoteReference"/>
          <w:rFonts w:ascii="Calibri" w:hAnsi="Calibri"/>
          <w:sz w:val="16"/>
          <w:szCs w:val="16"/>
        </w:rPr>
        <w:footnoteRef/>
      </w:r>
      <w:r w:rsidRPr="00857923">
        <w:rPr>
          <w:rFonts w:ascii="Calibri" w:hAnsi="Calibri"/>
          <w:sz w:val="16"/>
          <w:szCs w:val="16"/>
        </w:rPr>
        <w:t xml:space="preserve"> </w:t>
      </w:r>
      <w:r w:rsidRPr="00857923">
        <w:rPr>
          <w:rFonts w:ascii="Calibri" w:hAnsi="Calibri" w:cs="Calibri"/>
          <w:sz w:val="16"/>
          <w:szCs w:val="16"/>
        </w:rPr>
        <w:t>Prehrambeno-prerađivačka industrija, Drvno-prerađivačka industrija, Automobilska industrija, Maritime industrije (brodogradnja i mala brodogradnja), Obrambena industrija, Kreativna industrija, ICT industrija, Tekstilna industrija i proizvodnja kože i obuće, Građevinska industrija, Zdravstvena industrija (farmaceutika i proizvodnja medicinske opreme), Kemijska industrija, Proizvodnja električnih i mehaničkih strojeva i opreme</w:t>
      </w:r>
      <w:r>
        <w:rPr>
          <w:rFonts w:ascii="Calibri" w:hAnsi="Calibri" w:cs="Calibri"/>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A1D" w:rsidRPr="001F7BE0" w:rsidRDefault="00C91A1D" w:rsidP="00FB2884">
    <w:pPr>
      <w:pStyle w:val="Header"/>
      <w:spacing w:before="100" w:beforeAutospacing="1" w:after="100" w:afterAutospacing="1"/>
      <w:rPr>
        <w:sz w:val="32"/>
        <w:szCs w:val="32"/>
      </w:rPr>
    </w:pPr>
    <w:r>
      <w:rPr>
        <w:noProof/>
      </w:rPr>
      <w:drawing>
        <wp:anchor distT="0" distB="0" distL="114300" distR="114300" simplePos="0" relativeHeight="251660288" behindDoc="0" locked="0" layoutInCell="1" allowOverlap="1" wp14:anchorId="59CBA095" wp14:editId="73DC5FA6">
          <wp:simplePos x="0" y="0"/>
          <wp:positionH relativeFrom="column">
            <wp:posOffset>-145415</wp:posOffset>
          </wp:positionH>
          <wp:positionV relativeFrom="paragraph">
            <wp:posOffset>-365125</wp:posOffset>
          </wp:positionV>
          <wp:extent cx="765175" cy="749300"/>
          <wp:effectExtent l="19050" t="0" r="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l="32713" t="8205" r="34338" b="34773"/>
                  <a:stretch>
                    <a:fillRect/>
                  </a:stretch>
                </pic:blipFill>
                <pic:spPr bwMode="auto">
                  <a:xfrm>
                    <a:off x="0" y="0"/>
                    <a:ext cx="765175" cy="749300"/>
                  </a:xfrm>
                  <a:prstGeom prst="rect">
                    <a:avLst/>
                  </a:prstGeom>
                  <a:noFill/>
                </pic:spPr>
              </pic:pic>
            </a:graphicData>
          </a:graphic>
        </wp:anchor>
      </w:drawing>
    </w:r>
    <w:r>
      <w:rPr>
        <w:sz w:val="16"/>
        <w:szCs w:val="16"/>
      </w:rPr>
      <w:t xml:space="preserve">  LOGO            </w:t>
    </w:r>
    <w:r>
      <w:rPr>
        <w:sz w:val="32"/>
        <w:szCs w:val="32"/>
      </w:rPr>
      <w:t xml:space="preserve"> </w:t>
    </w:r>
    <w:r w:rsidRPr="001F7BE0">
      <w:rPr>
        <w:sz w:val="18"/>
        <w:szCs w:val="18"/>
      </w:rPr>
      <w:t>MINISTARSTVO GOSPODARSTVA</w:t>
    </w:r>
    <w:r>
      <w:rPr>
        <w:sz w:val="32"/>
        <w:szCs w:val="32"/>
      </w:rPr>
      <w:t xml:space="preserve">        </w:t>
    </w:r>
    <w:r w:rsidRPr="00FB2884">
      <w:rPr>
        <w:i/>
        <w:sz w:val="16"/>
        <w:szCs w:val="16"/>
      </w:rPr>
      <w:t>Strategija poticanja investicija u Repub</w:t>
    </w:r>
    <w:r>
      <w:rPr>
        <w:i/>
        <w:sz w:val="16"/>
        <w:szCs w:val="16"/>
      </w:rPr>
      <w:t>lici Hrvatskoj za razdoblje 2014</w:t>
    </w:r>
    <w:r w:rsidRPr="00FB2884">
      <w:rPr>
        <w:i/>
        <w:sz w:val="16"/>
        <w:szCs w:val="16"/>
      </w:rPr>
      <w:t>.</w:t>
    </w:r>
    <w:r>
      <w:rPr>
        <w:i/>
        <w:sz w:val="16"/>
        <w:szCs w:val="16"/>
      </w:rPr>
      <w:t xml:space="preserve"> – </w:t>
    </w:r>
    <w:r w:rsidRPr="00FB2884">
      <w:rPr>
        <w:i/>
        <w:sz w:val="16"/>
        <w:szCs w:val="16"/>
      </w:rPr>
      <w:t>2020</w:t>
    </w:r>
    <w:r>
      <w:rPr>
        <w:i/>
        <w:sz w:val="16"/>
        <w:szCs w:val="16"/>
      </w:rPr>
      <w:t xml:space="preserve">. </w:t>
    </w:r>
  </w:p>
  <w:p w:rsidR="00C91A1D" w:rsidRDefault="00C91A1D">
    <w:pPr>
      <w:pStyle w:val="Header"/>
    </w:pPr>
  </w:p>
  <w:p w:rsidR="00C91A1D" w:rsidRDefault="00C91A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32CCCEC"/>
    <w:lvl w:ilvl="0">
      <w:start w:val="1"/>
      <w:numFmt w:val="bullet"/>
      <w:lvlText w:val=""/>
      <w:lvlJc w:val="left"/>
      <w:pPr>
        <w:tabs>
          <w:tab w:val="num" w:pos="360"/>
        </w:tabs>
        <w:ind w:left="360" w:hanging="360"/>
      </w:pPr>
      <w:rPr>
        <w:rFonts w:ascii="Symbol" w:hAnsi="Symbol" w:hint="default"/>
      </w:rPr>
    </w:lvl>
  </w:abstractNum>
  <w:abstractNum w:abstractNumId="1">
    <w:nsid w:val="00C64D09"/>
    <w:multiLevelType w:val="hybridMultilevel"/>
    <w:tmpl w:val="205E1C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1332312"/>
    <w:multiLevelType w:val="hybridMultilevel"/>
    <w:tmpl w:val="33803CA8"/>
    <w:lvl w:ilvl="0" w:tplc="041A0011">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3">
    <w:nsid w:val="03C96742"/>
    <w:multiLevelType w:val="multilevel"/>
    <w:tmpl w:val="22CC6A2C"/>
    <w:lvl w:ilvl="0">
      <w:start w:val="1"/>
      <w:numFmt w:val="bullet"/>
      <w:lvlText w:val="•"/>
      <w:lvlJc w:val="left"/>
      <w:rPr>
        <w:rFonts w:ascii="Arial" w:eastAsia="Times New Roman" w:hAnsi="Arial"/>
        <w:b w:val="0"/>
        <w:i w:val="0"/>
        <w:smallCaps w:val="0"/>
        <w:strike w:val="0"/>
        <w:color w:val="000000"/>
        <w:spacing w:val="2"/>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41D70A5"/>
    <w:multiLevelType w:val="hybridMultilevel"/>
    <w:tmpl w:val="6D00163C"/>
    <w:lvl w:ilvl="0" w:tplc="26E0C672">
      <w:numFmt w:val="bullet"/>
      <w:lvlText w:val=""/>
      <w:lvlJc w:val="left"/>
      <w:pPr>
        <w:ind w:left="1065" w:hanging="705"/>
      </w:pPr>
      <w:rPr>
        <w:rFonts w:ascii="Wingdings" w:hAnsi="Wingdings" w:hint="default"/>
        <w:sz w:val="20"/>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07FB5B0A"/>
    <w:multiLevelType w:val="multilevel"/>
    <w:tmpl w:val="9558B9F2"/>
    <w:lvl w:ilvl="0">
      <w:start w:val="1"/>
      <w:numFmt w:val="bullet"/>
      <w:lvlText w:val="•"/>
      <w:lvlJc w:val="left"/>
      <w:rPr>
        <w:rFonts w:ascii="Arial" w:eastAsia="Times New Roman" w:hAnsi="Arial"/>
        <w:b w:val="0"/>
        <w:i w:val="0"/>
        <w:smallCaps w:val="0"/>
        <w:strike w:val="0"/>
        <w:color w:val="000000"/>
        <w:spacing w:val="2"/>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212B2BD5"/>
    <w:multiLevelType w:val="multilevel"/>
    <w:tmpl w:val="B1ACA740"/>
    <w:lvl w:ilvl="0">
      <w:start w:val="1"/>
      <w:numFmt w:val="bullet"/>
      <w:lvlText w:val="•"/>
      <w:lvlJc w:val="left"/>
      <w:rPr>
        <w:rFonts w:ascii="Arial" w:eastAsia="Times New Roman" w:hAnsi="Arial"/>
        <w:b w:val="0"/>
        <w:i w:val="0"/>
        <w:smallCaps w:val="0"/>
        <w:strike w:val="0"/>
        <w:color w:val="000000"/>
        <w:spacing w:val="2"/>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23D611D5"/>
    <w:multiLevelType w:val="hybridMultilevel"/>
    <w:tmpl w:val="BA4EE484"/>
    <w:lvl w:ilvl="0" w:tplc="3976DA48">
      <w:start w:val="3"/>
      <w:numFmt w:val="bullet"/>
      <w:lvlText w:val="-"/>
      <w:lvlJc w:val="left"/>
      <w:pPr>
        <w:ind w:left="1155" w:hanging="360"/>
      </w:pPr>
      <w:rPr>
        <w:rFonts w:ascii="Calibri" w:eastAsia="Times New Roman" w:hAnsi="Calibri" w:cs="Times New Roman"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8">
    <w:nsid w:val="251A0C79"/>
    <w:multiLevelType w:val="multilevel"/>
    <w:tmpl w:val="548AB3FE"/>
    <w:lvl w:ilvl="0">
      <w:start w:val="1"/>
      <w:numFmt w:val="bullet"/>
      <w:lvlText w:val="•"/>
      <w:lvlJc w:val="left"/>
      <w:rPr>
        <w:rFonts w:ascii="Arial" w:eastAsia="Times New Roman" w:hAnsi="Arial"/>
        <w:b w:val="0"/>
        <w:i w:val="0"/>
        <w:smallCaps w:val="0"/>
        <w:strike w:val="0"/>
        <w:color w:val="000000"/>
        <w:spacing w:val="2"/>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27CB4B24"/>
    <w:multiLevelType w:val="hybridMultilevel"/>
    <w:tmpl w:val="D73007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2AEA0EF5"/>
    <w:multiLevelType w:val="hybridMultilevel"/>
    <w:tmpl w:val="10C0E4DE"/>
    <w:lvl w:ilvl="0" w:tplc="26E0C672">
      <w:numFmt w:val="bullet"/>
      <w:lvlText w:val=""/>
      <w:lvlJc w:val="left"/>
      <w:pPr>
        <w:ind w:left="1065" w:hanging="705"/>
      </w:pPr>
      <w:rPr>
        <w:rFonts w:ascii="Wingdings" w:hAnsi="Wingdings" w:hint="default"/>
        <w:sz w:val="20"/>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2DB8268A"/>
    <w:multiLevelType w:val="multilevel"/>
    <w:tmpl w:val="7DE2DFDA"/>
    <w:lvl w:ilvl="0">
      <w:start w:val="1"/>
      <w:numFmt w:val="bullet"/>
      <w:lvlText w:val="•"/>
      <w:lvlJc w:val="left"/>
      <w:rPr>
        <w:rFonts w:ascii="Arial" w:eastAsia="Times New Roman" w:hAnsi="Arial"/>
        <w:b w:val="0"/>
        <w:i w:val="0"/>
        <w:smallCaps w:val="0"/>
        <w:strike w:val="0"/>
        <w:color w:val="000000"/>
        <w:spacing w:val="2"/>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2E2A3695"/>
    <w:multiLevelType w:val="hybridMultilevel"/>
    <w:tmpl w:val="6BBA5D3A"/>
    <w:lvl w:ilvl="0" w:tplc="7F5C6FA8">
      <w:start w:val="1"/>
      <w:numFmt w:val="bullet"/>
      <w:lvlText w:val=""/>
      <w:lvlJc w:val="center"/>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2F120FBB"/>
    <w:multiLevelType w:val="multilevel"/>
    <w:tmpl w:val="7438FE94"/>
    <w:lvl w:ilvl="0">
      <w:start w:val="1"/>
      <w:numFmt w:val="bullet"/>
      <w:lvlText w:val="•"/>
      <w:lvlJc w:val="left"/>
      <w:rPr>
        <w:rFonts w:ascii="Arial" w:eastAsia="Times New Roman" w:hAnsi="Arial"/>
        <w:b w:val="0"/>
        <w:i w:val="0"/>
        <w:smallCaps w:val="0"/>
        <w:strike w:val="0"/>
        <w:color w:val="000000"/>
        <w:spacing w:val="2"/>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30B72167"/>
    <w:multiLevelType w:val="multilevel"/>
    <w:tmpl w:val="3912F1BA"/>
    <w:lvl w:ilvl="0">
      <w:start w:val="1"/>
      <w:numFmt w:val="bullet"/>
      <w:lvlText w:val="•"/>
      <w:lvlJc w:val="left"/>
      <w:rPr>
        <w:rFonts w:ascii="Arial" w:eastAsia="Times New Roman" w:hAnsi="Arial"/>
        <w:b w:val="0"/>
        <w:i w:val="0"/>
        <w:smallCaps w:val="0"/>
        <w:strike w:val="0"/>
        <w:color w:val="000000"/>
        <w:spacing w:val="2"/>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36604671"/>
    <w:multiLevelType w:val="hybridMultilevel"/>
    <w:tmpl w:val="6A883F08"/>
    <w:lvl w:ilvl="0" w:tplc="74DA644E">
      <w:start w:val="1"/>
      <w:numFmt w:val="bullet"/>
      <w:lvlText w:val=""/>
      <w:lvlJc w:val="left"/>
      <w:pPr>
        <w:tabs>
          <w:tab w:val="num" w:pos="34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E2024E8"/>
    <w:multiLevelType w:val="multilevel"/>
    <w:tmpl w:val="2188DE3A"/>
    <w:lvl w:ilvl="0">
      <w:start w:val="1"/>
      <w:numFmt w:val="bullet"/>
      <w:lvlText w:val="•"/>
      <w:lvlJc w:val="left"/>
      <w:rPr>
        <w:rFonts w:ascii="Arial" w:eastAsia="Times New Roman" w:hAnsi="Arial"/>
        <w:b w:val="0"/>
        <w:i w:val="0"/>
        <w:smallCaps w:val="0"/>
        <w:strike w:val="0"/>
        <w:color w:val="000000"/>
        <w:spacing w:val="2"/>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414E05CF"/>
    <w:multiLevelType w:val="hybridMultilevel"/>
    <w:tmpl w:val="63DA3A6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42E465F1"/>
    <w:multiLevelType w:val="multilevel"/>
    <w:tmpl w:val="1D2C6862"/>
    <w:lvl w:ilvl="0">
      <w:start w:val="1"/>
      <w:numFmt w:val="bullet"/>
      <w:lvlText w:val="•"/>
      <w:lvlJc w:val="left"/>
      <w:rPr>
        <w:rFonts w:ascii="Arial" w:eastAsia="Times New Roman" w:hAnsi="Arial"/>
        <w:b w:val="0"/>
        <w:i w:val="0"/>
        <w:smallCaps w:val="0"/>
        <w:strike w:val="0"/>
        <w:color w:val="000000"/>
        <w:spacing w:val="2"/>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44355EE1"/>
    <w:multiLevelType w:val="hybridMultilevel"/>
    <w:tmpl w:val="2D9E6E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477B7CCF"/>
    <w:multiLevelType w:val="multilevel"/>
    <w:tmpl w:val="EDA4576E"/>
    <w:lvl w:ilvl="0">
      <w:start w:val="2"/>
      <w:numFmt w:val="decimal"/>
      <w:pStyle w:val="TableofFigures"/>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nsid w:val="4CC26393"/>
    <w:multiLevelType w:val="multilevel"/>
    <w:tmpl w:val="B9A6C000"/>
    <w:lvl w:ilvl="0">
      <w:start w:val="1"/>
      <w:numFmt w:val="bullet"/>
      <w:lvlText w:val="•"/>
      <w:lvlJc w:val="left"/>
      <w:rPr>
        <w:rFonts w:ascii="Arial" w:eastAsia="Times New Roman" w:hAnsi="Arial"/>
        <w:b w:val="0"/>
        <w:i w:val="0"/>
        <w:smallCaps w:val="0"/>
        <w:strike w:val="0"/>
        <w:color w:val="000000"/>
        <w:spacing w:val="2"/>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50191F7E"/>
    <w:multiLevelType w:val="multilevel"/>
    <w:tmpl w:val="9ADEC088"/>
    <w:lvl w:ilvl="0">
      <w:start w:val="1"/>
      <w:numFmt w:val="bullet"/>
      <w:lvlText w:val="•"/>
      <w:lvlJc w:val="left"/>
      <w:rPr>
        <w:rFonts w:ascii="Arial" w:eastAsia="Times New Roman" w:hAnsi="Arial"/>
        <w:b w:val="0"/>
        <w:i w:val="0"/>
        <w:smallCaps w:val="0"/>
        <w:strike w:val="0"/>
        <w:color w:val="000000"/>
        <w:spacing w:val="2"/>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50C975AD"/>
    <w:multiLevelType w:val="multilevel"/>
    <w:tmpl w:val="8FFAD894"/>
    <w:lvl w:ilvl="0">
      <w:start w:val="1"/>
      <w:numFmt w:val="bullet"/>
      <w:lvlText w:val="•"/>
      <w:lvlJc w:val="left"/>
      <w:rPr>
        <w:rFonts w:ascii="Arial" w:eastAsia="Times New Roman" w:hAnsi="Arial"/>
        <w:b w:val="0"/>
        <w:i w:val="0"/>
        <w:smallCaps w:val="0"/>
        <w:strike w:val="0"/>
        <w:color w:val="000000"/>
        <w:spacing w:val="2"/>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582A7B6C"/>
    <w:multiLevelType w:val="hybridMultilevel"/>
    <w:tmpl w:val="6CF68A44"/>
    <w:lvl w:ilvl="0" w:tplc="BDE6CE24">
      <w:start w:val="1"/>
      <w:numFmt w:val="bullet"/>
      <w:lvlText w:val=""/>
      <w:lvlJc w:val="left"/>
      <w:pPr>
        <w:tabs>
          <w:tab w:val="num" w:pos="34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A301D5B"/>
    <w:multiLevelType w:val="multilevel"/>
    <w:tmpl w:val="B6A68BBA"/>
    <w:lvl w:ilvl="0">
      <w:start w:val="1"/>
      <w:numFmt w:val="bullet"/>
      <w:lvlText w:val="•"/>
      <w:lvlJc w:val="left"/>
      <w:rPr>
        <w:rFonts w:ascii="Arial" w:eastAsia="Times New Roman" w:hAnsi="Arial"/>
        <w:b w:val="0"/>
        <w:i w:val="0"/>
        <w:smallCaps w:val="0"/>
        <w:strike w:val="0"/>
        <w:color w:val="000000"/>
        <w:spacing w:val="2"/>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5C4508A5"/>
    <w:multiLevelType w:val="hybridMultilevel"/>
    <w:tmpl w:val="0828693E"/>
    <w:lvl w:ilvl="0" w:tplc="BDE6CE24">
      <w:start w:val="1"/>
      <w:numFmt w:val="bullet"/>
      <w:lvlText w:val=""/>
      <w:lvlJc w:val="left"/>
      <w:pPr>
        <w:tabs>
          <w:tab w:val="num" w:pos="340"/>
        </w:tabs>
        <w:ind w:left="360" w:hanging="360"/>
      </w:pPr>
      <w:rPr>
        <w:rFonts w:ascii="Wingdings" w:hAnsi="Wingdings" w:hint="default"/>
      </w:rPr>
    </w:lvl>
    <w:lvl w:ilvl="1" w:tplc="041A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E582033"/>
    <w:multiLevelType w:val="hybridMultilevel"/>
    <w:tmpl w:val="BD421A4A"/>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8">
    <w:nsid w:val="5E7509C1"/>
    <w:multiLevelType w:val="hybridMultilevel"/>
    <w:tmpl w:val="E64A315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62D25B64"/>
    <w:multiLevelType w:val="hybridMultilevel"/>
    <w:tmpl w:val="4BD0E7AE"/>
    <w:lvl w:ilvl="0" w:tplc="743826C2">
      <w:start w:val="3"/>
      <w:numFmt w:val="bullet"/>
      <w:lvlText w:val="-"/>
      <w:lvlJc w:val="left"/>
      <w:pPr>
        <w:ind w:left="720" w:hanging="360"/>
      </w:pPr>
      <w:rPr>
        <w:rFonts w:ascii="Calibri" w:eastAsia="Times New Roman" w:hAnsi="Calibri"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000017"/>
    <w:multiLevelType w:val="multilevel"/>
    <w:tmpl w:val="3F367BE4"/>
    <w:lvl w:ilvl="0">
      <w:start w:val="1"/>
      <w:numFmt w:val="bullet"/>
      <w:lvlText w:val="•"/>
      <w:lvlJc w:val="left"/>
      <w:rPr>
        <w:rFonts w:ascii="Arial" w:eastAsia="Times New Roman" w:hAnsi="Arial"/>
        <w:b w:val="0"/>
        <w:i w:val="0"/>
        <w:smallCaps w:val="0"/>
        <w:strike w:val="0"/>
        <w:color w:val="000000"/>
        <w:spacing w:val="2"/>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76B00071"/>
    <w:multiLevelType w:val="multilevel"/>
    <w:tmpl w:val="19702292"/>
    <w:lvl w:ilvl="0">
      <w:start w:val="1"/>
      <w:numFmt w:val="bullet"/>
      <w:lvlText w:val="•"/>
      <w:lvlJc w:val="left"/>
      <w:rPr>
        <w:rFonts w:ascii="Arial" w:eastAsia="Times New Roman" w:hAnsi="Arial"/>
        <w:b w:val="0"/>
        <w:i w:val="0"/>
        <w:smallCaps w:val="0"/>
        <w:strike w:val="0"/>
        <w:color w:val="000000"/>
        <w:spacing w:val="2"/>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7B037EB6"/>
    <w:multiLevelType w:val="hybridMultilevel"/>
    <w:tmpl w:val="5BFAF22C"/>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33">
    <w:nsid w:val="7D3534EC"/>
    <w:multiLevelType w:val="multilevel"/>
    <w:tmpl w:val="DC4A90FA"/>
    <w:lvl w:ilvl="0">
      <w:start w:val="1"/>
      <w:numFmt w:val="bullet"/>
      <w:lvlText w:val="•"/>
      <w:lvlJc w:val="left"/>
      <w:rPr>
        <w:rFonts w:ascii="Arial" w:eastAsia="Times New Roman" w:hAnsi="Arial"/>
        <w:b w:val="0"/>
        <w:i w:val="0"/>
        <w:smallCaps w:val="0"/>
        <w:strike w:val="0"/>
        <w:color w:val="000000"/>
        <w:spacing w:val="2"/>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20"/>
  </w:num>
  <w:num w:numId="10">
    <w:abstractNumId w:val="28"/>
  </w:num>
  <w:num w:numId="11">
    <w:abstractNumId w:val="26"/>
  </w:num>
  <w:num w:numId="12">
    <w:abstractNumId w:val="15"/>
  </w:num>
  <w:num w:numId="13">
    <w:abstractNumId w:val="24"/>
  </w:num>
  <w:num w:numId="14">
    <w:abstractNumId w:val="2"/>
  </w:num>
  <w:num w:numId="15">
    <w:abstractNumId w:val="10"/>
  </w:num>
  <w:num w:numId="16">
    <w:abstractNumId w:val="4"/>
  </w:num>
  <w:num w:numId="17">
    <w:abstractNumId w:val="12"/>
  </w:num>
  <w:num w:numId="18">
    <w:abstractNumId w:val="19"/>
  </w:num>
  <w:num w:numId="19">
    <w:abstractNumId w:val="6"/>
  </w:num>
  <w:num w:numId="20">
    <w:abstractNumId w:val="25"/>
  </w:num>
  <w:num w:numId="21">
    <w:abstractNumId w:val="3"/>
  </w:num>
  <w:num w:numId="22">
    <w:abstractNumId w:val="23"/>
  </w:num>
  <w:num w:numId="23">
    <w:abstractNumId w:val="11"/>
  </w:num>
  <w:num w:numId="24">
    <w:abstractNumId w:val="13"/>
  </w:num>
  <w:num w:numId="25">
    <w:abstractNumId w:val="5"/>
  </w:num>
  <w:num w:numId="26">
    <w:abstractNumId w:val="31"/>
  </w:num>
  <w:num w:numId="27">
    <w:abstractNumId w:val="22"/>
  </w:num>
  <w:num w:numId="28">
    <w:abstractNumId w:val="21"/>
  </w:num>
  <w:num w:numId="29">
    <w:abstractNumId w:val="16"/>
  </w:num>
  <w:num w:numId="30">
    <w:abstractNumId w:val="30"/>
  </w:num>
  <w:num w:numId="31">
    <w:abstractNumId w:val="8"/>
  </w:num>
  <w:num w:numId="32">
    <w:abstractNumId w:val="18"/>
  </w:num>
  <w:num w:numId="33">
    <w:abstractNumId w:val="33"/>
  </w:num>
  <w:num w:numId="34">
    <w:abstractNumId w:val="14"/>
  </w:num>
  <w:num w:numId="35">
    <w:abstractNumId w:val="32"/>
  </w:num>
  <w:num w:numId="36">
    <w:abstractNumId w:val="27"/>
  </w:num>
  <w:num w:numId="37">
    <w:abstractNumId w:val="29"/>
  </w:num>
  <w:num w:numId="38">
    <w:abstractNumId w:val="7"/>
  </w:num>
  <w:num w:numId="39">
    <w:abstractNumId w:val="17"/>
  </w:num>
  <w:num w:numId="40">
    <w:abstractNumId w:val="9"/>
  </w:num>
  <w:num w:numId="41">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9B9"/>
    <w:rsid w:val="000034C8"/>
    <w:rsid w:val="00003F65"/>
    <w:rsid w:val="00004E7E"/>
    <w:rsid w:val="00005D88"/>
    <w:rsid w:val="000067CA"/>
    <w:rsid w:val="000074D0"/>
    <w:rsid w:val="00010666"/>
    <w:rsid w:val="00011BB1"/>
    <w:rsid w:val="00011BF7"/>
    <w:rsid w:val="00013EC4"/>
    <w:rsid w:val="000203FB"/>
    <w:rsid w:val="000209A4"/>
    <w:rsid w:val="000219AD"/>
    <w:rsid w:val="00021BD1"/>
    <w:rsid w:val="00021F9B"/>
    <w:rsid w:val="000234C3"/>
    <w:rsid w:val="0003232D"/>
    <w:rsid w:val="00035DC4"/>
    <w:rsid w:val="000419A4"/>
    <w:rsid w:val="0004258A"/>
    <w:rsid w:val="00044A2A"/>
    <w:rsid w:val="00044B50"/>
    <w:rsid w:val="00046170"/>
    <w:rsid w:val="000462A3"/>
    <w:rsid w:val="00046AA7"/>
    <w:rsid w:val="000471EB"/>
    <w:rsid w:val="00051858"/>
    <w:rsid w:val="00052750"/>
    <w:rsid w:val="00052825"/>
    <w:rsid w:val="00052E93"/>
    <w:rsid w:val="0005331D"/>
    <w:rsid w:val="0005347E"/>
    <w:rsid w:val="00054740"/>
    <w:rsid w:val="00054F56"/>
    <w:rsid w:val="00055152"/>
    <w:rsid w:val="00057A18"/>
    <w:rsid w:val="000625B5"/>
    <w:rsid w:val="00062D1D"/>
    <w:rsid w:val="000638E1"/>
    <w:rsid w:val="00064F2A"/>
    <w:rsid w:val="00065725"/>
    <w:rsid w:val="000667A1"/>
    <w:rsid w:val="0006788B"/>
    <w:rsid w:val="0007011A"/>
    <w:rsid w:val="000738B7"/>
    <w:rsid w:val="00076DB8"/>
    <w:rsid w:val="00077254"/>
    <w:rsid w:val="00080832"/>
    <w:rsid w:val="00081C00"/>
    <w:rsid w:val="000867AD"/>
    <w:rsid w:val="00087AA3"/>
    <w:rsid w:val="00090DF9"/>
    <w:rsid w:val="000915EF"/>
    <w:rsid w:val="0009174A"/>
    <w:rsid w:val="00093249"/>
    <w:rsid w:val="00093E7F"/>
    <w:rsid w:val="000941D6"/>
    <w:rsid w:val="000962EB"/>
    <w:rsid w:val="000963FC"/>
    <w:rsid w:val="000A0FB5"/>
    <w:rsid w:val="000A2812"/>
    <w:rsid w:val="000A6EFB"/>
    <w:rsid w:val="000A7188"/>
    <w:rsid w:val="000B19E6"/>
    <w:rsid w:val="000B1D3E"/>
    <w:rsid w:val="000B48FC"/>
    <w:rsid w:val="000C1520"/>
    <w:rsid w:val="000C3450"/>
    <w:rsid w:val="000C63DB"/>
    <w:rsid w:val="000C63E6"/>
    <w:rsid w:val="000D056E"/>
    <w:rsid w:val="000D25B3"/>
    <w:rsid w:val="000D3B4C"/>
    <w:rsid w:val="000D3F7F"/>
    <w:rsid w:val="000E048F"/>
    <w:rsid w:val="000E06DE"/>
    <w:rsid w:val="000E1074"/>
    <w:rsid w:val="000E2850"/>
    <w:rsid w:val="000E2C2D"/>
    <w:rsid w:val="000E30A0"/>
    <w:rsid w:val="000E3268"/>
    <w:rsid w:val="000E3782"/>
    <w:rsid w:val="000E3B36"/>
    <w:rsid w:val="000E3C31"/>
    <w:rsid w:val="000E3D2D"/>
    <w:rsid w:val="000F06DA"/>
    <w:rsid w:val="000F2580"/>
    <w:rsid w:val="000F424D"/>
    <w:rsid w:val="000F465D"/>
    <w:rsid w:val="000F76F4"/>
    <w:rsid w:val="001009A9"/>
    <w:rsid w:val="001020CC"/>
    <w:rsid w:val="00105D30"/>
    <w:rsid w:val="0011236A"/>
    <w:rsid w:val="00113549"/>
    <w:rsid w:val="001135A4"/>
    <w:rsid w:val="00115685"/>
    <w:rsid w:val="00115D32"/>
    <w:rsid w:val="00122013"/>
    <w:rsid w:val="00122512"/>
    <w:rsid w:val="0012285B"/>
    <w:rsid w:val="00123E43"/>
    <w:rsid w:val="00124537"/>
    <w:rsid w:val="001257E3"/>
    <w:rsid w:val="0012682A"/>
    <w:rsid w:val="001314FB"/>
    <w:rsid w:val="001320E5"/>
    <w:rsid w:val="001321D3"/>
    <w:rsid w:val="00135371"/>
    <w:rsid w:val="00137E69"/>
    <w:rsid w:val="001428F3"/>
    <w:rsid w:val="00143D52"/>
    <w:rsid w:val="00144F73"/>
    <w:rsid w:val="001462C1"/>
    <w:rsid w:val="001467D6"/>
    <w:rsid w:val="00147CB7"/>
    <w:rsid w:val="00147DDB"/>
    <w:rsid w:val="00152D4A"/>
    <w:rsid w:val="001535BA"/>
    <w:rsid w:val="00154645"/>
    <w:rsid w:val="00156548"/>
    <w:rsid w:val="00157BFA"/>
    <w:rsid w:val="0016043D"/>
    <w:rsid w:val="00163DE9"/>
    <w:rsid w:val="00164E97"/>
    <w:rsid w:val="00165FE9"/>
    <w:rsid w:val="00166441"/>
    <w:rsid w:val="001677D7"/>
    <w:rsid w:val="00171868"/>
    <w:rsid w:val="00175574"/>
    <w:rsid w:val="00176AED"/>
    <w:rsid w:val="00177115"/>
    <w:rsid w:val="001771C5"/>
    <w:rsid w:val="0018134E"/>
    <w:rsid w:val="001832ED"/>
    <w:rsid w:val="0018333D"/>
    <w:rsid w:val="001843FF"/>
    <w:rsid w:val="00184BCB"/>
    <w:rsid w:val="00192667"/>
    <w:rsid w:val="001946EF"/>
    <w:rsid w:val="001948C5"/>
    <w:rsid w:val="00194C67"/>
    <w:rsid w:val="00196229"/>
    <w:rsid w:val="00197F28"/>
    <w:rsid w:val="001A00DF"/>
    <w:rsid w:val="001A7F70"/>
    <w:rsid w:val="001B2E89"/>
    <w:rsid w:val="001B32A3"/>
    <w:rsid w:val="001C0D9F"/>
    <w:rsid w:val="001C3378"/>
    <w:rsid w:val="001C3754"/>
    <w:rsid w:val="001C4D53"/>
    <w:rsid w:val="001C559A"/>
    <w:rsid w:val="001C72F1"/>
    <w:rsid w:val="001D35F5"/>
    <w:rsid w:val="001D3CEA"/>
    <w:rsid w:val="001D4535"/>
    <w:rsid w:val="001D4D54"/>
    <w:rsid w:val="001D55D9"/>
    <w:rsid w:val="001D5CCE"/>
    <w:rsid w:val="001D7509"/>
    <w:rsid w:val="001E2140"/>
    <w:rsid w:val="001E2F45"/>
    <w:rsid w:val="001E4456"/>
    <w:rsid w:val="001E605C"/>
    <w:rsid w:val="001E676A"/>
    <w:rsid w:val="001F05EE"/>
    <w:rsid w:val="001F2C0A"/>
    <w:rsid w:val="001F4002"/>
    <w:rsid w:val="001F44E7"/>
    <w:rsid w:val="001F496A"/>
    <w:rsid w:val="001F4E39"/>
    <w:rsid w:val="001F7285"/>
    <w:rsid w:val="001F7BE0"/>
    <w:rsid w:val="00200FE4"/>
    <w:rsid w:val="00201585"/>
    <w:rsid w:val="00202C5E"/>
    <w:rsid w:val="00205536"/>
    <w:rsid w:val="0020774D"/>
    <w:rsid w:val="00210A88"/>
    <w:rsid w:val="002112B0"/>
    <w:rsid w:val="00212DB9"/>
    <w:rsid w:val="00220CE4"/>
    <w:rsid w:val="00221A61"/>
    <w:rsid w:val="00221D42"/>
    <w:rsid w:val="0022338F"/>
    <w:rsid w:val="00225179"/>
    <w:rsid w:val="002267D8"/>
    <w:rsid w:val="00227492"/>
    <w:rsid w:val="00227EC1"/>
    <w:rsid w:val="00230928"/>
    <w:rsid w:val="0023474F"/>
    <w:rsid w:val="00234F7C"/>
    <w:rsid w:val="002360E4"/>
    <w:rsid w:val="002367BF"/>
    <w:rsid w:val="002406DA"/>
    <w:rsid w:val="002426CF"/>
    <w:rsid w:val="00242A02"/>
    <w:rsid w:val="00242C38"/>
    <w:rsid w:val="002445AC"/>
    <w:rsid w:val="002446E9"/>
    <w:rsid w:val="00247E22"/>
    <w:rsid w:val="0025003B"/>
    <w:rsid w:val="0025058A"/>
    <w:rsid w:val="00250A56"/>
    <w:rsid w:val="0025273B"/>
    <w:rsid w:val="00253124"/>
    <w:rsid w:val="00253567"/>
    <w:rsid w:val="00253B97"/>
    <w:rsid w:val="00253D99"/>
    <w:rsid w:val="00254BF0"/>
    <w:rsid w:val="00254E62"/>
    <w:rsid w:val="002627D8"/>
    <w:rsid w:val="00264646"/>
    <w:rsid w:val="0026521A"/>
    <w:rsid w:val="00265A34"/>
    <w:rsid w:val="00266B7E"/>
    <w:rsid w:val="00271165"/>
    <w:rsid w:val="002714FF"/>
    <w:rsid w:val="00274CE8"/>
    <w:rsid w:val="00277819"/>
    <w:rsid w:val="002806FF"/>
    <w:rsid w:val="00282957"/>
    <w:rsid w:val="00283D4D"/>
    <w:rsid w:val="00284460"/>
    <w:rsid w:val="00285ECC"/>
    <w:rsid w:val="00286132"/>
    <w:rsid w:val="0028635B"/>
    <w:rsid w:val="0029072C"/>
    <w:rsid w:val="002941BC"/>
    <w:rsid w:val="00294FAC"/>
    <w:rsid w:val="002954F0"/>
    <w:rsid w:val="00296332"/>
    <w:rsid w:val="00297F69"/>
    <w:rsid w:val="00297FBD"/>
    <w:rsid w:val="002A345D"/>
    <w:rsid w:val="002A38FA"/>
    <w:rsid w:val="002A3FE3"/>
    <w:rsid w:val="002A51C0"/>
    <w:rsid w:val="002A55EA"/>
    <w:rsid w:val="002A57FC"/>
    <w:rsid w:val="002B04DC"/>
    <w:rsid w:val="002B1B1E"/>
    <w:rsid w:val="002B1F15"/>
    <w:rsid w:val="002B31A3"/>
    <w:rsid w:val="002B463A"/>
    <w:rsid w:val="002B47CF"/>
    <w:rsid w:val="002B4B76"/>
    <w:rsid w:val="002B4E14"/>
    <w:rsid w:val="002B6920"/>
    <w:rsid w:val="002B73E3"/>
    <w:rsid w:val="002B76CD"/>
    <w:rsid w:val="002B77C9"/>
    <w:rsid w:val="002C22FE"/>
    <w:rsid w:val="002C242F"/>
    <w:rsid w:val="002D3499"/>
    <w:rsid w:val="002D41EC"/>
    <w:rsid w:val="002D60E8"/>
    <w:rsid w:val="002D6568"/>
    <w:rsid w:val="002E059B"/>
    <w:rsid w:val="002E1F44"/>
    <w:rsid w:val="002E2ABF"/>
    <w:rsid w:val="002E4A4A"/>
    <w:rsid w:val="002E5278"/>
    <w:rsid w:val="002F1009"/>
    <w:rsid w:val="002F1844"/>
    <w:rsid w:val="002F2B1D"/>
    <w:rsid w:val="002F3778"/>
    <w:rsid w:val="002F7482"/>
    <w:rsid w:val="002F7A32"/>
    <w:rsid w:val="00301DC2"/>
    <w:rsid w:val="003036B0"/>
    <w:rsid w:val="00303E67"/>
    <w:rsid w:val="0030482D"/>
    <w:rsid w:val="0030500A"/>
    <w:rsid w:val="003076D3"/>
    <w:rsid w:val="003107DB"/>
    <w:rsid w:val="00314963"/>
    <w:rsid w:val="003304F7"/>
    <w:rsid w:val="00330A4F"/>
    <w:rsid w:val="00330D90"/>
    <w:rsid w:val="00331475"/>
    <w:rsid w:val="003341F2"/>
    <w:rsid w:val="00334A50"/>
    <w:rsid w:val="003351C8"/>
    <w:rsid w:val="00337BC1"/>
    <w:rsid w:val="0034006F"/>
    <w:rsid w:val="003408D8"/>
    <w:rsid w:val="00340A30"/>
    <w:rsid w:val="00340C5A"/>
    <w:rsid w:val="0034573F"/>
    <w:rsid w:val="00346F82"/>
    <w:rsid w:val="0035020B"/>
    <w:rsid w:val="003517FE"/>
    <w:rsid w:val="00351A63"/>
    <w:rsid w:val="003520DE"/>
    <w:rsid w:val="00352457"/>
    <w:rsid w:val="003534FA"/>
    <w:rsid w:val="00355440"/>
    <w:rsid w:val="00355DA1"/>
    <w:rsid w:val="00356598"/>
    <w:rsid w:val="003609BE"/>
    <w:rsid w:val="00361F3A"/>
    <w:rsid w:val="00362A8D"/>
    <w:rsid w:val="00362B64"/>
    <w:rsid w:val="003646B3"/>
    <w:rsid w:val="00365192"/>
    <w:rsid w:val="00373662"/>
    <w:rsid w:val="00374A55"/>
    <w:rsid w:val="00376A25"/>
    <w:rsid w:val="00376FA1"/>
    <w:rsid w:val="003774EB"/>
    <w:rsid w:val="00382162"/>
    <w:rsid w:val="0038584B"/>
    <w:rsid w:val="00385E50"/>
    <w:rsid w:val="00387AAC"/>
    <w:rsid w:val="00387ECA"/>
    <w:rsid w:val="00390D1A"/>
    <w:rsid w:val="00393B35"/>
    <w:rsid w:val="00393F3A"/>
    <w:rsid w:val="003946C6"/>
    <w:rsid w:val="00396DED"/>
    <w:rsid w:val="003A1C12"/>
    <w:rsid w:val="003A2120"/>
    <w:rsid w:val="003A31BC"/>
    <w:rsid w:val="003A3C4C"/>
    <w:rsid w:val="003A3C9D"/>
    <w:rsid w:val="003A4A83"/>
    <w:rsid w:val="003B29DC"/>
    <w:rsid w:val="003B2FFD"/>
    <w:rsid w:val="003B3AE4"/>
    <w:rsid w:val="003B7B64"/>
    <w:rsid w:val="003B7BDD"/>
    <w:rsid w:val="003C016A"/>
    <w:rsid w:val="003C0FE4"/>
    <w:rsid w:val="003C172B"/>
    <w:rsid w:val="003C7119"/>
    <w:rsid w:val="003D06EF"/>
    <w:rsid w:val="003D4430"/>
    <w:rsid w:val="003D78CB"/>
    <w:rsid w:val="003E142A"/>
    <w:rsid w:val="003E3D78"/>
    <w:rsid w:val="003E49BE"/>
    <w:rsid w:val="003E5A96"/>
    <w:rsid w:val="003E6B0A"/>
    <w:rsid w:val="003E71F3"/>
    <w:rsid w:val="003E7A1C"/>
    <w:rsid w:val="003F30C9"/>
    <w:rsid w:val="003F6105"/>
    <w:rsid w:val="003F6D9B"/>
    <w:rsid w:val="004013D6"/>
    <w:rsid w:val="004018D4"/>
    <w:rsid w:val="0040444F"/>
    <w:rsid w:val="0040561B"/>
    <w:rsid w:val="00406315"/>
    <w:rsid w:val="00407344"/>
    <w:rsid w:val="00412D98"/>
    <w:rsid w:val="00413FAD"/>
    <w:rsid w:val="004165A8"/>
    <w:rsid w:val="00416B03"/>
    <w:rsid w:val="00417679"/>
    <w:rsid w:val="00421C63"/>
    <w:rsid w:val="004235BC"/>
    <w:rsid w:val="00424267"/>
    <w:rsid w:val="00425E7F"/>
    <w:rsid w:val="00426FCD"/>
    <w:rsid w:val="00431A12"/>
    <w:rsid w:val="0043334F"/>
    <w:rsid w:val="00435399"/>
    <w:rsid w:val="00437B66"/>
    <w:rsid w:val="00442310"/>
    <w:rsid w:val="0044324B"/>
    <w:rsid w:val="00443382"/>
    <w:rsid w:val="004436EE"/>
    <w:rsid w:val="004440D4"/>
    <w:rsid w:val="00446D89"/>
    <w:rsid w:val="00450395"/>
    <w:rsid w:val="00451419"/>
    <w:rsid w:val="00456042"/>
    <w:rsid w:val="004561A2"/>
    <w:rsid w:val="00457102"/>
    <w:rsid w:val="00460CBE"/>
    <w:rsid w:val="00461310"/>
    <w:rsid w:val="00462B83"/>
    <w:rsid w:val="00463BD9"/>
    <w:rsid w:val="00465362"/>
    <w:rsid w:val="00465AFA"/>
    <w:rsid w:val="00466092"/>
    <w:rsid w:val="00466242"/>
    <w:rsid w:val="00467184"/>
    <w:rsid w:val="0047122B"/>
    <w:rsid w:val="00471402"/>
    <w:rsid w:val="00471C60"/>
    <w:rsid w:val="004727DD"/>
    <w:rsid w:val="00472EA0"/>
    <w:rsid w:val="00477604"/>
    <w:rsid w:val="004801C5"/>
    <w:rsid w:val="00480EE2"/>
    <w:rsid w:val="00481D30"/>
    <w:rsid w:val="00481EB4"/>
    <w:rsid w:val="00486A89"/>
    <w:rsid w:val="00486C4C"/>
    <w:rsid w:val="00492AB6"/>
    <w:rsid w:val="00496285"/>
    <w:rsid w:val="0049646E"/>
    <w:rsid w:val="00497B90"/>
    <w:rsid w:val="004A092E"/>
    <w:rsid w:val="004A2D8A"/>
    <w:rsid w:val="004A4F0E"/>
    <w:rsid w:val="004A51FF"/>
    <w:rsid w:val="004A74EB"/>
    <w:rsid w:val="004B014D"/>
    <w:rsid w:val="004B265A"/>
    <w:rsid w:val="004B2E37"/>
    <w:rsid w:val="004B3CA8"/>
    <w:rsid w:val="004B4142"/>
    <w:rsid w:val="004B7F92"/>
    <w:rsid w:val="004C2413"/>
    <w:rsid w:val="004C2FFB"/>
    <w:rsid w:val="004D0562"/>
    <w:rsid w:val="004D155A"/>
    <w:rsid w:val="004D4D79"/>
    <w:rsid w:val="004D539A"/>
    <w:rsid w:val="004D6471"/>
    <w:rsid w:val="004E0D61"/>
    <w:rsid w:val="004E10D5"/>
    <w:rsid w:val="004E2E44"/>
    <w:rsid w:val="004E4120"/>
    <w:rsid w:val="004E4799"/>
    <w:rsid w:val="004E6B8A"/>
    <w:rsid w:val="004E6F8F"/>
    <w:rsid w:val="004F0C8E"/>
    <w:rsid w:val="004F2864"/>
    <w:rsid w:val="004F33E3"/>
    <w:rsid w:val="004F3DD3"/>
    <w:rsid w:val="004F4834"/>
    <w:rsid w:val="00501FF2"/>
    <w:rsid w:val="00503941"/>
    <w:rsid w:val="005042BE"/>
    <w:rsid w:val="005073A4"/>
    <w:rsid w:val="00507618"/>
    <w:rsid w:val="00514A34"/>
    <w:rsid w:val="00515BF9"/>
    <w:rsid w:val="00516353"/>
    <w:rsid w:val="0051725B"/>
    <w:rsid w:val="00517E4C"/>
    <w:rsid w:val="005226CD"/>
    <w:rsid w:val="00522F60"/>
    <w:rsid w:val="00524D5A"/>
    <w:rsid w:val="00525EBE"/>
    <w:rsid w:val="00527073"/>
    <w:rsid w:val="00530190"/>
    <w:rsid w:val="0053056E"/>
    <w:rsid w:val="005316C7"/>
    <w:rsid w:val="00531B74"/>
    <w:rsid w:val="005323C0"/>
    <w:rsid w:val="00532454"/>
    <w:rsid w:val="00533294"/>
    <w:rsid w:val="00533C93"/>
    <w:rsid w:val="0053606A"/>
    <w:rsid w:val="00541C37"/>
    <w:rsid w:val="005422A2"/>
    <w:rsid w:val="00542F78"/>
    <w:rsid w:val="005451EB"/>
    <w:rsid w:val="005519E6"/>
    <w:rsid w:val="0055607F"/>
    <w:rsid w:val="0055698A"/>
    <w:rsid w:val="0055725C"/>
    <w:rsid w:val="00563631"/>
    <w:rsid w:val="00565D37"/>
    <w:rsid w:val="00570632"/>
    <w:rsid w:val="00571CFF"/>
    <w:rsid w:val="00572E92"/>
    <w:rsid w:val="00573026"/>
    <w:rsid w:val="00573665"/>
    <w:rsid w:val="00573CB0"/>
    <w:rsid w:val="00575850"/>
    <w:rsid w:val="0057748B"/>
    <w:rsid w:val="005805E7"/>
    <w:rsid w:val="005822A7"/>
    <w:rsid w:val="005825E9"/>
    <w:rsid w:val="005826FC"/>
    <w:rsid w:val="00582FEC"/>
    <w:rsid w:val="005842DE"/>
    <w:rsid w:val="0058591B"/>
    <w:rsid w:val="005866EE"/>
    <w:rsid w:val="00590D08"/>
    <w:rsid w:val="00592D7A"/>
    <w:rsid w:val="00594F3F"/>
    <w:rsid w:val="00595B52"/>
    <w:rsid w:val="0059676F"/>
    <w:rsid w:val="00597A43"/>
    <w:rsid w:val="00597C36"/>
    <w:rsid w:val="005A0473"/>
    <w:rsid w:val="005A1868"/>
    <w:rsid w:val="005A58A8"/>
    <w:rsid w:val="005A65F5"/>
    <w:rsid w:val="005A78C1"/>
    <w:rsid w:val="005B0528"/>
    <w:rsid w:val="005B4731"/>
    <w:rsid w:val="005B6F75"/>
    <w:rsid w:val="005C0A19"/>
    <w:rsid w:val="005D2C99"/>
    <w:rsid w:val="005D3A0B"/>
    <w:rsid w:val="005D4306"/>
    <w:rsid w:val="005D5936"/>
    <w:rsid w:val="005D61A5"/>
    <w:rsid w:val="005D6973"/>
    <w:rsid w:val="005D6D80"/>
    <w:rsid w:val="005E1675"/>
    <w:rsid w:val="005E5D07"/>
    <w:rsid w:val="005E5DB5"/>
    <w:rsid w:val="005F07EA"/>
    <w:rsid w:val="005F127D"/>
    <w:rsid w:val="005F4C10"/>
    <w:rsid w:val="005F6139"/>
    <w:rsid w:val="0060119C"/>
    <w:rsid w:val="006076C4"/>
    <w:rsid w:val="006109B9"/>
    <w:rsid w:val="00610D72"/>
    <w:rsid w:val="006114FF"/>
    <w:rsid w:val="00614692"/>
    <w:rsid w:val="00616A2E"/>
    <w:rsid w:val="00616BBE"/>
    <w:rsid w:val="00617B59"/>
    <w:rsid w:val="00621714"/>
    <w:rsid w:val="00621EAF"/>
    <w:rsid w:val="00622C7F"/>
    <w:rsid w:val="006236F4"/>
    <w:rsid w:val="00623771"/>
    <w:rsid w:val="0062774A"/>
    <w:rsid w:val="00627B31"/>
    <w:rsid w:val="0063064A"/>
    <w:rsid w:val="00632FEE"/>
    <w:rsid w:val="00635300"/>
    <w:rsid w:val="00636499"/>
    <w:rsid w:val="00636E29"/>
    <w:rsid w:val="0064001E"/>
    <w:rsid w:val="00640A77"/>
    <w:rsid w:val="006425C4"/>
    <w:rsid w:val="00644BA6"/>
    <w:rsid w:val="00646556"/>
    <w:rsid w:val="0064712D"/>
    <w:rsid w:val="00650A8D"/>
    <w:rsid w:val="00653776"/>
    <w:rsid w:val="00653946"/>
    <w:rsid w:val="00655A3D"/>
    <w:rsid w:val="006579B3"/>
    <w:rsid w:val="00657B6E"/>
    <w:rsid w:val="0066000A"/>
    <w:rsid w:val="00660392"/>
    <w:rsid w:val="00661F10"/>
    <w:rsid w:val="0067005F"/>
    <w:rsid w:val="006711BB"/>
    <w:rsid w:val="00671435"/>
    <w:rsid w:val="0067175B"/>
    <w:rsid w:val="00671FBC"/>
    <w:rsid w:val="006742F0"/>
    <w:rsid w:val="006749A4"/>
    <w:rsid w:val="00677ADD"/>
    <w:rsid w:val="00677BA1"/>
    <w:rsid w:val="006811B9"/>
    <w:rsid w:val="00681D7C"/>
    <w:rsid w:val="0068306A"/>
    <w:rsid w:val="006837DE"/>
    <w:rsid w:val="00683BD8"/>
    <w:rsid w:val="00683DC6"/>
    <w:rsid w:val="006846EE"/>
    <w:rsid w:val="00686A6B"/>
    <w:rsid w:val="00693527"/>
    <w:rsid w:val="006940C2"/>
    <w:rsid w:val="0069652F"/>
    <w:rsid w:val="0069775D"/>
    <w:rsid w:val="006A1037"/>
    <w:rsid w:val="006A22A5"/>
    <w:rsid w:val="006A2658"/>
    <w:rsid w:val="006A28F0"/>
    <w:rsid w:val="006A2C73"/>
    <w:rsid w:val="006A3B70"/>
    <w:rsid w:val="006A6784"/>
    <w:rsid w:val="006A7A83"/>
    <w:rsid w:val="006B057B"/>
    <w:rsid w:val="006B0AA1"/>
    <w:rsid w:val="006B205A"/>
    <w:rsid w:val="006B2250"/>
    <w:rsid w:val="006B2D7F"/>
    <w:rsid w:val="006B54CD"/>
    <w:rsid w:val="006B5D50"/>
    <w:rsid w:val="006B74C6"/>
    <w:rsid w:val="006B7F85"/>
    <w:rsid w:val="006C0590"/>
    <w:rsid w:val="006C7BA3"/>
    <w:rsid w:val="006D0125"/>
    <w:rsid w:val="006D2356"/>
    <w:rsid w:val="006D442C"/>
    <w:rsid w:val="006D7843"/>
    <w:rsid w:val="006E006B"/>
    <w:rsid w:val="006E0389"/>
    <w:rsid w:val="006E20AE"/>
    <w:rsid w:val="006E2B7C"/>
    <w:rsid w:val="006E344F"/>
    <w:rsid w:val="006E3690"/>
    <w:rsid w:val="006E36D0"/>
    <w:rsid w:val="006E505A"/>
    <w:rsid w:val="006E60AD"/>
    <w:rsid w:val="006E70F2"/>
    <w:rsid w:val="006F104E"/>
    <w:rsid w:val="006F122A"/>
    <w:rsid w:val="006F1F9E"/>
    <w:rsid w:val="006F23C3"/>
    <w:rsid w:val="006F23EB"/>
    <w:rsid w:val="006F2A9E"/>
    <w:rsid w:val="006F3421"/>
    <w:rsid w:val="006F431A"/>
    <w:rsid w:val="006F5979"/>
    <w:rsid w:val="00700141"/>
    <w:rsid w:val="00704ED1"/>
    <w:rsid w:val="0070581F"/>
    <w:rsid w:val="007063B3"/>
    <w:rsid w:val="007067B9"/>
    <w:rsid w:val="00707BDE"/>
    <w:rsid w:val="0071284C"/>
    <w:rsid w:val="0071325E"/>
    <w:rsid w:val="00713B69"/>
    <w:rsid w:val="00716E8B"/>
    <w:rsid w:val="007208F0"/>
    <w:rsid w:val="00723707"/>
    <w:rsid w:val="007261CD"/>
    <w:rsid w:val="00732F6A"/>
    <w:rsid w:val="007350FE"/>
    <w:rsid w:val="00735636"/>
    <w:rsid w:val="00735725"/>
    <w:rsid w:val="00736E93"/>
    <w:rsid w:val="00741036"/>
    <w:rsid w:val="0074246E"/>
    <w:rsid w:val="007433B9"/>
    <w:rsid w:val="00745E6F"/>
    <w:rsid w:val="0074616A"/>
    <w:rsid w:val="00746460"/>
    <w:rsid w:val="00753D38"/>
    <w:rsid w:val="00754CAB"/>
    <w:rsid w:val="00755028"/>
    <w:rsid w:val="0075701E"/>
    <w:rsid w:val="0075725B"/>
    <w:rsid w:val="0075752E"/>
    <w:rsid w:val="00757D92"/>
    <w:rsid w:val="00760C16"/>
    <w:rsid w:val="007622B7"/>
    <w:rsid w:val="00767D53"/>
    <w:rsid w:val="0077100A"/>
    <w:rsid w:val="007755BB"/>
    <w:rsid w:val="0077710D"/>
    <w:rsid w:val="00780B63"/>
    <w:rsid w:val="0078105E"/>
    <w:rsid w:val="0078725E"/>
    <w:rsid w:val="00791B03"/>
    <w:rsid w:val="00792FC3"/>
    <w:rsid w:val="007948CE"/>
    <w:rsid w:val="00794A30"/>
    <w:rsid w:val="00796192"/>
    <w:rsid w:val="00796B90"/>
    <w:rsid w:val="007A1344"/>
    <w:rsid w:val="007A347C"/>
    <w:rsid w:val="007A39C6"/>
    <w:rsid w:val="007A48CA"/>
    <w:rsid w:val="007A718C"/>
    <w:rsid w:val="007A74F0"/>
    <w:rsid w:val="007B18BF"/>
    <w:rsid w:val="007B49C0"/>
    <w:rsid w:val="007B4EA9"/>
    <w:rsid w:val="007B7590"/>
    <w:rsid w:val="007C19CF"/>
    <w:rsid w:val="007C3D58"/>
    <w:rsid w:val="007C70EB"/>
    <w:rsid w:val="007D2545"/>
    <w:rsid w:val="007D500B"/>
    <w:rsid w:val="007D5A2D"/>
    <w:rsid w:val="007D65C8"/>
    <w:rsid w:val="007E08EB"/>
    <w:rsid w:val="007E0E0B"/>
    <w:rsid w:val="007E6B9C"/>
    <w:rsid w:val="007E6FF6"/>
    <w:rsid w:val="007E7597"/>
    <w:rsid w:val="007E7A41"/>
    <w:rsid w:val="007E7E34"/>
    <w:rsid w:val="007E7E7A"/>
    <w:rsid w:val="007F27D7"/>
    <w:rsid w:val="007F2E1E"/>
    <w:rsid w:val="007F3807"/>
    <w:rsid w:val="007F3DB3"/>
    <w:rsid w:val="007F3F34"/>
    <w:rsid w:val="007F486F"/>
    <w:rsid w:val="007F6218"/>
    <w:rsid w:val="007F64C9"/>
    <w:rsid w:val="0080233A"/>
    <w:rsid w:val="008045CC"/>
    <w:rsid w:val="00807D24"/>
    <w:rsid w:val="00810D8D"/>
    <w:rsid w:val="0081347F"/>
    <w:rsid w:val="0081426F"/>
    <w:rsid w:val="0082051E"/>
    <w:rsid w:val="0082072F"/>
    <w:rsid w:val="008243C7"/>
    <w:rsid w:val="008247AB"/>
    <w:rsid w:val="008248A1"/>
    <w:rsid w:val="0082525E"/>
    <w:rsid w:val="00826E53"/>
    <w:rsid w:val="00827B7E"/>
    <w:rsid w:val="00832ABD"/>
    <w:rsid w:val="008351BE"/>
    <w:rsid w:val="00835570"/>
    <w:rsid w:val="0084100C"/>
    <w:rsid w:val="00843EDC"/>
    <w:rsid w:val="008474A7"/>
    <w:rsid w:val="00850211"/>
    <w:rsid w:val="008508AD"/>
    <w:rsid w:val="008525CC"/>
    <w:rsid w:val="008533C2"/>
    <w:rsid w:val="0085541F"/>
    <w:rsid w:val="00857923"/>
    <w:rsid w:val="00861743"/>
    <w:rsid w:val="0086360D"/>
    <w:rsid w:val="008643D7"/>
    <w:rsid w:val="008656C9"/>
    <w:rsid w:val="00866919"/>
    <w:rsid w:val="00866992"/>
    <w:rsid w:val="00866BD5"/>
    <w:rsid w:val="008706C1"/>
    <w:rsid w:val="0087086E"/>
    <w:rsid w:val="00870B7E"/>
    <w:rsid w:val="00872513"/>
    <w:rsid w:val="00872F5A"/>
    <w:rsid w:val="00873DE9"/>
    <w:rsid w:val="00877373"/>
    <w:rsid w:val="00877D54"/>
    <w:rsid w:val="00880698"/>
    <w:rsid w:val="00880754"/>
    <w:rsid w:val="00880780"/>
    <w:rsid w:val="008833A6"/>
    <w:rsid w:val="008841A3"/>
    <w:rsid w:val="00887D90"/>
    <w:rsid w:val="008928C0"/>
    <w:rsid w:val="00892C1F"/>
    <w:rsid w:val="00893E62"/>
    <w:rsid w:val="00894F52"/>
    <w:rsid w:val="008A0FF6"/>
    <w:rsid w:val="008A1962"/>
    <w:rsid w:val="008A26C5"/>
    <w:rsid w:val="008A2C80"/>
    <w:rsid w:val="008A2D6F"/>
    <w:rsid w:val="008A3969"/>
    <w:rsid w:val="008A5A7A"/>
    <w:rsid w:val="008A5B62"/>
    <w:rsid w:val="008A6379"/>
    <w:rsid w:val="008A7E95"/>
    <w:rsid w:val="008B0DA7"/>
    <w:rsid w:val="008B3CF5"/>
    <w:rsid w:val="008B5AAC"/>
    <w:rsid w:val="008B5B01"/>
    <w:rsid w:val="008B6283"/>
    <w:rsid w:val="008B64E3"/>
    <w:rsid w:val="008B76EF"/>
    <w:rsid w:val="008C099D"/>
    <w:rsid w:val="008C0C90"/>
    <w:rsid w:val="008C11E3"/>
    <w:rsid w:val="008C14A2"/>
    <w:rsid w:val="008C25A5"/>
    <w:rsid w:val="008D1B7C"/>
    <w:rsid w:val="008D2025"/>
    <w:rsid w:val="008D2F32"/>
    <w:rsid w:val="008D3F4D"/>
    <w:rsid w:val="008E166E"/>
    <w:rsid w:val="008E3828"/>
    <w:rsid w:val="008E3E45"/>
    <w:rsid w:val="008E3E74"/>
    <w:rsid w:val="008E409C"/>
    <w:rsid w:val="008E4DE8"/>
    <w:rsid w:val="008E6DAD"/>
    <w:rsid w:val="008E76D8"/>
    <w:rsid w:val="008F277A"/>
    <w:rsid w:val="008F4960"/>
    <w:rsid w:val="008F602A"/>
    <w:rsid w:val="008F665E"/>
    <w:rsid w:val="00900405"/>
    <w:rsid w:val="00901BC4"/>
    <w:rsid w:val="00902DA9"/>
    <w:rsid w:val="00903A3F"/>
    <w:rsid w:val="00904C6F"/>
    <w:rsid w:val="0090711F"/>
    <w:rsid w:val="00911F99"/>
    <w:rsid w:val="00917C68"/>
    <w:rsid w:val="00923D77"/>
    <w:rsid w:val="009259D4"/>
    <w:rsid w:val="00925B24"/>
    <w:rsid w:val="00925CC0"/>
    <w:rsid w:val="00925F04"/>
    <w:rsid w:val="00926CAF"/>
    <w:rsid w:val="00930BEA"/>
    <w:rsid w:val="00931F9F"/>
    <w:rsid w:val="0093308C"/>
    <w:rsid w:val="009336A0"/>
    <w:rsid w:val="00935CB0"/>
    <w:rsid w:val="00945001"/>
    <w:rsid w:val="00946E75"/>
    <w:rsid w:val="00951469"/>
    <w:rsid w:val="00951A28"/>
    <w:rsid w:val="009542DF"/>
    <w:rsid w:val="00954C94"/>
    <w:rsid w:val="00954DFE"/>
    <w:rsid w:val="0096058C"/>
    <w:rsid w:val="0096132A"/>
    <w:rsid w:val="0096150C"/>
    <w:rsid w:val="00962292"/>
    <w:rsid w:val="00963F7E"/>
    <w:rsid w:val="00967F4C"/>
    <w:rsid w:val="0097158A"/>
    <w:rsid w:val="00973071"/>
    <w:rsid w:val="00974D87"/>
    <w:rsid w:val="009761B7"/>
    <w:rsid w:val="00981B94"/>
    <w:rsid w:val="00982F89"/>
    <w:rsid w:val="0098305A"/>
    <w:rsid w:val="0098343B"/>
    <w:rsid w:val="00983DEA"/>
    <w:rsid w:val="00984736"/>
    <w:rsid w:val="00985270"/>
    <w:rsid w:val="009854D3"/>
    <w:rsid w:val="0098583C"/>
    <w:rsid w:val="009874F1"/>
    <w:rsid w:val="00990785"/>
    <w:rsid w:val="00991DDF"/>
    <w:rsid w:val="00994A38"/>
    <w:rsid w:val="009950EA"/>
    <w:rsid w:val="00996375"/>
    <w:rsid w:val="009964F9"/>
    <w:rsid w:val="00996AAB"/>
    <w:rsid w:val="00997E5E"/>
    <w:rsid w:val="009A0B02"/>
    <w:rsid w:val="009A20D3"/>
    <w:rsid w:val="009A3A3B"/>
    <w:rsid w:val="009A4981"/>
    <w:rsid w:val="009A4AB8"/>
    <w:rsid w:val="009A4F03"/>
    <w:rsid w:val="009A578E"/>
    <w:rsid w:val="009A6A58"/>
    <w:rsid w:val="009A794D"/>
    <w:rsid w:val="009B0AA3"/>
    <w:rsid w:val="009B19A9"/>
    <w:rsid w:val="009B26F2"/>
    <w:rsid w:val="009B3BBF"/>
    <w:rsid w:val="009B46CB"/>
    <w:rsid w:val="009B62D5"/>
    <w:rsid w:val="009C0EBF"/>
    <w:rsid w:val="009C1CDE"/>
    <w:rsid w:val="009C3BE0"/>
    <w:rsid w:val="009C477E"/>
    <w:rsid w:val="009C50D9"/>
    <w:rsid w:val="009C6459"/>
    <w:rsid w:val="009D1599"/>
    <w:rsid w:val="009D204B"/>
    <w:rsid w:val="009D3A90"/>
    <w:rsid w:val="009D4376"/>
    <w:rsid w:val="009D4FC0"/>
    <w:rsid w:val="009D5329"/>
    <w:rsid w:val="009D66CB"/>
    <w:rsid w:val="009D7CBD"/>
    <w:rsid w:val="009E3E54"/>
    <w:rsid w:val="009E3F73"/>
    <w:rsid w:val="009E4A80"/>
    <w:rsid w:val="009E4D80"/>
    <w:rsid w:val="009E60D8"/>
    <w:rsid w:val="009F3330"/>
    <w:rsid w:val="009F3805"/>
    <w:rsid w:val="009F4900"/>
    <w:rsid w:val="009F7E94"/>
    <w:rsid w:val="00A01345"/>
    <w:rsid w:val="00A01403"/>
    <w:rsid w:val="00A01687"/>
    <w:rsid w:val="00A01F5C"/>
    <w:rsid w:val="00A02C93"/>
    <w:rsid w:val="00A03E37"/>
    <w:rsid w:val="00A042C7"/>
    <w:rsid w:val="00A0492D"/>
    <w:rsid w:val="00A04F93"/>
    <w:rsid w:val="00A05915"/>
    <w:rsid w:val="00A063EA"/>
    <w:rsid w:val="00A10974"/>
    <w:rsid w:val="00A1182E"/>
    <w:rsid w:val="00A12D2F"/>
    <w:rsid w:val="00A13151"/>
    <w:rsid w:val="00A14176"/>
    <w:rsid w:val="00A149AF"/>
    <w:rsid w:val="00A209D6"/>
    <w:rsid w:val="00A21472"/>
    <w:rsid w:val="00A217B1"/>
    <w:rsid w:val="00A22E0B"/>
    <w:rsid w:val="00A23478"/>
    <w:rsid w:val="00A24CB0"/>
    <w:rsid w:val="00A26986"/>
    <w:rsid w:val="00A277F3"/>
    <w:rsid w:val="00A341ED"/>
    <w:rsid w:val="00A342DD"/>
    <w:rsid w:val="00A346D5"/>
    <w:rsid w:val="00A35622"/>
    <w:rsid w:val="00A360B5"/>
    <w:rsid w:val="00A40485"/>
    <w:rsid w:val="00A41FF5"/>
    <w:rsid w:val="00A42317"/>
    <w:rsid w:val="00A423A3"/>
    <w:rsid w:val="00A4382E"/>
    <w:rsid w:val="00A507F1"/>
    <w:rsid w:val="00A54E02"/>
    <w:rsid w:val="00A551BF"/>
    <w:rsid w:val="00A57655"/>
    <w:rsid w:val="00A61269"/>
    <w:rsid w:val="00A61817"/>
    <w:rsid w:val="00A621AE"/>
    <w:rsid w:val="00A6222D"/>
    <w:rsid w:val="00A636BF"/>
    <w:rsid w:val="00A65E78"/>
    <w:rsid w:val="00A71247"/>
    <w:rsid w:val="00A7352E"/>
    <w:rsid w:val="00A735C5"/>
    <w:rsid w:val="00A7442D"/>
    <w:rsid w:val="00A74FEF"/>
    <w:rsid w:val="00A7629B"/>
    <w:rsid w:val="00A7794A"/>
    <w:rsid w:val="00A77B6D"/>
    <w:rsid w:val="00A80185"/>
    <w:rsid w:val="00A8036D"/>
    <w:rsid w:val="00A80FE3"/>
    <w:rsid w:val="00A84C63"/>
    <w:rsid w:val="00A84DFE"/>
    <w:rsid w:val="00A857E5"/>
    <w:rsid w:val="00A868E0"/>
    <w:rsid w:val="00A90353"/>
    <w:rsid w:val="00A92B35"/>
    <w:rsid w:val="00A93D85"/>
    <w:rsid w:val="00A949E5"/>
    <w:rsid w:val="00A94AEA"/>
    <w:rsid w:val="00A95BB6"/>
    <w:rsid w:val="00AA0649"/>
    <w:rsid w:val="00AA1705"/>
    <w:rsid w:val="00AA2753"/>
    <w:rsid w:val="00AA38E5"/>
    <w:rsid w:val="00AB053F"/>
    <w:rsid w:val="00AB0993"/>
    <w:rsid w:val="00AB2AA7"/>
    <w:rsid w:val="00AB2EE7"/>
    <w:rsid w:val="00AB3136"/>
    <w:rsid w:val="00AB5772"/>
    <w:rsid w:val="00AB62F0"/>
    <w:rsid w:val="00AB668F"/>
    <w:rsid w:val="00AB7742"/>
    <w:rsid w:val="00AC034E"/>
    <w:rsid w:val="00AC1566"/>
    <w:rsid w:val="00AC21FC"/>
    <w:rsid w:val="00AC27F6"/>
    <w:rsid w:val="00AC2D65"/>
    <w:rsid w:val="00AC2EEB"/>
    <w:rsid w:val="00AC732C"/>
    <w:rsid w:val="00AD3B24"/>
    <w:rsid w:val="00AD4160"/>
    <w:rsid w:val="00AD5173"/>
    <w:rsid w:val="00AD6665"/>
    <w:rsid w:val="00AD7944"/>
    <w:rsid w:val="00AE0CF1"/>
    <w:rsid w:val="00AE19FA"/>
    <w:rsid w:val="00AE2FE7"/>
    <w:rsid w:val="00AE4330"/>
    <w:rsid w:val="00AE5A6E"/>
    <w:rsid w:val="00AE73AB"/>
    <w:rsid w:val="00AF3A40"/>
    <w:rsid w:val="00AF3E22"/>
    <w:rsid w:val="00AF4485"/>
    <w:rsid w:val="00AF566A"/>
    <w:rsid w:val="00AF57F0"/>
    <w:rsid w:val="00AF5ACD"/>
    <w:rsid w:val="00AF60DB"/>
    <w:rsid w:val="00AF6936"/>
    <w:rsid w:val="00AF7B6B"/>
    <w:rsid w:val="00B021F6"/>
    <w:rsid w:val="00B06BCB"/>
    <w:rsid w:val="00B06C7D"/>
    <w:rsid w:val="00B06CA9"/>
    <w:rsid w:val="00B07271"/>
    <w:rsid w:val="00B148A4"/>
    <w:rsid w:val="00B1495E"/>
    <w:rsid w:val="00B15883"/>
    <w:rsid w:val="00B15A0D"/>
    <w:rsid w:val="00B167D4"/>
    <w:rsid w:val="00B178D1"/>
    <w:rsid w:val="00B30154"/>
    <w:rsid w:val="00B30ED2"/>
    <w:rsid w:val="00B32B45"/>
    <w:rsid w:val="00B32B79"/>
    <w:rsid w:val="00B3729F"/>
    <w:rsid w:val="00B40C26"/>
    <w:rsid w:val="00B41640"/>
    <w:rsid w:val="00B41AAF"/>
    <w:rsid w:val="00B4368B"/>
    <w:rsid w:val="00B45E79"/>
    <w:rsid w:val="00B47881"/>
    <w:rsid w:val="00B500A6"/>
    <w:rsid w:val="00B51EC7"/>
    <w:rsid w:val="00B51F0D"/>
    <w:rsid w:val="00B532BB"/>
    <w:rsid w:val="00B547A9"/>
    <w:rsid w:val="00B54D48"/>
    <w:rsid w:val="00B57174"/>
    <w:rsid w:val="00B57BEF"/>
    <w:rsid w:val="00B57BF8"/>
    <w:rsid w:val="00B61216"/>
    <w:rsid w:val="00B6156E"/>
    <w:rsid w:val="00B62497"/>
    <w:rsid w:val="00B63943"/>
    <w:rsid w:val="00B6654F"/>
    <w:rsid w:val="00B66D52"/>
    <w:rsid w:val="00B7109B"/>
    <w:rsid w:val="00B710A8"/>
    <w:rsid w:val="00B801EB"/>
    <w:rsid w:val="00B80EDE"/>
    <w:rsid w:val="00B83702"/>
    <w:rsid w:val="00B8398D"/>
    <w:rsid w:val="00B83D46"/>
    <w:rsid w:val="00B85C07"/>
    <w:rsid w:val="00B87EAD"/>
    <w:rsid w:val="00B948D8"/>
    <w:rsid w:val="00B96A3D"/>
    <w:rsid w:val="00BA334B"/>
    <w:rsid w:val="00BA64A6"/>
    <w:rsid w:val="00BA68E2"/>
    <w:rsid w:val="00BA6A16"/>
    <w:rsid w:val="00BA7BE8"/>
    <w:rsid w:val="00BB0C99"/>
    <w:rsid w:val="00BB1EAE"/>
    <w:rsid w:val="00BB2162"/>
    <w:rsid w:val="00BB42C7"/>
    <w:rsid w:val="00BC0237"/>
    <w:rsid w:val="00BC1E1E"/>
    <w:rsid w:val="00BC2FDF"/>
    <w:rsid w:val="00BC46A5"/>
    <w:rsid w:val="00BC4E0E"/>
    <w:rsid w:val="00BC7D19"/>
    <w:rsid w:val="00BD0C12"/>
    <w:rsid w:val="00BD0E30"/>
    <w:rsid w:val="00BD26E1"/>
    <w:rsid w:val="00BD7C60"/>
    <w:rsid w:val="00BE3F8D"/>
    <w:rsid w:val="00BE54E3"/>
    <w:rsid w:val="00BE5A48"/>
    <w:rsid w:val="00BE6C7B"/>
    <w:rsid w:val="00BE735E"/>
    <w:rsid w:val="00BE79CA"/>
    <w:rsid w:val="00BF1237"/>
    <w:rsid w:val="00BF12BD"/>
    <w:rsid w:val="00BF4FE0"/>
    <w:rsid w:val="00BF57DE"/>
    <w:rsid w:val="00BF7890"/>
    <w:rsid w:val="00C0044C"/>
    <w:rsid w:val="00C01D82"/>
    <w:rsid w:val="00C01D9F"/>
    <w:rsid w:val="00C0245C"/>
    <w:rsid w:val="00C02976"/>
    <w:rsid w:val="00C0506E"/>
    <w:rsid w:val="00C0637C"/>
    <w:rsid w:val="00C10DF9"/>
    <w:rsid w:val="00C11628"/>
    <w:rsid w:val="00C13AF1"/>
    <w:rsid w:val="00C13B46"/>
    <w:rsid w:val="00C14135"/>
    <w:rsid w:val="00C14834"/>
    <w:rsid w:val="00C16B9C"/>
    <w:rsid w:val="00C17D2E"/>
    <w:rsid w:val="00C20CE7"/>
    <w:rsid w:val="00C21AB2"/>
    <w:rsid w:val="00C222EF"/>
    <w:rsid w:val="00C23836"/>
    <w:rsid w:val="00C23FBB"/>
    <w:rsid w:val="00C25F30"/>
    <w:rsid w:val="00C2625A"/>
    <w:rsid w:val="00C26AB3"/>
    <w:rsid w:val="00C3056D"/>
    <w:rsid w:val="00C31D6D"/>
    <w:rsid w:val="00C32692"/>
    <w:rsid w:val="00C3541D"/>
    <w:rsid w:val="00C367A3"/>
    <w:rsid w:val="00C41DDB"/>
    <w:rsid w:val="00C41F79"/>
    <w:rsid w:val="00C46726"/>
    <w:rsid w:val="00C50334"/>
    <w:rsid w:val="00C506B8"/>
    <w:rsid w:val="00C52B01"/>
    <w:rsid w:val="00C53E99"/>
    <w:rsid w:val="00C54458"/>
    <w:rsid w:val="00C553E8"/>
    <w:rsid w:val="00C57ED3"/>
    <w:rsid w:val="00C63060"/>
    <w:rsid w:val="00C71368"/>
    <w:rsid w:val="00C7214C"/>
    <w:rsid w:val="00C749A8"/>
    <w:rsid w:val="00C75A65"/>
    <w:rsid w:val="00C75B80"/>
    <w:rsid w:val="00C76BAA"/>
    <w:rsid w:val="00C77DC7"/>
    <w:rsid w:val="00C80AC1"/>
    <w:rsid w:val="00C80EC4"/>
    <w:rsid w:val="00C811AE"/>
    <w:rsid w:val="00C90E96"/>
    <w:rsid w:val="00C91A1D"/>
    <w:rsid w:val="00C932E2"/>
    <w:rsid w:val="00C93C77"/>
    <w:rsid w:val="00C9699B"/>
    <w:rsid w:val="00C96C76"/>
    <w:rsid w:val="00C97B90"/>
    <w:rsid w:val="00CA1AB2"/>
    <w:rsid w:val="00CA6266"/>
    <w:rsid w:val="00CA70A5"/>
    <w:rsid w:val="00CB3514"/>
    <w:rsid w:val="00CB3BDA"/>
    <w:rsid w:val="00CC102F"/>
    <w:rsid w:val="00CC25CB"/>
    <w:rsid w:val="00CC4AE6"/>
    <w:rsid w:val="00CC5107"/>
    <w:rsid w:val="00CC5339"/>
    <w:rsid w:val="00CC5FFF"/>
    <w:rsid w:val="00CC6230"/>
    <w:rsid w:val="00CC68C2"/>
    <w:rsid w:val="00CD128C"/>
    <w:rsid w:val="00CD1F07"/>
    <w:rsid w:val="00CD510F"/>
    <w:rsid w:val="00CD76D5"/>
    <w:rsid w:val="00CE1162"/>
    <w:rsid w:val="00CE1639"/>
    <w:rsid w:val="00CE18F5"/>
    <w:rsid w:val="00CE2FD7"/>
    <w:rsid w:val="00CE4A94"/>
    <w:rsid w:val="00CE4D66"/>
    <w:rsid w:val="00CE71CC"/>
    <w:rsid w:val="00CF0CC8"/>
    <w:rsid w:val="00CF1672"/>
    <w:rsid w:val="00CF1A8D"/>
    <w:rsid w:val="00CF363A"/>
    <w:rsid w:val="00CF40E3"/>
    <w:rsid w:val="00CF647F"/>
    <w:rsid w:val="00CF6E2A"/>
    <w:rsid w:val="00CF741B"/>
    <w:rsid w:val="00CF7421"/>
    <w:rsid w:val="00CF7D4F"/>
    <w:rsid w:val="00D00147"/>
    <w:rsid w:val="00D00850"/>
    <w:rsid w:val="00D018BF"/>
    <w:rsid w:val="00D0440C"/>
    <w:rsid w:val="00D04861"/>
    <w:rsid w:val="00D04DA6"/>
    <w:rsid w:val="00D05031"/>
    <w:rsid w:val="00D06AB0"/>
    <w:rsid w:val="00D1226E"/>
    <w:rsid w:val="00D12359"/>
    <w:rsid w:val="00D22D2F"/>
    <w:rsid w:val="00D24BD8"/>
    <w:rsid w:val="00D31597"/>
    <w:rsid w:val="00D348E8"/>
    <w:rsid w:val="00D357F3"/>
    <w:rsid w:val="00D35F95"/>
    <w:rsid w:val="00D378C7"/>
    <w:rsid w:val="00D404BA"/>
    <w:rsid w:val="00D431FF"/>
    <w:rsid w:val="00D44AA7"/>
    <w:rsid w:val="00D44CAE"/>
    <w:rsid w:val="00D46419"/>
    <w:rsid w:val="00D46F96"/>
    <w:rsid w:val="00D47BE5"/>
    <w:rsid w:val="00D54372"/>
    <w:rsid w:val="00D54D98"/>
    <w:rsid w:val="00D5744E"/>
    <w:rsid w:val="00D61615"/>
    <w:rsid w:val="00D65D7C"/>
    <w:rsid w:val="00D67216"/>
    <w:rsid w:val="00D67B23"/>
    <w:rsid w:val="00D71B51"/>
    <w:rsid w:val="00D735DA"/>
    <w:rsid w:val="00D74770"/>
    <w:rsid w:val="00D74ECD"/>
    <w:rsid w:val="00D76619"/>
    <w:rsid w:val="00D87C12"/>
    <w:rsid w:val="00D87CCC"/>
    <w:rsid w:val="00D921DA"/>
    <w:rsid w:val="00D931EF"/>
    <w:rsid w:val="00D95777"/>
    <w:rsid w:val="00D95A2B"/>
    <w:rsid w:val="00D9655D"/>
    <w:rsid w:val="00D96BEA"/>
    <w:rsid w:val="00D9757B"/>
    <w:rsid w:val="00DA1C60"/>
    <w:rsid w:val="00DA3C56"/>
    <w:rsid w:val="00DA449E"/>
    <w:rsid w:val="00DA557F"/>
    <w:rsid w:val="00DA60F7"/>
    <w:rsid w:val="00DA7524"/>
    <w:rsid w:val="00DB02FF"/>
    <w:rsid w:val="00DB0D03"/>
    <w:rsid w:val="00DB0F5F"/>
    <w:rsid w:val="00DB1462"/>
    <w:rsid w:val="00DB1FE9"/>
    <w:rsid w:val="00DB2686"/>
    <w:rsid w:val="00DB2BC5"/>
    <w:rsid w:val="00DB39D7"/>
    <w:rsid w:val="00DB3AC4"/>
    <w:rsid w:val="00DB6B7D"/>
    <w:rsid w:val="00DC1CEF"/>
    <w:rsid w:val="00DC4690"/>
    <w:rsid w:val="00DC621A"/>
    <w:rsid w:val="00DC69F2"/>
    <w:rsid w:val="00DC7078"/>
    <w:rsid w:val="00DC75ED"/>
    <w:rsid w:val="00DD0505"/>
    <w:rsid w:val="00DD0D7D"/>
    <w:rsid w:val="00DD0E97"/>
    <w:rsid w:val="00DD25C6"/>
    <w:rsid w:val="00DD3B5A"/>
    <w:rsid w:val="00DD46FE"/>
    <w:rsid w:val="00DD5825"/>
    <w:rsid w:val="00DD59A8"/>
    <w:rsid w:val="00DD707A"/>
    <w:rsid w:val="00DE036B"/>
    <w:rsid w:val="00DE0993"/>
    <w:rsid w:val="00DE5000"/>
    <w:rsid w:val="00DE7AA4"/>
    <w:rsid w:val="00DF5874"/>
    <w:rsid w:val="00DF6B2F"/>
    <w:rsid w:val="00E02EE3"/>
    <w:rsid w:val="00E04E6C"/>
    <w:rsid w:val="00E053F3"/>
    <w:rsid w:val="00E06C34"/>
    <w:rsid w:val="00E06FCC"/>
    <w:rsid w:val="00E10492"/>
    <w:rsid w:val="00E10776"/>
    <w:rsid w:val="00E1193D"/>
    <w:rsid w:val="00E14058"/>
    <w:rsid w:val="00E156B2"/>
    <w:rsid w:val="00E15709"/>
    <w:rsid w:val="00E15764"/>
    <w:rsid w:val="00E15E04"/>
    <w:rsid w:val="00E1696D"/>
    <w:rsid w:val="00E177DB"/>
    <w:rsid w:val="00E21470"/>
    <w:rsid w:val="00E21D79"/>
    <w:rsid w:val="00E26027"/>
    <w:rsid w:val="00E330C3"/>
    <w:rsid w:val="00E343E1"/>
    <w:rsid w:val="00E3558E"/>
    <w:rsid w:val="00E3655E"/>
    <w:rsid w:val="00E3779F"/>
    <w:rsid w:val="00E40F59"/>
    <w:rsid w:val="00E42B4F"/>
    <w:rsid w:val="00E4332B"/>
    <w:rsid w:val="00E45EFA"/>
    <w:rsid w:val="00E468F7"/>
    <w:rsid w:val="00E47110"/>
    <w:rsid w:val="00E52113"/>
    <w:rsid w:val="00E52D1E"/>
    <w:rsid w:val="00E56637"/>
    <w:rsid w:val="00E56F11"/>
    <w:rsid w:val="00E6018E"/>
    <w:rsid w:val="00E603EE"/>
    <w:rsid w:val="00E606B6"/>
    <w:rsid w:val="00E60D1D"/>
    <w:rsid w:val="00E63565"/>
    <w:rsid w:val="00E66916"/>
    <w:rsid w:val="00E6752E"/>
    <w:rsid w:val="00E67C68"/>
    <w:rsid w:val="00E732F5"/>
    <w:rsid w:val="00E74B2F"/>
    <w:rsid w:val="00E74B3E"/>
    <w:rsid w:val="00E75076"/>
    <w:rsid w:val="00E77C31"/>
    <w:rsid w:val="00E80EF2"/>
    <w:rsid w:val="00E81A39"/>
    <w:rsid w:val="00E847E8"/>
    <w:rsid w:val="00E85E48"/>
    <w:rsid w:val="00E9219E"/>
    <w:rsid w:val="00E9305F"/>
    <w:rsid w:val="00E934F3"/>
    <w:rsid w:val="00E94E18"/>
    <w:rsid w:val="00E9602C"/>
    <w:rsid w:val="00EA06D7"/>
    <w:rsid w:val="00EA0C18"/>
    <w:rsid w:val="00EA321E"/>
    <w:rsid w:val="00EA5940"/>
    <w:rsid w:val="00EA7A23"/>
    <w:rsid w:val="00EA7E32"/>
    <w:rsid w:val="00EB3CB2"/>
    <w:rsid w:val="00EC426F"/>
    <w:rsid w:val="00EC4311"/>
    <w:rsid w:val="00EC49C1"/>
    <w:rsid w:val="00EC78FD"/>
    <w:rsid w:val="00ED2787"/>
    <w:rsid w:val="00ED32BE"/>
    <w:rsid w:val="00ED3571"/>
    <w:rsid w:val="00ED4B0F"/>
    <w:rsid w:val="00ED7760"/>
    <w:rsid w:val="00EE14CF"/>
    <w:rsid w:val="00EE195C"/>
    <w:rsid w:val="00EE55C7"/>
    <w:rsid w:val="00EF4DA9"/>
    <w:rsid w:val="00EF4DD1"/>
    <w:rsid w:val="00EF6BC9"/>
    <w:rsid w:val="00EF7351"/>
    <w:rsid w:val="00EF74BF"/>
    <w:rsid w:val="00F01AF0"/>
    <w:rsid w:val="00F0426D"/>
    <w:rsid w:val="00F10C22"/>
    <w:rsid w:val="00F11378"/>
    <w:rsid w:val="00F11AEE"/>
    <w:rsid w:val="00F129E9"/>
    <w:rsid w:val="00F131E8"/>
    <w:rsid w:val="00F13637"/>
    <w:rsid w:val="00F2661F"/>
    <w:rsid w:val="00F27A6D"/>
    <w:rsid w:val="00F30680"/>
    <w:rsid w:val="00F30A18"/>
    <w:rsid w:val="00F33D29"/>
    <w:rsid w:val="00F34030"/>
    <w:rsid w:val="00F40134"/>
    <w:rsid w:val="00F410D3"/>
    <w:rsid w:val="00F412F4"/>
    <w:rsid w:val="00F41336"/>
    <w:rsid w:val="00F417A5"/>
    <w:rsid w:val="00F5458F"/>
    <w:rsid w:val="00F572FD"/>
    <w:rsid w:val="00F60191"/>
    <w:rsid w:val="00F6067D"/>
    <w:rsid w:val="00F64926"/>
    <w:rsid w:val="00F716DE"/>
    <w:rsid w:val="00F737BF"/>
    <w:rsid w:val="00F746C6"/>
    <w:rsid w:val="00F749A0"/>
    <w:rsid w:val="00F76376"/>
    <w:rsid w:val="00F7730F"/>
    <w:rsid w:val="00F805B8"/>
    <w:rsid w:val="00F805F3"/>
    <w:rsid w:val="00F821EE"/>
    <w:rsid w:val="00F82CAD"/>
    <w:rsid w:val="00F83E5B"/>
    <w:rsid w:val="00F86A2A"/>
    <w:rsid w:val="00F87016"/>
    <w:rsid w:val="00F90A88"/>
    <w:rsid w:val="00F90FC5"/>
    <w:rsid w:val="00F911E7"/>
    <w:rsid w:val="00F91C55"/>
    <w:rsid w:val="00F91E0C"/>
    <w:rsid w:val="00F9252D"/>
    <w:rsid w:val="00F9383D"/>
    <w:rsid w:val="00F94305"/>
    <w:rsid w:val="00F94A4B"/>
    <w:rsid w:val="00F96510"/>
    <w:rsid w:val="00F96F38"/>
    <w:rsid w:val="00F9711D"/>
    <w:rsid w:val="00F971CB"/>
    <w:rsid w:val="00F97D4E"/>
    <w:rsid w:val="00FA0A92"/>
    <w:rsid w:val="00FA2ED9"/>
    <w:rsid w:val="00FA35B8"/>
    <w:rsid w:val="00FB01E9"/>
    <w:rsid w:val="00FB16AD"/>
    <w:rsid w:val="00FB1781"/>
    <w:rsid w:val="00FB21A2"/>
    <w:rsid w:val="00FB2884"/>
    <w:rsid w:val="00FB44F2"/>
    <w:rsid w:val="00FB4827"/>
    <w:rsid w:val="00FB49F2"/>
    <w:rsid w:val="00FB692E"/>
    <w:rsid w:val="00FC2632"/>
    <w:rsid w:val="00FC3941"/>
    <w:rsid w:val="00FC5630"/>
    <w:rsid w:val="00FC65DF"/>
    <w:rsid w:val="00FC7CAB"/>
    <w:rsid w:val="00FD0D50"/>
    <w:rsid w:val="00FD0DA1"/>
    <w:rsid w:val="00FD3933"/>
    <w:rsid w:val="00FD57B6"/>
    <w:rsid w:val="00FD6872"/>
    <w:rsid w:val="00FD7898"/>
    <w:rsid w:val="00FD7DB6"/>
    <w:rsid w:val="00FE089C"/>
    <w:rsid w:val="00FE08D6"/>
    <w:rsid w:val="00FE16E9"/>
    <w:rsid w:val="00FE2257"/>
    <w:rsid w:val="00FE3E41"/>
    <w:rsid w:val="00FE45A7"/>
    <w:rsid w:val="00FE5480"/>
    <w:rsid w:val="00FE7BF4"/>
    <w:rsid w:val="00FF079B"/>
    <w:rsid w:val="00FF0986"/>
    <w:rsid w:val="00FF24A1"/>
    <w:rsid w:val="00FF274A"/>
    <w:rsid w:val="00FF3CDB"/>
    <w:rsid w:val="00FF4165"/>
    <w:rsid w:val="00FF5DF4"/>
    <w:rsid w:val="00FF66DB"/>
    <w:rsid w:val="00FF7C7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hr-HR" w:eastAsia="hr-H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B8398D"/>
    <w:pPr>
      <w:spacing w:after="200" w:line="276" w:lineRule="auto"/>
    </w:pPr>
  </w:style>
  <w:style w:type="paragraph" w:styleId="Heading1">
    <w:name w:val="heading 1"/>
    <w:basedOn w:val="Normal"/>
    <w:next w:val="Normal"/>
    <w:link w:val="Heading1Char"/>
    <w:uiPriority w:val="99"/>
    <w:qFormat/>
    <w:rsid w:val="00FF24A1"/>
    <w:pPr>
      <w:keepNext/>
      <w:spacing w:before="240" w:after="60" w:line="240" w:lineRule="auto"/>
      <w:outlineLvl w:val="0"/>
    </w:pPr>
    <w:rPr>
      <w:b/>
      <w:bCs/>
      <w:kern w:val="32"/>
      <w:sz w:val="24"/>
      <w:szCs w:val="32"/>
      <w:lang w:val="lt-LT" w:eastAsia="lt-LT"/>
    </w:rPr>
  </w:style>
  <w:style w:type="paragraph" w:styleId="Heading2">
    <w:name w:val="heading 2"/>
    <w:basedOn w:val="Normal"/>
    <w:next w:val="Normal"/>
    <w:link w:val="Heading2Char"/>
    <w:uiPriority w:val="99"/>
    <w:qFormat/>
    <w:rsid w:val="00AC21FC"/>
    <w:pPr>
      <w:spacing w:after="0" w:line="183" w:lineRule="atLeast"/>
      <w:outlineLvl w:val="1"/>
    </w:pPr>
    <w:rPr>
      <w:b/>
      <w:bCs/>
      <w:sz w:val="20"/>
      <w:szCs w:val="14"/>
    </w:rPr>
  </w:style>
  <w:style w:type="paragraph" w:styleId="Heading3">
    <w:name w:val="heading 3"/>
    <w:basedOn w:val="Normal"/>
    <w:next w:val="Normal"/>
    <w:link w:val="Heading3Char"/>
    <w:autoRedefine/>
    <w:uiPriority w:val="99"/>
    <w:qFormat/>
    <w:rsid w:val="00D74ECD"/>
    <w:pPr>
      <w:keepNext/>
      <w:spacing w:before="240" w:after="60" w:line="240" w:lineRule="auto"/>
      <w:outlineLvl w:val="2"/>
    </w:pPr>
    <w:rPr>
      <w:b/>
      <w:bCs/>
      <w:lang w:eastAsia="lt-LT"/>
    </w:rPr>
  </w:style>
  <w:style w:type="paragraph" w:styleId="Heading4">
    <w:name w:val="heading 4"/>
    <w:basedOn w:val="Normal"/>
    <w:next w:val="Normal"/>
    <w:link w:val="Heading4Char"/>
    <w:autoRedefine/>
    <w:uiPriority w:val="99"/>
    <w:qFormat/>
    <w:rsid w:val="00AC21FC"/>
    <w:pPr>
      <w:keepNext/>
      <w:spacing w:before="240" w:after="60" w:line="240" w:lineRule="auto"/>
      <w:outlineLvl w:val="3"/>
    </w:pPr>
    <w:rPr>
      <w:rFonts w:ascii="Arial" w:hAnsi="Arial"/>
      <w:b/>
      <w:bCs/>
      <w:sz w:val="18"/>
      <w:szCs w:val="28"/>
      <w:lang w:val="lt-LT" w:eastAsia="lt-LT"/>
    </w:rPr>
  </w:style>
  <w:style w:type="paragraph" w:styleId="Heading5">
    <w:name w:val="heading 5"/>
    <w:basedOn w:val="Normal"/>
    <w:next w:val="Normal"/>
    <w:link w:val="Heading5Char"/>
    <w:uiPriority w:val="99"/>
    <w:qFormat/>
    <w:rsid w:val="00E9602C"/>
    <w:pPr>
      <w:spacing w:before="240" w:after="60" w:line="240" w:lineRule="auto"/>
      <w:outlineLvl w:val="4"/>
    </w:pPr>
    <w:rPr>
      <w:rFonts w:ascii="Times New Roman" w:hAnsi="Times New Roman"/>
      <w:b/>
      <w:bCs/>
      <w:i/>
      <w:iCs/>
      <w:sz w:val="26"/>
      <w:szCs w:val="26"/>
      <w:lang w:val="lt-LT" w:eastAsia="lt-LT"/>
    </w:rPr>
  </w:style>
  <w:style w:type="paragraph" w:styleId="Heading6">
    <w:name w:val="heading 6"/>
    <w:basedOn w:val="Normal"/>
    <w:next w:val="Normal"/>
    <w:link w:val="Heading6Char"/>
    <w:uiPriority w:val="99"/>
    <w:qFormat/>
    <w:rsid w:val="00E9602C"/>
    <w:pPr>
      <w:spacing w:before="240" w:after="60" w:line="240" w:lineRule="auto"/>
      <w:outlineLvl w:val="5"/>
    </w:pPr>
    <w:rPr>
      <w:rFonts w:ascii="Times New Roman" w:hAnsi="Times New Roman"/>
      <w:b/>
      <w:bCs/>
      <w:sz w:val="20"/>
      <w:szCs w:val="20"/>
      <w:lang w:val="lt-LT" w:eastAsia="lt-LT"/>
    </w:rPr>
  </w:style>
  <w:style w:type="paragraph" w:styleId="Heading7">
    <w:name w:val="heading 7"/>
    <w:basedOn w:val="Normal"/>
    <w:next w:val="BodyText"/>
    <w:link w:val="Heading7Char"/>
    <w:uiPriority w:val="99"/>
    <w:qFormat/>
    <w:rsid w:val="00E9602C"/>
    <w:pPr>
      <w:keepNext/>
      <w:keepLines/>
      <w:tabs>
        <w:tab w:val="num" w:pos="1296"/>
      </w:tabs>
      <w:spacing w:after="0" w:line="240" w:lineRule="atLeast"/>
      <w:ind w:left="1296" w:hanging="1296"/>
      <w:outlineLvl w:val="6"/>
    </w:pPr>
    <w:rPr>
      <w:rFonts w:ascii="Times New Roman" w:hAnsi="Times New Roman"/>
      <w:caps/>
      <w:noProof/>
      <w:kern w:val="20"/>
      <w:sz w:val="18"/>
      <w:szCs w:val="20"/>
      <w:lang w:val="lt-LT"/>
    </w:rPr>
  </w:style>
  <w:style w:type="paragraph" w:styleId="Heading8">
    <w:name w:val="heading 8"/>
    <w:basedOn w:val="Normal"/>
    <w:next w:val="BodyText"/>
    <w:link w:val="Heading8Char"/>
    <w:uiPriority w:val="99"/>
    <w:qFormat/>
    <w:rsid w:val="00E9602C"/>
    <w:pPr>
      <w:keepNext/>
      <w:keepLines/>
      <w:tabs>
        <w:tab w:val="num" w:pos="1440"/>
      </w:tabs>
      <w:spacing w:after="0" w:line="240" w:lineRule="atLeast"/>
      <w:ind w:left="1440" w:hanging="1440"/>
      <w:outlineLvl w:val="7"/>
    </w:pPr>
    <w:rPr>
      <w:rFonts w:ascii="Times New Roman" w:hAnsi="Times New Roman"/>
      <w:i/>
      <w:noProof/>
      <w:spacing w:val="5"/>
      <w:kern w:val="20"/>
      <w:sz w:val="24"/>
      <w:szCs w:val="20"/>
      <w:lang w:val="lt-LT"/>
    </w:rPr>
  </w:style>
  <w:style w:type="paragraph" w:styleId="Heading9">
    <w:name w:val="heading 9"/>
    <w:basedOn w:val="Normal"/>
    <w:next w:val="BodyText"/>
    <w:link w:val="Heading9Char"/>
    <w:uiPriority w:val="99"/>
    <w:qFormat/>
    <w:rsid w:val="00E9602C"/>
    <w:pPr>
      <w:keepNext/>
      <w:keepLines/>
      <w:tabs>
        <w:tab w:val="num" w:pos="1584"/>
      </w:tabs>
      <w:spacing w:after="0" w:line="240" w:lineRule="atLeast"/>
      <w:ind w:left="1584" w:hanging="1584"/>
      <w:outlineLvl w:val="8"/>
    </w:pPr>
    <w:rPr>
      <w:rFonts w:ascii="Times New Roman" w:hAnsi="Times New Roman"/>
      <w:noProof/>
      <w:spacing w:val="-5"/>
      <w:kern w:val="20"/>
      <w:sz w:val="24"/>
      <w:szCs w:val="20"/>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F24A1"/>
    <w:rPr>
      <w:rFonts w:ascii="Calibri" w:hAnsi="Calibri" w:cs="Times New Roman"/>
      <w:b/>
      <w:bCs/>
      <w:kern w:val="32"/>
      <w:sz w:val="32"/>
      <w:szCs w:val="32"/>
      <w:lang w:val="lt-LT" w:eastAsia="lt-LT"/>
    </w:rPr>
  </w:style>
  <w:style w:type="character" w:customStyle="1" w:styleId="Heading2Char">
    <w:name w:val="Heading 2 Char"/>
    <w:basedOn w:val="DefaultParagraphFont"/>
    <w:link w:val="Heading2"/>
    <w:uiPriority w:val="99"/>
    <w:locked/>
    <w:rsid w:val="00AC21FC"/>
    <w:rPr>
      <w:rFonts w:ascii="Calibri" w:hAnsi="Calibri" w:cs="Times New Roman"/>
      <w:b/>
      <w:bCs/>
      <w:sz w:val="14"/>
      <w:szCs w:val="14"/>
    </w:rPr>
  </w:style>
  <w:style w:type="character" w:customStyle="1" w:styleId="Heading3Char">
    <w:name w:val="Heading 3 Char"/>
    <w:basedOn w:val="DefaultParagraphFont"/>
    <w:link w:val="Heading3"/>
    <w:uiPriority w:val="99"/>
    <w:locked/>
    <w:rsid w:val="00D74ECD"/>
    <w:rPr>
      <w:rFonts w:ascii="Calibri" w:hAnsi="Calibri" w:cs="Times New Roman"/>
      <w:b/>
      <w:bCs/>
      <w:lang w:eastAsia="lt-LT"/>
    </w:rPr>
  </w:style>
  <w:style w:type="character" w:customStyle="1" w:styleId="Heading4Char">
    <w:name w:val="Heading 4 Char"/>
    <w:basedOn w:val="DefaultParagraphFont"/>
    <w:link w:val="Heading4"/>
    <w:uiPriority w:val="99"/>
    <w:locked/>
    <w:rsid w:val="00AC21FC"/>
    <w:rPr>
      <w:rFonts w:ascii="Arial" w:hAnsi="Arial" w:cs="Times New Roman"/>
      <w:b/>
      <w:bCs/>
      <w:sz w:val="28"/>
      <w:szCs w:val="28"/>
      <w:lang w:val="lt-LT" w:eastAsia="lt-LT"/>
    </w:rPr>
  </w:style>
  <w:style w:type="character" w:customStyle="1" w:styleId="Heading5Char">
    <w:name w:val="Heading 5 Char"/>
    <w:basedOn w:val="DefaultParagraphFont"/>
    <w:link w:val="Heading5"/>
    <w:uiPriority w:val="99"/>
    <w:locked/>
    <w:rsid w:val="00E9602C"/>
    <w:rPr>
      <w:rFonts w:ascii="Times New Roman" w:hAnsi="Times New Roman" w:cs="Times New Roman"/>
      <w:b/>
      <w:bCs/>
      <w:i/>
      <w:iCs/>
      <w:sz w:val="26"/>
      <w:szCs w:val="26"/>
      <w:lang w:val="lt-LT" w:eastAsia="lt-LT"/>
    </w:rPr>
  </w:style>
  <w:style w:type="character" w:customStyle="1" w:styleId="Heading6Char">
    <w:name w:val="Heading 6 Char"/>
    <w:basedOn w:val="DefaultParagraphFont"/>
    <w:link w:val="Heading6"/>
    <w:uiPriority w:val="99"/>
    <w:locked/>
    <w:rsid w:val="00E9602C"/>
    <w:rPr>
      <w:rFonts w:ascii="Times New Roman" w:hAnsi="Times New Roman" w:cs="Times New Roman"/>
      <w:b/>
      <w:bCs/>
      <w:sz w:val="20"/>
      <w:szCs w:val="20"/>
      <w:lang w:val="lt-LT" w:eastAsia="lt-LT"/>
    </w:rPr>
  </w:style>
  <w:style w:type="character" w:customStyle="1" w:styleId="Heading7Char">
    <w:name w:val="Heading 7 Char"/>
    <w:basedOn w:val="DefaultParagraphFont"/>
    <w:link w:val="Heading7"/>
    <w:uiPriority w:val="99"/>
    <w:locked/>
    <w:rsid w:val="00E9602C"/>
    <w:rPr>
      <w:rFonts w:ascii="Times New Roman" w:hAnsi="Times New Roman" w:cs="Times New Roman"/>
      <w:caps/>
      <w:noProof/>
      <w:kern w:val="20"/>
      <w:sz w:val="20"/>
      <w:szCs w:val="20"/>
      <w:lang w:val="lt-LT"/>
    </w:rPr>
  </w:style>
  <w:style w:type="character" w:customStyle="1" w:styleId="Heading8Char">
    <w:name w:val="Heading 8 Char"/>
    <w:basedOn w:val="DefaultParagraphFont"/>
    <w:link w:val="Heading8"/>
    <w:uiPriority w:val="99"/>
    <w:locked/>
    <w:rsid w:val="00E9602C"/>
    <w:rPr>
      <w:rFonts w:ascii="Times New Roman" w:hAnsi="Times New Roman" w:cs="Times New Roman"/>
      <w:i/>
      <w:noProof/>
      <w:spacing w:val="5"/>
      <w:kern w:val="20"/>
      <w:sz w:val="20"/>
      <w:szCs w:val="20"/>
      <w:lang w:val="lt-LT"/>
    </w:rPr>
  </w:style>
  <w:style w:type="character" w:customStyle="1" w:styleId="Heading9Char">
    <w:name w:val="Heading 9 Char"/>
    <w:basedOn w:val="DefaultParagraphFont"/>
    <w:link w:val="Heading9"/>
    <w:uiPriority w:val="99"/>
    <w:locked/>
    <w:rsid w:val="00E9602C"/>
    <w:rPr>
      <w:rFonts w:ascii="Times New Roman" w:hAnsi="Times New Roman" w:cs="Times New Roman"/>
      <w:noProof/>
      <w:spacing w:val="-5"/>
      <w:kern w:val="20"/>
      <w:sz w:val="20"/>
      <w:szCs w:val="20"/>
      <w:lang w:val="lt-LT"/>
    </w:rPr>
  </w:style>
  <w:style w:type="paragraph" w:styleId="BodyText">
    <w:name w:val="Body Text"/>
    <w:basedOn w:val="Normal"/>
    <w:link w:val="BodyTextChar"/>
    <w:uiPriority w:val="99"/>
    <w:rsid w:val="00E9602C"/>
    <w:pPr>
      <w:spacing w:after="0" w:line="240" w:lineRule="auto"/>
    </w:pPr>
    <w:rPr>
      <w:rFonts w:ascii="Times New Roman" w:hAnsi="Times New Roman"/>
      <w:sz w:val="24"/>
      <w:szCs w:val="20"/>
      <w:lang w:val="lt-LT"/>
    </w:rPr>
  </w:style>
  <w:style w:type="character" w:customStyle="1" w:styleId="BodyTextChar">
    <w:name w:val="Body Text Char"/>
    <w:basedOn w:val="DefaultParagraphFont"/>
    <w:link w:val="BodyText"/>
    <w:uiPriority w:val="99"/>
    <w:locked/>
    <w:rsid w:val="00E9602C"/>
    <w:rPr>
      <w:rFonts w:ascii="Times New Roman" w:hAnsi="Times New Roman" w:cs="Times New Roman"/>
      <w:sz w:val="20"/>
      <w:szCs w:val="20"/>
      <w:lang w:val="lt-LT"/>
    </w:rPr>
  </w:style>
  <w:style w:type="paragraph" w:styleId="NoSpacing">
    <w:name w:val="No Spacing"/>
    <w:link w:val="NoSpacingChar"/>
    <w:uiPriority w:val="99"/>
    <w:qFormat/>
    <w:rsid w:val="00EF7351"/>
    <w:rPr>
      <w:lang w:val="en-US"/>
    </w:rPr>
  </w:style>
  <w:style w:type="character" w:customStyle="1" w:styleId="NoSpacingChar">
    <w:name w:val="No Spacing Char"/>
    <w:basedOn w:val="DefaultParagraphFont"/>
    <w:link w:val="NoSpacing"/>
    <w:uiPriority w:val="99"/>
    <w:locked/>
    <w:rsid w:val="00EF7351"/>
    <w:rPr>
      <w:rFonts w:cs="Times New Roman"/>
      <w:sz w:val="22"/>
      <w:szCs w:val="22"/>
      <w:lang w:val="en-US" w:eastAsia="hr-HR" w:bidi="ar-SA"/>
    </w:rPr>
  </w:style>
  <w:style w:type="paragraph" w:styleId="BalloonText">
    <w:name w:val="Balloon Text"/>
    <w:basedOn w:val="Normal"/>
    <w:link w:val="BalloonTextChar"/>
    <w:uiPriority w:val="99"/>
    <w:semiHidden/>
    <w:rsid w:val="00EF73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F7351"/>
    <w:rPr>
      <w:rFonts w:ascii="Tahoma" w:hAnsi="Tahoma" w:cs="Tahoma"/>
      <w:sz w:val="16"/>
      <w:szCs w:val="16"/>
    </w:rPr>
  </w:style>
  <w:style w:type="paragraph" w:styleId="Header">
    <w:name w:val="header"/>
    <w:basedOn w:val="Normal"/>
    <w:link w:val="HeaderChar"/>
    <w:uiPriority w:val="99"/>
    <w:rsid w:val="002E059B"/>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2E059B"/>
    <w:rPr>
      <w:rFonts w:cs="Times New Roman"/>
    </w:rPr>
  </w:style>
  <w:style w:type="paragraph" w:styleId="Footer">
    <w:name w:val="footer"/>
    <w:basedOn w:val="Normal"/>
    <w:link w:val="FooterChar"/>
    <w:uiPriority w:val="99"/>
    <w:rsid w:val="002E059B"/>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2E059B"/>
    <w:rPr>
      <w:rFonts w:cs="Times New Roman"/>
    </w:rPr>
  </w:style>
  <w:style w:type="character" w:styleId="Strong">
    <w:name w:val="Strong"/>
    <w:basedOn w:val="DefaultParagraphFont"/>
    <w:uiPriority w:val="99"/>
    <w:qFormat/>
    <w:rsid w:val="00D46F96"/>
    <w:rPr>
      <w:rFonts w:cs="Times New Roman"/>
      <w:b/>
      <w:bCs/>
    </w:rPr>
  </w:style>
  <w:style w:type="paragraph" w:styleId="ListParagraph">
    <w:name w:val="List Paragraph"/>
    <w:basedOn w:val="Normal"/>
    <w:uiPriority w:val="99"/>
    <w:qFormat/>
    <w:rsid w:val="00492AB6"/>
    <w:pPr>
      <w:ind w:left="720"/>
      <w:contextualSpacing/>
    </w:pPr>
  </w:style>
  <w:style w:type="paragraph" w:styleId="NormalWeb">
    <w:name w:val="Normal (Web)"/>
    <w:basedOn w:val="Normal"/>
    <w:uiPriority w:val="99"/>
    <w:rsid w:val="00870B7E"/>
    <w:pPr>
      <w:spacing w:after="0" w:line="288" w:lineRule="atLeast"/>
    </w:pPr>
    <w:rPr>
      <w:rFonts w:ascii="Tahoma" w:hAnsi="Tahoma" w:cs="Tahoma"/>
      <w:color w:val="666666"/>
      <w:sz w:val="17"/>
      <w:szCs w:val="17"/>
    </w:rPr>
  </w:style>
  <w:style w:type="character" w:styleId="Hyperlink">
    <w:name w:val="Hyperlink"/>
    <w:basedOn w:val="DefaultParagraphFont"/>
    <w:uiPriority w:val="99"/>
    <w:rsid w:val="00C0506E"/>
    <w:rPr>
      <w:rFonts w:cs="Times New Roman"/>
      <w:color w:val="0000FF"/>
      <w:u w:val="single"/>
    </w:rPr>
  </w:style>
  <w:style w:type="paragraph" w:styleId="CommentText">
    <w:name w:val="annotation text"/>
    <w:basedOn w:val="Normal"/>
    <w:link w:val="CommentTextChar"/>
    <w:uiPriority w:val="99"/>
    <w:semiHidden/>
    <w:rsid w:val="00E9602C"/>
    <w:pPr>
      <w:spacing w:after="0" w:line="240" w:lineRule="auto"/>
    </w:pPr>
    <w:rPr>
      <w:rFonts w:ascii="Times New Roman" w:hAnsi="Times New Roman"/>
      <w:sz w:val="20"/>
      <w:szCs w:val="20"/>
      <w:lang w:val="lt-LT" w:eastAsia="lt-LT"/>
    </w:rPr>
  </w:style>
  <w:style w:type="character" w:customStyle="1" w:styleId="CommentTextChar">
    <w:name w:val="Comment Text Char"/>
    <w:basedOn w:val="DefaultParagraphFont"/>
    <w:link w:val="CommentText"/>
    <w:uiPriority w:val="99"/>
    <w:semiHidden/>
    <w:locked/>
    <w:rsid w:val="00E9602C"/>
    <w:rPr>
      <w:rFonts w:ascii="Times New Roman" w:hAnsi="Times New Roman" w:cs="Times New Roman"/>
      <w:sz w:val="20"/>
      <w:szCs w:val="20"/>
      <w:lang w:val="lt-LT" w:eastAsia="lt-LT"/>
    </w:rPr>
  </w:style>
  <w:style w:type="character" w:styleId="FootnoteReference">
    <w:name w:val="footnote reference"/>
    <w:aliases w:val="BVI fnr,Footnote symbol,Footnote anchor,Times 10 Point,Exposant 3 Point,Footnote reference number,Voetnootverwijzing,Footnote number,fr,Footnotemark,FR,Footnotemark1,Footnotemark2,FR1,Footnotemark3,FR2,Footnotemark4,FR3"/>
    <w:basedOn w:val="DefaultParagraphFont"/>
    <w:uiPriority w:val="99"/>
    <w:rsid w:val="00E9602C"/>
    <w:rPr>
      <w:rFonts w:cs="Times New Roman"/>
      <w:vertAlign w:val="superscript"/>
    </w:rPr>
  </w:style>
  <w:style w:type="paragraph" w:styleId="FootnoteText">
    <w:name w:val="footnote text"/>
    <w:aliases w:val="Footnote,Footnote text,fn,Footnote Text Char Char,single space,FOOTNOTES,Footnote Text Char1,single space Char,ft Char,ft,Footnote Text Char Char1 Char,Footnote Text2,Footnote Text Char Char Char1,Char Char Char Char Char,AD"/>
    <w:basedOn w:val="Normal"/>
    <w:link w:val="FootnoteTextChar2"/>
    <w:uiPriority w:val="99"/>
    <w:rsid w:val="00E9602C"/>
    <w:pPr>
      <w:spacing w:after="0" w:line="240" w:lineRule="auto"/>
    </w:pPr>
    <w:rPr>
      <w:rFonts w:ascii="Times New Roman" w:hAnsi="Times New Roman"/>
      <w:noProof/>
      <w:sz w:val="20"/>
      <w:szCs w:val="20"/>
      <w:lang w:val="lt-LT"/>
    </w:rPr>
  </w:style>
  <w:style w:type="character" w:customStyle="1" w:styleId="FootnoteTextChar">
    <w:name w:val="Footnote Text Char"/>
    <w:aliases w:val="Footnote Char,Footnote text Char,fn Char,Footnote Text Char Char Char,single space Char1,FOOTNOTES Char,Footnote Text Char1 Char,single space Char Char,ft Char Char,ft Char1,Footnote Text Char Char1 Char Char,Footnote Text2 Char"/>
    <w:basedOn w:val="DefaultParagraphFont"/>
    <w:uiPriority w:val="99"/>
    <w:semiHidden/>
    <w:locked/>
    <w:rsid w:val="00DD25C6"/>
    <w:rPr>
      <w:rFonts w:cs="Times New Roman"/>
      <w:sz w:val="20"/>
      <w:szCs w:val="20"/>
    </w:rPr>
  </w:style>
  <w:style w:type="character" w:customStyle="1" w:styleId="FootnoteTextChar2">
    <w:name w:val="Footnote Text Char2"/>
    <w:aliases w:val="Footnote Char1,Footnote text Char1,fn Char1,Footnote Text Char Char Char2,single space Char2,FOOTNOTES Char1,Footnote Text Char1 Char1,single space Char Char1,ft Char Char1,ft Char2,Footnote Text Char Char1 Char Char1,AD Char"/>
    <w:basedOn w:val="DefaultParagraphFont"/>
    <w:link w:val="FootnoteText"/>
    <w:uiPriority w:val="99"/>
    <w:locked/>
    <w:rsid w:val="00E9602C"/>
    <w:rPr>
      <w:rFonts w:ascii="Times New Roman" w:hAnsi="Times New Roman" w:cs="Times New Roman"/>
      <w:noProof/>
      <w:sz w:val="20"/>
      <w:szCs w:val="20"/>
      <w:lang w:val="lt-LT"/>
    </w:rPr>
  </w:style>
  <w:style w:type="paragraph" w:customStyle="1" w:styleId="ListParagraph1">
    <w:name w:val="List Paragraph1"/>
    <w:basedOn w:val="Normal"/>
    <w:uiPriority w:val="99"/>
    <w:rsid w:val="00E9602C"/>
    <w:pPr>
      <w:overflowPunct w:val="0"/>
      <w:autoSpaceDE w:val="0"/>
      <w:autoSpaceDN w:val="0"/>
      <w:adjustRightInd w:val="0"/>
      <w:spacing w:after="0" w:line="240" w:lineRule="auto"/>
      <w:ind w:left="720"/>
      <w:textAlignment w:val="baseline"/>
    </w:pPr>
    <w:rPr>
      <w:rFonts w:ascii="Times New Roman" w:hAnsi="Times New Roman"/>
      <w:sz w:val="24"/>
      <w:szCs w:val="20"/>
      <w:lang w:val="lt-LT" w:eastAsia="ko-KR"/>
    </w:rPr>
  </w:style>
  <w:style w:type="paragraph" w:customStyle="1" w:styleId="FigureTitle">
    <w:name w:val="Figure Title"/>
    <w:basedOn w:val="Normal"/>
    <w:next w:val="Normal"/>
    <w:uiPriority w:val="99"/>
    <w:rsid w:val="00E9602C"/>
    <w:pPr>
      <w:keepNext/>
      <w:spacing w:after="240"/>
      <w:jc w:val="center"/>
    </w:pPr>
    <w:rPr>
      <w:rFonts w:ascii="Arial" w:hAnsi="Arial" w:cs="Arial"/>
      <w:b/>
      <w:bCs/>
      <w:sz w:val="18"/>
    </w:rPr>
  </w:style>
  <w:style w:type="paragraph" w:customStyle="1" w:styleId="SourceDescription">
    <w:name w:val="Source Description"/>
    <w:basedOn w:val="Normal"/>
    <w:next w:val="BodyText"/>
    <w:uiPriority w:val="99"/>
    <w:rsid w:val="00E9602C"/>
    <w:pPr>
      <w:spacing w:after="360"/>
    </w:pPr>
    <w:rPr>
      <w:rFonts w:ascii="Arial" w:hAnsi="Arial" w:cs="Arial"/>
      <w:sz w:val="16"/>
      <w:szCs w:val="18"/>
    </w:rPr>
  </w:style>
  <w:style w:type="paragraph" w:customStyle="1" w:styleId="CharChar2DiagramaCharCharDiagramaDiagramaDiagrama">
    <w:name w:val="Char Char2 Diagrama Char Char Diagrama Diagrama Diagrama"/>
    <w:basedOn w:val="Normal"/>
    <w:uiPriority w:val="99"/>
    <w:rsid w:val="00E9602C"/>
    <w:pPr>
      <w:spacing w:after="160" w:line="240" w:lineRule="exact"/>
    </w:pPr>
    <w:rPr>
      <w:rFonts w:ascii="Tahoma" w:hAnsi="Tahoma"/>
      <w:sz w:val="20"/>
      <w:szCs w:val="20"/>
      <w:lang w:val="en-US"/>
    </w:rPr>
  </w:style>
  <w:style w:type="table" w:styleId="TableGrid">
    <w:name w:val="Table Grid"/>
    <w:basedOn w:val="TableNormal"/>
    <w:uiPriority w:val="99"/>
    <w:rsid w:val="00E9602C"/>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TEMENT---Item">
    <w:name w:val="STATEMENT --- Item"/>
    <w:basedOn w:val="Normal"/>
    <w:autoRedefine/>
    <w:uiPriority w:val="99"/>
    <w:rsid w:val="00E9602C"/>
    <w:pPr>
      <w:pBdr>
        <w:top w:val="single" w:sz="4" w:space="1" w:color="auto"/>
        <w:left w:val="single" w:sz="4" w:space="1" w:color="auto"/>
        <w:bottom w:val="single" w:sz="4" w:space="1" w:color="auto"/>
        <w:right w:val="single" w:sz="4" w:space="1" w:color="auto"/>
      </w:pBdr>
      <w:spacing w:after="0" w:line="240" w:lineRule="auto"/>
      <w:jc w:val="both"/>
    </w:pPr>
    <w:rPr>
      <w:rFonts w:ascii="Times New Roman" w:hAnsi="Times New Roman"/>
      <w:bCs/>
      <w:color w:val="000000"/>
      <w:spacing w:val="-4"/>
      <w:sz w:val="24"/>
      <w:szCs w:val="24"/>
      <w:lang w:val="lt-LT"/>
    </w:rPr>
  </w:style>
  <w:style w:type="paragraph" w:customStyle="1" w:styleId="Komentarai">
    <w:name w:val="Komentarai"/>
    <w:basedOn w:val="BodyText"/>
    <w:uiPriority w:val="99"/>
    <w:rsid w:val="00E9602C"/>
    <w:pPr>
      <w:pBdr>
        <w:right w:val="single" w:sz="12" w:space="4" w:color="FF0000"/>
      </w:pBdr>
      <w:spacing w:after="240" w:line="240" w:lineRule="atLeast"/>
      <w:ind w:left="1077"/>
      <w:jc w:val="both"/>
    </w:pPr>
    <w:rPr>
      <w:sz w:val="20"/>
    </w:rPr>
  </w:style>
  <w:style w:type="paragraph" w:customStyle="1" w:styleId="Table">
    <w:name w:val="Table"/>
    <w:basedOn w:val="BodyText"/>
    <w:next w:val="CommentText"/>
    <w:uiPriority w:val="99"/>
    <w:rsid w:val="00E9602C"/>
    <w:pPr>
      <w:keepNext/>
      <w:keepLines/>
      <w:spacing w:line="240" w:lineRule="atLeast"/>
    </w:pPr>
    <w:rPr>
      <w:szCs w:val="24"/>
    </w:rPr>
  </w:style>
  <w:style w:type="paragraph" w:customStyle="1" w:styleId="Grafikas">
    <w:name w:val="Grafikas"/>
    <w:basedOn w:val="Normal"/>
    <w:next w:val="Table"/>
    <w:link w:val="GrafikasDiagrama"/>
    <w:uiPriority w:val="99"/>
    <w:rsid w:val="00E9602C"/>
    <w:pPr>
      <w:keepNext/>
      <w:tabs>
        <w:tab w:val="left" w:pos="1152"/>
      </w:tabs>
      <w:spacing w:after="0" w:line="240" w:lineRule="atLeast"/>
      <w:jc w:val="both"/>
    </w:pPr>
    <w:rPr>
      <w:rFonts w:ascii="Times New Roman" w:hAnsi="Times New Roman"/>
      <w:sz w:val="24"/>
      <w:szCs w:val="20"/>
      <w:lang w:val="lt-LT"/>
    </w:rPr>
  </w:style>
  <w:style w:type="character" w:customStyle="1" w:styleId="GrafikasDiagrama">
    <w:name w:val="Grafikas Diagrama"/>
    <w:link w:val="Grafikas"/>
    <w:uiPriority w:val="99"/>
    <w:locked/>
    <w:rsid w:val="00E9602C"/>
    <w:rPr>
      <w:rFonts w:ascii="Times New Roman" w:hAnsi="Times New Roman"/>
      <w:sz w:val="24"/>
      <w:lang w:val="lt-LT"/>
    </w:rPr>
  </w:style>
  <w:style w:type="character" w:customStyle="1" w:styleId="TableheadingDiagrama">
    <w:name w:val="Table_heading Diagrama"/>
    <w:link w:val="Tableheading"/>
    <w:uiPriority w:val="99"/>
    <w:locked/>
    <w:rsid w:val="00E9602C"/>
    <w:rPr>
      <w:rFonts w:ascii="Times New Roman" w:hAnsi="Times New Roman"/>
      <w:b/>
      <w:sz w:val="24"/>
      <w:lang w:val="lt-LT"/>
    </w:rPr>
  </w:style>
  <w:style w:type="paragraph" w:customStyle="1" w:styleId="Tableheading">
    <w:name w:val="Table_heading"/>
    <w:basedOn w:val="BodyText"/>
    <w:next w:val="Table"/>
    <w:link w:val="TableheadingDiagrama"/>
    <w:uiPriority w:val="99"/>
    <w:rsid w:val="00E9602C"/>
    <w:pPr>
      <w:keepNext/>
      <w:tabs>
        <w:tab w:val="num" w:pos="1800"/>
      </w:tabs>
      <w:spacing w:line="240" w:lineRule="atLeast"/>
      <w:jc w:val="both"/>
    </w:pPr>
    <w:rPr>
      <w:b/>
    </w:rPr>
  </w:style>
  <w:style w:type="paragraph" w:customStyle="1" w:styleId="Paveiklas">
    <w:name w:val="Paveiklas"/>
    <w:basedOn w:val="Grafikas"/>
    <w:next w:val="Table"/>
    <w:uiPriority w:val="99"/>
    <w:rsid w:val="00E9602C"/>
    <w:pPr>
      <w:tabs>
        <w:tab w:val="num" w:pos="1080"/>
      </w:tabs>
    </w:pPr>
  </w:style>
  <w:style w:type="paragraph" w:customStyle="1" w:styleId="Pagrindiniaiteiginiaihead">
    <w:name w:val="Pagrindiniai_teiginiai_head"/>
    <w:basedOn w:val="BodyText"/>
    <w:next w:val="Pagrindiniaiteiginiaitext"/>
    <w:uiPriority w:val="99"/>
    <w:rsid w:val="00E9602C"/>
    <w:pPr>
      <w:pBdr>
        <w:top w:val="single" w:sz="8" w:space="1" w:color="auto"/>
        <w:left w:val="single" w:sz="8" w:space="4" w:color="auto"/>
        <w:bottom w:val="single" w:sz="8" w:space="1" w:color="auto"/>
        <w:right w:val="single" w:sz="8" w:space="4" w:color="auto"/>
      </w:pBdr>
      <w:spacing w:after="240" w:line="240" w:lineRule="atLeast"/>
      <w:ind w:firstLine="360"/>
      <w:jc w:val="both"/>
    </w:pPr>
    <w:rPr>
      <w:b/>
      <w:szCs w:val="24"/>
    </w:rPr>
  </w:style>
  <w:style w:type="paragraph" w:customStyle="1" w:styleId="Pagrindiniaiteiginiaitext">
    <w:name w:val="Pagrindiniai teiginiai text"/>
    <w:basedOn w:val="Pagrindiniaiteiginiaihead"/>
    <w:uiPriority w:val="99"/>
    <w:rsid w:val="00E9602C"/>
    <w:rPr>
      <w:b w:val="0"/>
    </w:rPr>
  </w:style>
  <w:style w:type="paragraph" w:styleId="BodyTextIndent">
    <w:name w:val="Body Text Indent"/>
    <w:basedOn w:val="Normal"/>
    <w:link w:val="BodyTextIndentChar"/>
    <w:uiPriority w:val="99"/>
    <w:rsid w:val="00E9602C"/>
    <w:pPr>
      <w:spacing w:after="120" w:line="240" w:lineRule="auto"/>
      <w:ind w:left="283"/>
    </w:pPr>
    <w:rPr>
      <w:rFonts w:ascii="Times New Roman" w:hAnsi="Times New Roman"/>
      <w:sz w:val="24"/>
      <w:szCs w:val="24"/>
      <w:lang w:val="lt-LT" w:eastAsia="lt-LT"/>
    </w:rPr>
  </w:style>
  <w:style w:type="character" w:customStyle="1" w:styleId="BodyTextIndentChar">
    <w:name w:val="Body Text Indent Char"/>
    <w:basedOn w:val="DefaultParagraphFont"/>
    <w:link w:val="BodyTextIndent"/>
    <w:uiPriority w:val="99"/>
    <w:locked/>
    <w:rsid w:val="00E9602C"/>
    <w:rPr>
      <w:rFonts w:ascii="Times New Roman" w:hAnsi="Times New Roman" w:cs="Times New Roman"/>
      <w:sz w:val="24"/>
      <w:szCs w:val="24"/>
      <w:lang w:val="lt-LT" w:eastAsia="lt-LT"/>
    </w:rPr>
  </w:style>
  <w:style w:type="paragraph" w:styleId="BodyText2">
    <w:name w:val="Body Text 2"/>
    <w:basedOn w:val="Normal"/>
    <w:link w:val="BodyText2Char"/>
    <w:uiPriority w:val="99"/>
    <w:rsid w:val="00E9602C"/>
    <w:pPr>
      <w:spacing w:after="120" w:line="480" w:lineRule="auto"/>
    </w:pPr>
    <w:rPr>
      <w:rFonts w:ascii="Times New Roman" w:hAnsi="Times New Roman"/>
      <w:sz w:val="24"/>
      <w:szCs w:val="24"/>
      <w:lang w:val="lt-LT" w:eastAsia="lt-LT"/>
    </w:rPr>
  </w:style>
  <w:style w:type="character" w:customStyle="1" w:styleId="BodyText2Char">
    <w:name w:val="Body Text 2 Char"/>
    <w:basedOn w:val="DefaultParagraphFont"/>
    <w:link w:val="BodyText2"/>
    <w:uiPriority w:val="99"/>
    <w:locked/>
    <w:rsid w:val="00E9602C"/>
    <w:rPr>
      <w:rFonts w:ascii="Times New Roman" w:hAnsi="Times New Roman" w:cs="Times New Roman"/>
      <w:sz w:val="24"/>
      <w:szCs w:val="24"/>
      <w:lang w:val="lt-LT" w:eastAsia="lt-LT"/>
    </w:rPr>
  </w:style>
  <w:style w:type="paragraph" w:customStyle="1" w:styleId="LIST--Simple1">
    <w:name w:val="LIST -- Simple 1"/>
    <w:basedOn w:val="Normal"/>
    <w:uiPriority w:val="99"/>
    <w:rsid w:val="00E9602C"/>
    <w:pPr>
      <w:tabs>
        <w:tab w:val="num" w:pos="756"/>
      </w:tabs>
      <w:spacing w:after="0" w:line="240" w:lineRule="auto"/>
      <w:ind w:left="756" w:hanging="396"/>
    </w:pPr>
    <w:rPr>
      <w:rFonts w:ascii="Arial" w:hAnsi="Arial" w:cs="Arial"/>
      <w:noProof/>
      <w:sz w:val="20"/>
      <w:szCs w:val="20"/>
      <w:lang w:val="lt-LT" w:eastAsia="lt-LT"/>
    </w:rPr>
  </w:style>
  <w:style w:type="paragraph" w:styleId="ListBullet">
    <w:name w:val="List Bullet"/>
    <w:aliases w:val="List Bullet Char,List Bullet Char1 Char,List Bullet Char Char Char Char"/>
    <w:basedOn w:val="BodyText"/>
    <w:autoRedefine/>
    <w:uiPriority w:val="99"/>
    <w:rsid w:val="00E9602C"/>
    <w:pPr>
      <w:tabs>
        <w:tab w:val="num" w:pos="720"/>
      </w:tabs>
      <w:spacing w:before="40" w:after="40" w:line="270" w:lineRule="atLeast"/>
      <w:ind w:left="720" w:hanging="360"/>
      <w:jc w:val="both"/>
    </w:pPr>
    <w:rPr>
      <w:lang w:eastAsia="da-DK"/>
    </w:rPr>
  </w:style>
  <w:style w:type="paragraph" w:styleId="BodyTextIndent2">
    <w:name w:val="Body Text Indent 2"/>
    <w:basedOn w:val="Normal"/>
    <w:link w:val="BodyTextIndent2Char"/>
    <w:uiPriority w:val="99"/>
    <w:rsid w:val="00E9602C"/>
    <w:pPr>
      <w:spacing w:after="120" w:line="480" w:lineRule="auto"/>
      <w:ind w:left="283"/>
    </w:pPr>
    <w:rPr>
      <w:rFonts w:ascii="Times New Roman" w:hAnsi="Times New Roman"/>
      <w:sz w:val="24"/>
      <w:szCs w:val="20"/>
      <w:lang w:val="lt-LT" w:eastAsia="lt-LT"/>
    </w:rPr>
  </w:style>
  <w:style w:type="character" w:customStyle="1" w:styleId="BodyTextIndent2Char">
    <w:name w:val="Body Text Indent 2 Char"/>
    <w:basedOn w:val="DefaultParagraphFont"/>
    <w:link w:val="BodyTextIndent2"/>
    <w:uiPriority w:val="99"/>
    <w:locked/>
    <w:rsid w:val="00E9602C"/>
    <w:rPr>
      <w:rFonts w:ascii="Times New Roman" w:hAnsi="Times New Roman" w:cs="Times New Roman"/>
      <w:sz w:val="20"/>
      <w:szCs w:val="20"/>
      <w:lang w:val="lt-LT" w:eastAsia="lt-LT"/>
    </w:rPr>
  </w:style>
  <w:style w:type="paragraph" w:customStyle="1" w:styleId="HEADING---Level3">
    <w:name w:val="HEADING --- Level 3"/>
    <w:basedOn w:val="HEADING---Level2"/>
    <w:link w:val="HEADING---Level3Char"/>
    <w:autoRedefine/>
    <w:uiPriority w:val="99"/>
    <w:rsid w:val="00412D98"/>
    <w:rPr>
      <w:sz w:val="20"/>
    </w:rPr>
  </w:style>
  <w:style w:type="character" w:styleId="PageNumber">
    <w:name w:val="page number"/>
    <w:aliases w:val="Diagrama Char Char1 Diagrama Diagrama Diagrama Diagrama Diagrama"/>
    <w:basedOn w:val="DefaultParagraphFont"/>
    <w:uiPriority w:val="99"/>
    <w:rsid w:val="00E9602C"/>
    <w:rPr>
      <w:rFonts w:cs="Times New Roman"/>
    </w:rPr>
  </w:style>
  <w:style w:type="paragraph" w:customStyle="1" w:styleId="Lentelstekstas">
    <w:name w:val="Lentelės_tekstas"/>
    <w:basedOn w:val="Normal"/>
    <w:next w:val="CommentText"/>
    <w:uiPriority w:val="99"/>
    <w:rsid w:val="00E9602C"/>
    <w:pPr>
      <w:spacing w:before="60" w:after="0" w:line="240" w:lineRule="atLeast"/>
      <w:jc w:val="both"/>
    </w:pPr>
    <w:rPr>
      <w:rFonts w:ascii="Times New Roman" w:hAnsi="Times New Roman"/>
      <w:noProof/>
      <w:sz w:val="18"/>
      <w:szCs w:val="18"/>
      <w:lang w:val="lt-LT"/>
    </w:rPr>
  </w:style>
  <w:style w:type="paragraph" w:customStyle="1" w:styleId="Vardijimas">
    <w:name w:val="Vardijimas"/>
    <w:basedOn w:val="BodyText"/>
    <w:next w:val="BodyText"/>
    <w:uiPriority w:val="99"/>
    <w:rsid w:val="00E9602C"/>
    <w:pPr>
      <w:tabs>
        <w:tab w:val="num" w:pos="720"/>
      </w:tabs>
      <w:spacing w:after="60" w:line="240" w:lineRule="atLeast"/>
      <w:ind w:left="720" w:hanging="360"/>
      <w:jc w:val="both"/>
    </w:pPr>
    <w:rPr>
      <w:szCs w:val="24"/>
    </w:rPr>
  </w:style>
  <w:style w:type="paragraph" w:customStyle="1" w:styleId="Lentelestekstasdidelis">
    <w:name w:val="Lenteles_tekstas_didelis"/>
    <w:basedOn w:val="Lentelstekstas"/>
    <w:next w:val="BodyText"/>
    <w:uiPriority w:val="99"/>
    <w:rsid w:val="00E9602C"/>
    <w:rPr>
      <w:sz w:val="24"/>
    </w:rPr>
  </w:style>
  <w:style w:type="paragraph" w:customStyle="1" w:styleId="Text4">
    <w:name w:val="Text 4"/>
    <w:basedOn w:val="Normal"/>
    <w:uiPriority w:val="99"/>
    <w:rsid w:val="00E9602C"/>
    <w:pPr>
      <w:tabs>
        <w:tab w:val="left" w:pos="2302"/>
      </w:tabs>
      <w:spacing w:after="240" w:line="240" w:lineRule="auto"/>
      <w:ind w:left="1202"/>
      <w:jc w:val="both"/>
    </w:pPr>
    <w:rPr>
      <w:rFonts w:ascii="Times New Roman" w:hAnsi="Times New Roman"/>
      <w:sz w:val="24"/>
      <w:szCs w:val="20"/>
      <w:lang w:val="en-GB" w:eastAsia="lt-LT"/>
    </w:rPr>
  </w:style>
  <w:style w:type="paragraph" w:customStyle="1" w:styleId="Regulartext">
    <w:name w:val="Regular text"/>
    <w:basedOn w:val="Normal"/>
    <w:uiPriority w:val="99"/>
    <w:rsid w:val="00E9602C"/>
    <w:pPr>
      <w:spacing w:before="120" w:after="120" w:line="240" w:lineRule="auto"/>
      <w:ind w:left="142"/>
      <w:jc w:val="both"/>
    </w:pPr>
    <w:rPr>
      <w:rFonts w:ascii="Verdana" w:hAnsi="Verdana"/>
      <w:sz w:val="18"/>
      <w:szCs w:val="20"/>
      <w:lang w:val="lt-LT"/>
    </w:rPr>
  </w:style>
  <w:style w:type="paragraph" w:customStyle="1" w:styleId="NormalBold">
    <w:name w:val="Normal + Bold"/>
    <w:basedOn w:val="Normal"/>
    <w:uiPriority w:val="99"/>
    <w:rsid w:val="00E9602C"/>
    <w:pPr>
      <w:spacing w:line="240" w:lineRule="auto"/>
      <w:ind w:right="-101"/>
      <w:jc w:val="both"/>
    </w:pPr>
    <w:rPr>
      <w:rFonts w:ascii="Verdana" w:hAnsi="Verdana"/>
      <w:color w:val="000000"/>
      <w:sz w:val="20"/>
      <w:szCs w:val="20"/>
      <w:lang w:val="en-GB"/>
    </w:rPr>
  </w:style>
  <w:style w:type="paragraph" w:customStyle="1" w:styleId="Numarevimas">
    <w:name w:val="Numarevimas"/>
    <w:basedOn w:val="BodyText"/>
    <w:next w:val="BodyText"/>
    <w:uiPriority w:val="99"/>
    <w:rsid w:val="00E9602C"/>
    <w:pPr>
      <w:tabs>
        <w:tab w:val="num" w:pos="357"/>
      </w:tabs>
      <w:spacing w:before="120" w:after="120" w:line="240" w:lineRule="atLeast"/>
      <w:ind w:left="714" w:hanging="357"/>
      <w:jc w:val="both"/>
    </w:pPr>
    <w:rPr>
      <w:szCs w:val="24"/>
    </w:rPr>
  </w:style>
  <w:style w:type="paragraph" w:customStyle="1" w:styleId="Lentele2">
    <w:name w:val="Lentele2"/>
    <w:basedOn w:val="BodyText"/>
    <w:next w:val="BodyText"/>
    <w:uiPriority w:val="99"/>
    <w:rsid w:val="00E9602C"/>
    <w:pPr>
      <w:keepNext/>
      <w:spacing w:before="60" w:after="120" w:line="240" w:lineRule="atLeast"/>
      <w:jc w:val="both"/>
    </w:pPr>
    <w:rPr>
      <w:i/>
      <w:szCs w:val="24"/>
    </w:rPr>
  </w:style>
  <w:style w:type="paragraph" w:customStyle="1" w:styleId="Lenteles2paaiskinimas">
    <w:name w:val="Lenteles2 paaiskinimas"/>
    <w:basedOn w:val="BodyText"/>
    <w:next w:val="BodyText"/>
    <w:uiPriority w:val="99"/>
    <w:rsid w:val="00E9602C"/>
    <w:pPr>
      <w:spacing w:before="120" w:after="120" w:line="240" w:lineRule="atLeast"/>
      <w:jc w:val="both"/>
    </w:pPr>
    <w:rPr>
      <w:b/>
      <w:szCs w:val="24"/>
    </w:rPr>
  </w:style>
  <w:style w:type="character" w:customStyle="1" w:styleId="DiagramaDiagrama2">
    <w:name w:val="Diagrama Diagrama2"/>
    <w:uiPriority w:val="99"/>
    <w:rsid w:val="00E9602C"/>
    <w:rPr>
      <w:sz w:val="24"/>
      <w:lang w:val="lt-LT" w:eastAsia="en-US"/>
    </w:rPr>
  </w:style>
  <w:style w:type="paragraph" w:customStyle="1" w:styleId="BlockQuotation">
    <w:name w:val="Block Quotation"/>
    <w:basedOn w:val="BodyText"/>
    <w:link w:val="BlockQuotationChar"/>
    <w:uiPriority w:val="99"/>
    <w:rsid w:val="00E9602C"/>
    <w:pPr>
      <w:keepLines/>
      <w:pBdr>
        <w:top w:val="single" w:sz="6" w:space="14" w:color="808080"/>
        <w:left w:val="single" w:sz="6" w:space="14" w:color="808080"/>
        <w:bottom w:val="single" w:sz="6" w:space="14" w:color="808080"/>
        <w:right w:val="single" w:sz="6" w:space="14" w:color="808080"/>
      </w:pBdr>
      <w:spacing w:before="120" w:after="120" w:line="240" w:lineRule="atLeast"/>
      <w:ind w:left="720" w:right="720"/>
      <w:jc w:val="both"/>
    </w:pPr>
    <w:rPr>
      <w:i/>
      <w:sz w:val="20"/>
      <w:lang w:val="en-US"/>
    </w:rPr>
  </w:style>
  <w:style w:type="character" w:customStyle="1" w:styleId="BlockQuotationChar">
    <w:name w:val="Block Quotation Char"/>
    <w:link w:val="BlockQuotation"/>
    <w:uiPriority w:val="99"/>
    <w:locked/>
    <w:rsid w:val="00E9602C"/>
    <w:rPr>
      <w:rFonts w:ascii="Times New Roman" w:hAnsi="Times New Roman"/>
      <w:i/>
      <w:sz w:val="20"/>
      <w:lang w:val="en-US"/>
    </w:rPr>
  </w:style>
  <w:style w:type="paragraph" w:styleId="Caption">
    <w:name w:val="caption"/>
    <w:basedOn w:val="Normal"/>
    <w:next w:val="BodyText"/>
    <w:uiPriority w:val="99"/>
    <w:qFormat/>
    <w:rsid w:val="00E9602C"/>
    <w:pPr>
      <w:spacing w:after="240" w:line="240" w:lineRule="auto"/>
      <w:contextualSpacing/>
      <w:jc w:val="center"/>
    </w:pPr>
    <w:rPr>
      <w:rFonts w:ascii="Times New Roman" w:hAnsi="Times New Roman"/>
      <w:i/>
      <w:noProof/>
      <w:sz w:val="24"/>
      <w:szCs w:val="20"/>
      <w:lang w:val="lt-LT"/>
    </w:rPr>
  </w:style>
  <w:style w:type="character" w:customStyle="1" w:styleId="Lead-inEmphasis">
    <w:name w:val="Lead-in Emphasis"/>
    <w:uiPriority w:val="99"/>
    <w:rsid w:val="00E9602C"/>
    <w:rPr>
      <w:caps/>
      <w:sz w:val="18"/>
    </w:rPr>
  </w:style>
  <w:style w:type="paragraph" w:customStyle="1" w:styleId="SubtitleCover">
    <w:name w:val="Subtitle Cover"/>
    <w:basedOn w:val="TitleCover"/>
    <w:next w:val="BodyText"/>
    <w:uiPriority w:val="99"/>
    <w:rsid w:val="00E9602C"/>
    <w:pPr>
      <w:pBdr>
        <w:top w:val="single" w:sz="6" w:space="12" w:color="808080"/>
      </w:pBdr>
      <w:spacing w:after="0" w:line="440" w:lineRule="atLeast"/>
    </w:pPr>
    <w:rPr>
      <w:spacing w:val="30"/>
      <w:sz w:val="36"/>
    </w:rPr>
  </w:style>
  <w:style w:type="paragraph" w:customStyle="1" w:styleId="TitleCover">
    <w:name w:val="Title Cover"/>
    <w:basedOn w:val="Normal"/>
    <w:next w:val="SubtitleCover"/>
    <w:uiPriority w:val="99"/>
    <w:rsid w:val="00E9602C"/>
    <w:pPr>
      <w:keepNext/>
      <w:keepLines/>
      <w:spacing w:after="240" w:line="720" w:lineRule="atLeast"/>
      <w:jc w:val="center"/>
    </w:pPr>
    <w:rPr>
      <w:rFonts w:ascii="Garamond" w:hAnsi="Garamond"/>
      <w:caps/>
      <w:noProof/>
      <w:spacing w:val="65"/>
      <w:kern w:val="20"/>
      <w:sz w:val="64"/>
      <w:szCs w:val="64"/>
      <w:lang w:val="lt-LT"/>
    </w:rPr>
  </w:style>
  <w:style w:type="paragraph" w:styleId="Subtitle">
    <w:name w:val="Subtitle"/>
    <w:basedOn w:val="Title"/>
    <w:next w:val="BodyText"/>
    <w:link w:val="SubtitleChar"/>
    <w:uiPriority w:val="99"/>
    <w:qFormat/>
    <w:rsid w:val="00E9602C"/>
    <w:pPr>
      <w:spacing w:after="420"/>
    </w:pPr>
    <w:rPr>
      <w:spacing w:val="20"/>
      <w:sz w:val="20"/>
    </w:rPr>
  </w:style>
  <w:style w:type="character" w:customStyle="1" w:styleId="SubtitleChar">
    <w:name w:val="Subtitle Char"/>
    <w:basedOn w:val="DefaultParagraphFont"/>
    <w:link w:val="Subtitle"/>
    <w:uiPriority w:val="99"/>
    <w:locked/>
    <w:rsid w:val="00E9602C"/>
    <w:rPr>
      <w:rFonts w:ascii="Times New Roman" w:hAnsi="Times New Roman" w:cs="Times New Roman"/>
      <w:caps/>
      <w:noProof/>
      <w:spacing w:val="20"/>
      <w:kern w:val="20"/>
      <w:sz w:val="20"/>
      <w:szCs w:val="20"/>
      <w:lang w:val="lt-LT"/>
    </w:rPr>
  </w:style>
  <w:style w:type="paragraph" w:styleId="Title">
    <w:name w:val="Title"/>
    <w:basedOn w:val="Normal"/>
    <w:next w:val="Subtitle"/>
    <w:link w:val="TitleChar"/>
    <w:uiPriority w:val="99"/>
    <w:qFormat/>
    <w:rsid w:val="00E9602C"/>
    <w:pPr>
      <w:keepNext/>
      <w:keepLines/>
      <w:spacing w:before="140" w:after="0" w:line="240" w:lineRule="auto"/>
      <w:jc w:val="center"/>
    </w:pPr>
    <w:rPr>
      <w:rFonts w:ascii="Times New Roman" w:hAnsi="Times New Roman"/>
      <w:caps/>
      <w:noProof/>
      <w:spacing w:val="60"/>
      <w:kern w:val="20"/>
      <w:sz w:val="44"/>
      <w:szCs w:val="20"/>
      <w:lang w:val="lt-LT"/>
    </w:rPr>
  </w:style>
  <w:style w:type="character" w:customStyle="1" w:styleId="TitleChar">
    <w:name w:val="Title Char"/>
    <w:basedOn w:val="DefaultParagraphFont"/>
    <w:link w:val="Title"/>
    <w:uiPriority w:val="99"/>
    <w:locked/>
    <w:rsid w:val="00E9602C"/>
    <w:rPr>
      <w:rFonts w:ascii="Times New Roman" w:hAnsi="Times New Roman" w:cs="Times New Roman"/>
      <w:caps/>
      <w:noProof/>
      <w:spacing w:val="60"/>
      <w:kern w:val="20"/>
      <w:sz w:val="20"/>
      <w:szCs w:val="20"/>
      <w:lang w:val="lt-LT"/>
    </w:rPr>
  </w:style>
  <w:style w:type="paragraph" w:customStyle="1" w:styleId="Columnheadings">
    <w:name w:val="Column headings"/>
    <w:basedOn w:val="Normal"/>
    <w:uiPriority w:val="99"/>
    <w:rsid w:val="00E9602C"/>
    <w:pPr>
      <w:keepNext/>
      <w:spacing w:before="80" w:after="0" w:line="240" w:lineRule="auto"/>
      <w:jc w:val="center"/>
    </w:pPr>
    <w:rPr>
      <w:rFonts w:ascii="Times New Roman" w:hAnsi="Times New Roman"/>
      <w:caps/>
      <w:noProof/>
      <w:sz w:val="14"/>
      <w:szCs w:val="20"/>
      <w:lang w:val="lt-LT"/>
    </w:rPr>
  </w:style>
  <w:style w:type="paragraph" w:customStyle="1" w:styleId="CompanyName">
    <w:name w:val="Company Name"/>
    <w:basedOn w:val="BodyText"/>
    <w:uiPriority w:val="99"/>
    <w:rsid w:val="00E9602C"/>
    <w:pPr>
      <w:keepLines/>
      <w:framePr w:w="8640" w:h="1440" w:wrap="notBeside" w:vAnchor="page" w:hAnchor="margin" w:xAlign="center" w:y="889"/>
      <w:spacing w:before="120" w:after="40" w:line="240" w:lineRule="atLeast"/>
      <w:jc w:val="center"/>
    </w:pPr>
    <w:rPr>
      <w:caps/>
      <w:spacing w:val="75"/>
      <w:kern w:val="18"/>
      <w:szCs w:val="24"/>
    </w:rPr>
  </w:style>
  <w:style w:type="paragraph" w:customStyle="1" w:styleId="Rowlabels">
    <w:name w:val="Row labels"/>
    <w:basedOn w:val="Normal"/>
    <w:uiPriority w:val="99"/>
    <w:rsid w:val="00E9602C"/>
    <w:pPr>
      <w:keepNext/>
      <w:spacing w:before="40" w:after="0" w:line="240" w:lineRule="auto"/>
    </w:pPr>
    <w:rPr>
      <w:rFonts w:ascii="Times New Roman" w:hAnsi="Times New Roman"/>
      <w:noProof/>
      <w:sz w:val="18"/>
      <w:szCs w:val="20"/>
      <w:lang w:val="lt-LT"/>
    </w:rPr>
  </w:style>
  <w:style w:type="paragraph" w:customStyle="1" w:styleId="Percentage">
    <w:name w:val="Percentage"/>
    <w:basedOn w:val="Normal"/>
    <w:uiPriority w:val="99"/>
    <w:rsid w:val="00E9602C"/>
    <w:pPr>
      <w:spacing w:before="40" w:after="0" w:line="240" w:lineRule="auto"/>
      <w:jc w:val="center"/>
    </w:pPr>
    <w:rPr>
      <w:rFonts w:ascii="Times New Roman" w:hAnsi="Times New Roman"/>
      <w:noProof/>
      <w:sz w:val="18"/>
      <w:szCs w:val="20"/>
      <w:lang w:val="lt-LT"/>
    </w:rPr>
  </w:style>
  <w:style w:type="paragraph" w:customStyle="1" w:styleId="NumberedList">
    <w:name w:val="Numbered List"/>
    <w:basedOn w:val="Normal"/>
    <w:link w:val="NumberedListChar"/>
    <w:uiPriority w:val="99"/>
    <w:rsid w:val="00E9602C"/>
    <w:pPr>
      <w:tabs>
        <w:tab w:val="num" w:pos="360"/>
      </w:tabs>
      <w:spacing w:after="240" w:line="312" w:lineRule="auto"/>
      <w:contextualSpacing/>
    </w:pPr>
    <w:rPr>
      <w:rFonts w:ascii="Garamond" w:hAnsi="Garamond"/>
      <w:sz w:val="20"/>
      <w:szCs w:val="20"/>
      <w:lang w:val="en-US"/>
    </w:rPr>
  </w:style>
  <w:style w:type="character" w:customStyle="1" w:styleId="NumberedListChar">
    <w:name w:val="Numbered List Char"/>
    <w:link w:val="NumberedList"/>
    <w:uiPriority w:val="99"/>
    <w:locked/>
    <w:rsid w:val="00E9602C"/>
    <w:rPr>
      <w:rFonts w:ascii="Garamond" w:hAnsi="Garamond"/>
      <w:sz w:val="20"/>
      <w:lang w:val="en-US"/>
    </w:rPr>
  </w:style>
  <w:style w:type="paragraph" w:customStyle="1" w:styleId="NumberedListBold">
    <w:name w:val="Numbered List Bold"/>
    <w:basedOn w:val="NumberedList"/>
    <w:link w:val="NumberedListBoldChar"/>
    <w:uiPriority w:val="99"/>
    <w:rsid w:val="00E9602C"/>
    <w:pPr>
      <w:tabs>
        <w:tab w:val="clear" w:pos="360"/>
      </w:tabs>
    </w:pPr>
    <w:rPr>
      <w:b/>
    </w:rPr>
  </w:style>
  <w:style w:type="character" w:customStyle="1" w:styleId="NumberedListBoldChar">
    <w:name w:val="Numbered List Bold Char"/>
    <w:link w:val="NumberedListBold"/>
    <w:uiPriority w:val="99"/>
    <w:locked/>
    <w:rsid w:val="00E9602C"/>
    <w:rPr>
      <w:rFonts w:ascii="Garamond" w:hAnsi="Garamond"/>
      <w:b/>
      <w:sz w:val="20"/>
      <w:lang w:val="en-US"/>
    </w:rPr>
  </w:style>
  <w:style w:type="paragraph" w:customStyle="1" w:styleId="LineSpace">
    <w:name w:val="Line Space"/>
    <w:basedOn w:val="Normal"/>
    <w:uiPriority w:val="99"/>
    <w:rsid w:val="00E9602C"/>
    <w:pPr>
      <w:spacing w:after="0" w:line="240" w:lineRule="auto"/>
    </w:pPr>
    <w:rPr>
      <w:rFonts w:ascii="Verdana" w:hAnsi="Verdana"/>
      <w:noProof/>
      <w:sz w:val="12"/>
      <w:szCs w:val="20"/>
      <w:lang w:val="lt-LT"/>
    </w:rPr>
  </w:style>
  <w:style w:type="paragraph" w:customStyle="1" w:styleId="Companyaddress">
    <w:name w:val="Company_address"/>
    <w:basedOn w:val="CompanyName"/>
    <w:uiPriority w:val="99"/>
    <w:rsid w:val="00E9602C"/>
    <w:pPr>
      <w:framePr w:wrap="notBeside"/>
    </w:pPr>
    <w:rPr>
      <w:spacing w:val="50"/>
      <w:sz w:val="16"/>
      <w:szCs w:val="16"/>
    </w:rPr>
  </w:style>
  <w:style w:type="paragraph" w:customStyle="1" w:styleId="SSGGlentele">
    <w:name w:val="SSGG_lentele"/>
    <w:basedOn w:val="BodyText"/>
    <w:uiPriority w:val="99"/>
    <w:rsid w:val="00E9602C"/>
    <w:pPr>
      <w:spacing w:before="120" w:line="240" w:lineRule="atLeast"/>
      <w:ind w:left="113"/>
      <w:jc w:val="both"/>
    </w:pPr>
    <w:rPr>
      <w:szCs w:val="24"/>
    </w:rPr>
  </w:style>
  <w:style w:type="paragraph" w:styleId="BodyTextIndent3">
    <w:name w:val="Body Text Indent 3"/>
    <w:basedOn w:val="Normal"/>
    <w:link w:val="BodyTextIndent3Char"/>
    <w:uiPriority w:val="99"/>
    <w:rsid w:val="00E9602C"/>
    <w:pPr>
      <w:spacing w:after="120" w:line="240" w:lineRule="auto"/>
      <w:ind w:left="283"/>
    </w:pPr>
    <w:rPr>
      <w:rFonts w:ascii="Times New Roman" w:hAnsi="Times New Roman"/>
      <w:noProof/>
      <w:sz w:val="16"/>
      <w:szCs w:val="16"/>
      <w:lang w:val="lt-LT"/>
    </w:rPr>
  </w:style>
  <w:style w:type="character" w:customStyle="1" w:styleId="BodyTextIndent3Char">
    <w:name w:val="Body Text Indent 3 Char"/>
    <w:basedOn w:val="DefaultParagraphFont"/>
    <w:link w:val="BodyTextIndent3"/>
    <w:uiPriority w:val="99"/>
    <w:locked/>
    <w:rsid w:val="00E9602C"/>
    <w:rPr>
      <w:rFonts w:ascii="Times New Roman" w:hAnsi="Times New Roman" w:cs="Times New Roman"/>
      <w:noProof/>
      <w:sz w:val="16"/>
      <w:szCs w:val="16"/>
      <w:lang w:val="lt-LT"/>
    </w:rPr>
  </w:style>
  <w:style w:type="paragraph" w:customStyle="1" w:styleId="Schema">
    <w:name w:val="Schema"/>
    <w:basedOn w:val="Tableheading"/>
    <w:next w:val="Table"/>
    <w:uiPriority w:val="99"/>
    <w:rsid w:val="00E9602C"/>
    <w:pPr>
      <w:tabs>
        <w:tab w:val="clear" w:pos="1800"/>
        <w:tab w:val="num" w:pos="432"/>
      </w:tabs>
      <w:spacing w:before="120"/>
      <w:ind w:left="432" w:hanging="432"/>
    </w:pPr>
  </w:style>
  <w:style w:type="paragraph" w:customStyle="1" w:styleId="Bulleted">
    <w:name w:val="Bulleted"/>
    <w:basedOn w:val="Normal"/>
    <w:uiPriority w:val="99"/>
    <w:rsid w:val="00E9602C"/>
    <w:pPr>
      <w:tabs>
        <w:tab w:val="num" w:pos="720"/>
      </w:tabs>
      <w:spacing w:after="0" w:line="240" w:lineRule="auto"/>
      <w:ind w:left="720" w:hanging="360"/>
    </w:pPr>
    <w:rPr>
      <w:rFonts w:ascii="Times New Roman" w:hAnsi="Times New Roman"/>
      <w:sz w:val="24"/>
      <w:szCs w:val="24"/>
      <w:lang w:val="lt-LT"/>
    </w:rPr>
  </w:style>
  <w:style w:type="paragraph" w:customStyle="1" w:styleId="text">
    <w:name w:val="text"/>
    <w:basedOn w:val="Normal"/>
    <w:uiPriority w:val="99"/>
    <w:rsid w:val="00E9602C"/>
    <w:pPr>
      <w:spacing w:before="100" w:beforeAutospacing="1" w:after="100" w:afterAutospacing="1" w:line="240" w:lineRule="auto"/>
      <w:jc w:val="both"/>
    </w:pPr>
    <w:rPr>
      <w:rFonts w:ascii="Verdana" w:hAnsi="Verdana" w:cs="Arial"/>
      <w:color w:val="000000"/>
      <w:sz w:val="24"/>
      <w:szCs w:val="24"/>
      <w:lang w:val="lt-LT" w:eastAsia="lt-LT"/>
    </w:rPr>
  </w:style>
  <w:style w:type="paragraph" w:customStyle="1" w:styleId="Skyriaus">
    <w:name w:val="Skyriaus"/>
    <w:uiPriority w:val="99"/>
    <w:rsid w:val="00E9602C"/>
    <w:pPr>
      <w:autoSpaceDE w:val="0"/>
      <w:autoSpaceDN w:val="0"/>
      <w:adjustRightInd w:val="0"/>
      <w:spacing w:line="360" w:lineRule="auto"/>
      <w:ind w:firstLine="425"/>
      <w:jc w:val="both"/>
    </w:pPr>
    <w:rPr>
      <w:rFonts w:ascii="Times New Roman" w:hAnsi="Times New Roman"/>
      <w:sz w:val="24"/>
      <w:szCs w:val="20"/>
      <w:lang w:val="lt-LT"/>
    </w:rPr>
  </w:style>
  <w:style w:type="character" w:customStyle="1" w:styleId="DiagramaDiagrama1">
    <w:name w:val="Diagrama Diagrama1"/>
    <w:uiPriority w:val="99"/>
    <w:rsid w:val="00E9602C"/>
    <w:rPr>
      <w:sz w:val="24"/>
      <w:lang w:val="lt-LT" w:eastAsia="en-US"/>
    </w:rPr>
  </w:style>
  <w:style w:type="paragraph" w:customStyle="1" w:styleId="TableText">
    <w:name w:val="Table Text"/>
    <w:basedOn w:val="Normal"/>
    <w:uiPriority w:val="99"/>
    <w:rsid w:val="00E9602C"/>
    <w:pPr>
      <w:spacing w:after="0" w:line="280" w:lineRule="atLeast"/>
    </w:pPr>
    <w:rPr>
      <w:rFonts w:ascii="Arial" w:hAnsi="Arial"/>
      <w:sz w:val="16"/>
      <w:szCs w:val="24"/>
      <w:lang w:val="en-GB"/>
    </w:rPr>
  </w:style>
  <w:style w:type="paragraph" w:customStyle="1" w:styleId="TableHeading0">
    <w:name w:val="Table Heading"/>
    <w:basedOn w:val="TableText"/>
    <w:uiPriority w:val="99"/>
    <w:rsid w:val="00E9602C"/>
    <w:pPr>
      <w:keepNext/>
    </w:pPr>
    <w:rPr>
      <w:b/>
    </w:rPr>
  </w:style>
  <w:style w:type="character" w:styleId="FollowedHyperlink">
    <w:name w:val="FollowedHyperlink"/>
    <w:basedOn w:val="DefaultParagraphFont"/>
    <w:uiPriority w:val="99"/>
    <w:rsid w:val="00E9602C"/>
    <w:rPr>
      <w:rFonts w:cs="Times New Roman"/>
      <w:color w:val="800080"/>
      <w:u w:val="single"/>
    </w:rPr>
  </w:style>
  <w:style w:type="paragraph" w:customStyle="1" w:styleId="Style2">
    <w:name w:val="Style2"/>
    <w:basedOn w:val="Normal"/>
    <w:uiPriority w:val="99"/>
    <w:rsid w:val="00E9602C"/>
    <w:pPr>
      <w:tabs>
        <w:tab w:val="left" w:pos="873"/>
        <w:tab w:val="num" w:pos="1437"/>
      </w:tabs>
      <w:spacing w:after="0" w:line="240" w:lineRule="auto"/>
      <w:ind w:left="1437" w:hanging="360"/>
    </w:pPr>
    <w:rPr>
      <w:rFonts w:ascii="Times New Roman" w:hAnsi="Times New Roman"/>
      <w:sz w:val="24"/>
      <w:szCs w:val="24"/>
      <w:lang w:val="lt-LT"/>
    </w:rPr>
  </w:style>
  <w:style w:type="character" w:customStyle="1" w:styleId="DiagramaDiagrama">
    <w:name w:val="Diagrama Diagrama"/>
    <w:uiPriority w:val="99"/>
    <w:rsid w:val="00E9602C"/>
    <w:rPr>
      <w:sz w:val="24"/>
      <w:lang w:val="lt-LT" w:eastAsia="en-US"/>
    </w:rPr>
  </w:style>
  <w:style w:type="paragraph" w:styleId="TOC1">
    <w:name w:val="toc 1"/>
    <w:basedOn w:val="Normal"/>
    <w:next w:val="Normal"/>
    <w:autoRedefine/>
    <w:uiPriority w:val="39"/>
    <w:rsid w:val="00E9602C"/>
    <w:pPr>
      <w:tabs>
        <w:tab w:val="right" w:pos="9629"/>
      </w:tabs>
      <w:spacing w:before="60" w:after="120" w:line="240" w:lineRule="auto"/>
      <w:ind w:left="181" w:hanging="181"/>
    </w:pPr>
    <w:rPr>
      <w:rFonts w:ascii="Times New (W1)" w:hAnsi="Times New (W1)"/>
      <w:b/>
      <w:bCs/>
      <w:caps/>
      <w:sz w:val="24"/>
      <w:szCs w:val="24"/>
      <w:lang w:val="en-GB" w:eastAsia="lt-LT"/>
    </w:rPr>
  </w:style>
  <w:style w:type="paragraph" w:styleId="TOC2">
    <w:name w:val="toc 2"/>
    <w:basedOn w:val="Normal"/>
    <w:next w:val="Normal"/>
    <w:autoRedefine/>
    <w:uiPriority w:val="99"/>
    <w:rsid w:val="00E9602C"/>
    <w:pPr>
      <w:tabs>
        <w:tab w:val="right" w:leader="dot" w:pos="9629"/>
      </w:tabs>
      <w:spacing w:before="240" w:after="0" w:line="240" w:lineRule="auto"/>
    </w:pPr>
    <w:rPr>
      <w:rFonts w:ascii="Times New Roman" w:hAnsi="Times New Roman"/>
      <w:b/>
      <w:bCs/>
      <w:sz w:val="20"/>
      <w:szCs w:val="20"/>
      <w:lang w:val="lt-LT" w:eastAsia="lt-LT"/>
    </w:rPr>
  </w:style>
  <w:style w:type="paragraph" w:styleId="TOC3">
    <w:name w:val="toc 3"/>
    <w:basedOn w:val="Normal"/>
    <w:next w:val="Normal"/>
    <w:autoRedefine/>
    <w:uiPriority w:val="39"/>
    <w:rsid w:val="00E9602C"/>
    <w:pPr>
      <w:spacing w:after="0" w:line="240" w:lineRule="auto"/>
      <w:ind w:left="240"/>
    </w:pPr>
    <w:rPr>
      <w:rFonts w:ascii="Times New Roman" w:hAnsi="Times New Roman"/>
      <w:sz w:val="20"/>
      <w:szCs w:val="20"/>
      <w:lang w:val="lt-LT" w:eastAsia="lt-LT"/>
    </w:rPr>
  </w:style>
  <w:style w:type="paragraph" w:styleId="TableofFigures">
    <w:name w:val="table of figures"/>
    <w:basedOn w:val="Normal"/>
    <w:next w:val="Normal"/>
    <w:link w:val="TableofFiguresChar"/>
    <w:autoRedefine/>
    <w:uiPriority w:val="99"/>
    <w:rsid w:val="00E9602C"/>
    <w:pPr>
      <w:numPr>
        <w:numId w:val="9"/>
      </w:numPr>
      <w:tabs>
        <w:tab w:val="right" w:leader="dot" w:pos="9356"/>
      </w:tabs>
      <w:spacing w:after="0" w:line="240" w:lineRule="auto"/>
      <w:ind w:left="0" w:right="278" w:firstLine="0"/>
      <w:jc w:val="both"/>
    </w:pPr>
    <w:rPr>
      <w:rFonts w:ascii="Times New Roman" w:hAnsi="Times New Roman"/>
      <w:b/>
      <w:sz w:val="24"/>
      <w:szCs w:val="24"/>
      <w:lang w:val="en-GB" w:eastAsia="lt-LT"/>
    </w:rPr>
  </w:style>
  <w:style w:type="character" w:customStyle="1" w:styleId="TableofFiguresChar">
    <w:name w:val="Table of Figures Char"/>
    <w:link w:val="TableofFigures"/>
    <w:uiPriority w:val="99"/>
    <w:locked/>
    <w:rsid w:val="00E9602C"/>
    <w:rPr>
      <w:rFonts w:ascii="Times New Roman" w:hAnsi="Times New Roman"/>
      <w:b/>
      <w:sz w:val="24"/>
      <w:szCs w:val="24"/>
      <w:lang w:val="en-GB" w:eastAsia="lt-LT"/>
    </w:rPr>
  </w:style>
  <w:style w:type="character" w:customStyle="1" w:styleId="CommentSubjectChar">
    <w:name w:val="Comment Subject Char"/>
    <w:uiPriority w:val="99"/>
    <w:semiHidden/>
    <w:locked/>
    <w:rsid w:val="00E9602C"/>
    <w:rPr>
      <w:rFonts w:ascii="Times New Roman" w:hAnsi="Times New Roman"/>
      <w:b/>
      <w:sz w:val="20"/>
      <w:lang w:val="lt-LT" w:eastAsia="lt-LT"/>
    </w:rPr>
  </w:style>
  <w:style w:type="paragraph" w:styleId="CommentSubject">
    <w:name w:val="annotation subject"/>
    <w:basedOn w:val="CommentText"/>
    <w:next w:val="CommentText"/>
    <w:link w:val="CommentSubjectChar1"/>
    <w:uiPriority w:val="99"/>
    <w:semiHidden/>
    <w:rsid w:val="00E9602C"/>
    <w:rPr>
      <w:b/>
      <w:bCs/>
    </w:rPr>
  </w:style>
  <w:style w:type="character" w:customStyle="1" w:styleId="CommentSubjectChar1">
    <w:name w:val="Comment Subject Char1"/>
    <w:basedOn w:val="CommentTextChar"/>
    <w:link w:val="CommentSubject"/>
    <w:uiPriority w:val="99"/>
    <w:semiHidden/>
    <w:locked/>
    <w:rsid w:val="00DD25C6"/>
    <w:rPr>
      <w:rFonts w:ascii="Times New Roman" w:hAnsi="Times New Roman" w:cs="Times New Roman"/>
      <w:b/>
      <w:bCs/>
      <w:sz w:val="20"/>
      <w:szCs w:val="20"/>
      <w:lang w:val="lt-LT" w:eastAsia="lt-LT"/>
    </w:rPr>
  </w:style>
  <w:style w:type="paragraph" w:customStyle="1" w:styleId="CharChar2DiagramaDiagramaCharCharDiagramaDiagramaCharCharDiagramaDiagrama1">
    <w:name w:val="Char Char2 Diagrama Diagrama Char Char Diagrama Diagrama Char Char Diagrama Diagrama1"/>
    <w:basedOn w:val="Normal"/>
    <w:uiPriority w:val="99"/>
    <w:rsid w:val="00E9602C"/>
    <w:pPr>
      <w:spacing w:after="160" w:line="240" w:lineRule="exact"/>
    </w:pPr>
    <w:rPr>
      <w:rFonts w:ascii="Tahoma" w:hAnsi="Tahoma"/>
      <w:sz w:val="20"/>
      <w:szCs w:val="20"/>
      <w:lang w:val="en-US"/>
    </w:rPr>
  </w:style>
  <w:style w:type="paragraph" w:customStyle="1" w:styleId="NDPtext">
    <w:name w:val="NDP text"/>
    <w:uiPriority w:val="99"/>
    <w:rsid w:val="00E9602C"/>
    <w:pPr>
      <w:jc w:val="both"/>
    </w:pPr>
    <w:rPr>
      <w:rFonts w:ascii="Times New Roman" w:hAnsi="Times New Roman"/>
      <w:noProof/>
      <w:sz w:val="20"/>
      <w:szCs w:val="20"/>
      <w:lang w:val="en-GB"/>
    </w:rPr>
  </w:style>
  <w:style w:type="paragraph" w:customStyle="1" w:styleId="CharChar1DiagramaDiagramaCharCharDiagramaDiagramaCharChar">
    <w:name w:val="Char Char1 Diagrama Diagrama Char Char Diagrama Diagrama Char Char"/>
    <w:basedOn w:val="Normal"/>
    <w:uiPriority w:val="99"/>
    <w:rsid w:val="00E9602C"/>
    <w:pPr>
      <w:spacing w:after="160" w:line="240" w:lineRule="exact"/>
    </w:pPr>
    <w:rPr>
      <w:rFonts w:ascii="Tahoma" w:hAnsi="Tahoma"/>
      <w:sz w:val="20"/>
      <w:szCs w:val="20"/>
      <w:lang w:val="en-US"/>
    </w:rPr>
  </w:style>
  <w:style w:type="paragraph" w:customStyle="1" w:styleId="HEADING---Level2">
    <w:name w:val="HEADING --- Level 2"/>
    <w:basedOn w:val="HEADING---Level1"/>
    <w:link w:val="HEADING---Level2Char"/>
    <w:autoRedefine/>
    <w:uiPriority w:val="99"/>
    <w:rsid w:val="00412D98"/>
    <w:rPr>
      <w:sz w:val="24"/>
    </w:rPr>
  </w:style>
  <w:style w:type="character" w:customStyle="1" w:styleId="CHARACTER---Bolder">
    <w:name w:val="CHARACTER --- Bolder"/>
    <w:uiPriority w:val="99"/>
    <w:rsid w:val="00E9602C"/>
    <w:rPr>
      <w:b/>
    </w:rPr>
  </w:style>
  <w:style w:type="paragraph" w:customStyle="1" w:styleId="StiliusAntrat3TimesNewW114ptVisosdidiosiosraids">
    <w:name w:val="Stilius Antraštė 3 + Times New (W1) 14 pt Visos didžiosios raidės"/>
    <w:basedOn w:val="Heading3"/>
    <w:uiPriority w:val="99"/>
    <w:rsid w:val="00E9602C"/>
    <w:rPr>
      <w:rFonts w:ascii="Times New (W1)" w:hAnsi="Times New (W1)"/>
      <w:caps/>
      <w:sz w:val="32"/>
    </w:rPr>
  </w:style>
  <w:style w:type="paragraph" w:customStyle="1" w:styleId="DiagramaDiagramaDiagramaCharChar">
    <w:name w:val="Diagrama Diagrama Diagrama Char Char"/>
    <w:basedOn w:val="Normal"/>
    <w:uiPriority w:val="99"/>
    <w:rsid w:val="00E9602C"/>
    <w:pPr>
      <w:spacing w:after="160" w:line="240" w:lineRule="exact"/>
    </w:pPr>
    <w:rPr>
      <w:rFonts w:ascii="Tahoma" w:hAnsi="Tahoma"/>
      <w:sz w:val="20"/>
      <w:szCs w:val="20"/>
      <w:lang w:val="en-US"/>
    </w:rPr>
  </w:style>
  <w:style w:type="paragraph" w:customStyle="1" w:styleId="CharChar2DiagramaDiagramaCharCharDiagramaDiagramaCharCharDiagramaDiagrama1CharCharDiagramaDiagramaCharCharDiagramaDiagrama">
    <w:name w:val="Char Char2 Diagrama Diagrama Char Char Diagrama Diagrama Char Char Diagrama Diagrama1 Char Char Diagrama Diagrama Char Char Diagrama Diagrama"/>
    <w:basedOn w:val="Normal"/>
    <w:uiPriority w:val="99"/>
    <w:rsid w:val="00E9602C"/>
    <w:pPr>
      <w:spacing w:after="160" w:line="240" w:lineRule="exact"/>
    </w:pPr>
    <w:rPr>
      <w:rFonts w:ascii="Tahoma" w:hAnsi="Tahoma"/>
      <w:sz w:val="20"/>
      <w:szCs w:val="20"/>
      <w:lang w:val="en-US"/>
    </w:rPr>
  </w:style>
  <w:style w:type="character" w:customStyle="1" w:styleId="Diagrama2">
    <w:name w:val="Diagrama2"/>
    <w:uiPriority w:val="99"/>
    <w:rsid w:val="00E9602C"/>
    <w:rPr>
      <w:sz w:val="24"/>
      <w:lang w:val="lt-LT" w:eastAsia="en-US"/>
    </w:rPr>
  </w:style>
  <w:style w:type="paragraph" w:customStyle="1" w:styleId="CharChar2DiagramaDiagramaCharCharDiagramaDiagramaCharCharDiagramaDiagrama1CharCharDiagramaDiagramaCharCharDiagramaDiagramaCharChar">
    <w:name w:val="Char Char2 Diagrama Diagrama Char Char Diagrama Diagrama Char Char Diagrama Diagrama1 Char Char Diagrama Diagrama Char Char Diagrama Diagrama Char Char"/>
    <w:basedOn w:val="Normal"/>
    <w:uiPriority w:val="99"/>
    <w:rsid w:val="00E9602C"/>
    <w:pPr>
      <w:spacing w:after="160" w:line="240" w:lineRule="exact"/>
    </w:pPr>
    <w:rPr>
      <w:rFonts w:ascii="Tahoma" w:hAnsi="Tahoma"/>
      <w:sz w:val="20"/>
      <w:szCs w:val="20"/>
      <w:lang w:val="en-US"/>
    </w:rPr>
  </w:style>
  <w:style w:type="paragraph" w:customStyle="1" w:styleId="DiagramaCharChar">
    <w:name w:val="Diagrama Char Char"/>
    <w:basedOn w:val="Normal"/>
    <w:uiPriority w:val="99"/>
    <w:rsid w:val="00E9602C"/>
    <w:pPr>
      <w:spacing w:after="160" w:line="240" w:lineRule="exact"/>
    </w:pPr>
    <w:rPr>
      <w:rFonts w:ascii="Tahoma" w:hAnsi="Tahoma"/>
      <w:sz w:val="20"/>
      <w:szCs w:val="20"/>
      <w:lang w:val="en-US"/>
    </w:rPr>
  </w:style>
  <w:style w:type="character" w:customStyle="1" w:styleId="DocumentMapChar">
    <w:name w:val="Document Map Char"/>
    <w:uiPriority w:val="99"/>
    <w:semiHidden/>
    <w:locked/>
    <w:rsid w:val="00E9602C"/>
    <w:rPr>
      <w:rFonts w:ascii="Tahoma" w:hAnsi="Tahoma"/>
      <w:sz w:val="20"/>
      <w:shd w:val="clear" w:color="auto" w:fill="000080"/>
      <w:lang w:val="lt-LT" w:eastAsia="lt-LT"/>
    </w:rPr>
  </w:style>
  <w:style w:type="paragraph" w:styleId="DocumentMap">
    <w:name w:val="Document Map"/>
    <w:basedOn w:val="Normal"/>
    <w:link w:val="DocumentMapChar1"/>
    <w:uiPriority w:val="99"/>
    <w:semiHidden/>
    <w:rsid w:val="00E9602C"/>
    <w:pPr>
      <w:shd w:val="clear" w:color="auto" w:fill="000080"/>
      <w:spacing w:after="0" w:line="240" w:lineRule="auto"/>
    </w:pPr>
    <w:rPr>
      <w:rFonts w:ascii="Tahoma" w:hAnsi="Tahoma"/>
      <w:sz w:val="20"/>
      <w:szCs w:val="20"/>
      <w:lang w:val="lt-LT" w:eastAsia="lt-LT"/>
    </w:rPr>
  </w:style>
  <w:style w:type="character" w:customStyle="1" w:styleId="DocumentMapChar1">
    <w:name w:val="Document Map Char1"/>
    <w:basedOn w:val="DefaultParagraphFont"/>
    <w:link w:val="DocumentMap"/>
    <w:uiPriority w:val="99"/>
    <w:semiHidden/>
    <w:locked/>
    <w:rsid w:val="00DD25C6"/>
    <w:rPr>
      <w:rFonts w:ascii="Times New Roman" w:hAnsi="Times New Roman" w:cs="Times New Roman"/>
      <w:sz w:val="2"/>
    </w:rPr>
  </w:style>
  <w:style w:type="character" w:styleId="Emphasis">
    <w:name w:val="Emphasis"/>
    <w:basedOn w:val="DefaultParagraphFont"/>
    <w:uiPriority w:val="99"/>
    <w:qFormat/>
    <w:rsid w:val="00E9602C"/>
    <w:rPr>
      <w:rFonts w:cs="Times New Roman"/>
      <w:i/>
    </w:rPr>
  </w:style>
  <w:style w:type="paragraph" w:customStyle="1" w:styleId="CharChar2DiagramaCharCharDiagramaDiagrama">
    <w:name w:val="Char Char2 Diagrama Char Char Diagrama Diagrama"/>
    <w:basedOn w:val="Normal"/>
    <w:uiPriority w:val="99"/>
    <w:rsid w:val="00E9602C"/>
    <w:pPr>
      <w:spacing w:after="160" w:line="240" w:lineRule="exact"/>
    </w:pPr>
    <w:rPr>
      <w:rFonts w:ascii="Tahoma" w:hAnsi="Tahoma"/>
      <w:sz w:val="20"/>
      <w:szCs w:val="20"/>
      <w:lang w:val="en-US"/>
    </w:rPr>
  </w:style>
  <w:style w:type="paragraph" w:customStyle="1" w:styleId="CharChar2Diagrama">
    <w:name w:val="Char Char2 Diagrama"/>
    <w:basedOn w:val="Normal"/>
    <w:uiPriority w:val="99"/>
    <w:rsid w:val="00E9602C"/>
    <w:pPr>
      <w:spacing w:after="160" w:line="240" w:lineRule="exact"/>
    </w:pPr>
    <w:rPr>
      <w:rFonts w:ascii="Tahoma" w:hAnsi="Tahoma"/>
      <w:sz w:val="20"/>
      <w:szCs w:val="20"/>
      <w:lang w:val="en-US"/>
    </w:rPr>
  </w:style>
  <w:style w:type="paragraph" w:customStyle="1" w:styleId="Diagrama1DiagramaDiagramaCharDiagramaDiagramaCharChar">
    <w:name w:val="Diagrama1 Diagrama Diagrama Char Diagrama Diagrama Char Char"/>
    <w:basedOn w:val="Normal"/>
    <w:uiPriority w:val="99"/>
    <w:rsid w:val="00E9602C"/>
    <w:pPr>
      <w:spacing w:after="160" w:line="240" w:lineRule="exact"/>
    </w:pPr>
    <w:rPr>
      <w:rFonts w:ascii="Tahoma" w:hAnsi="Tahoma"/>
      <w:sz w:val="20"/>
      <w:szCs w:val="20"/>
      <w:lang w:val="en-US"/>
    </w:rPr>
  </w:style>
  <w:style w:type="paragraph" w:customStyle="1" w:styleId="normln">
    <w:name w:val="normální"/>
    <w:basedOn w:val="Normal"/>
    <w:uiPriority w:val="99"/>
    <w:rsid w:val="00E9602C"/>
    <w:pPr>
      <w:spacing w:after="0" w:line="240" w:lineRule="auto"/>
      <w:ind w:right="-101"/>
      <w:jc w:val="both"/>
    </w:pPr>
    <w:rPr>
      <w:rFonts w:ascii="Times New Roman" w:hAnsi="Times New Roman"/>
      <w:b/>
      <w:bCs/>
      <w:sz w:val="24"/>
      <w:szCs w:val="24"/>
      <w:lang w:val="en-GB"/>
    </w:rPr>
  </w:style>
  <w:style w:type="paragraph" w:customStyle="1" w:styleId="TEKSTAS">
    <w:name w:val="TEKSTAS"/>
    <w:basedOn w:val="Normal"/>
    <w:uiPriority w:val="99"/>
    <w:rsid w:val="00E9602C"/>
    <w:pPr>
      <w:widowControl w:val="0"/>
      <w:overflowPunct w:val="0"/>
      <w:autoSpaceDE w:val="0"/>
      <w:autoSpaceDN w:val="0"/>
      <w:adjustRightInd w:val="0"/>
      <w:spacing w:before="60" w:after="60" w:line="240" w:lineRule="auto"/>
      <w:jc w:val="both"/>
      <w:textAlignment w:val="baseline"/>
    </w:pPr>
    <w:rPr>
      <w:rFonts w:ascii="Times New Roman" w:hAnsi="Times New Roman"/>
      <w:sz w:val="24"/>
      <w:szCs w:val="20"/>
      <w:lang w:val="en-GB"/>
    </w:rPr>
  </w:style>
  <w:style w:type="paragraph" w:customStyle="1" w:styleId="CharChar2DiagramaCharCharDiagramaCharChar">
    <w:name w:val="Char Char2 Diagrama Char Char Diagrama Char Char"/>
    <w:basedOn w:val="Normal"/>
    <w:uiPriority w:val="99"/>
    <w:rsid w:val="00E9602C"/>
    <w:pPr>
      <w:spacing w:after="160" w:line="240" w:lineRule="exact"/>
    </w:pPr>
    <w:rPr>
      <w:rFonts w:ascii="Tahoma" w:hAnsi="Tahoma"/>
      <w:sz w:val="20"/>
      <w:szCs w:val="20"/>
      <w:lang w:val="en-US"/>
    </w:rPr>
  </w:style>
  <w:style w:type="character" w:customStyle="1" w:styleId="StiliusStiliusNUM5PabraukimasBepabraukimoDiagrama">
    <w:name w:val="Stilius Stilius NUM5 + Pabraukimas + Be pabraukimo Diagrama"/>
    <w:uiPriority w:val="99"/>
    <w:rsid w:val="00E9602C"/>
    <w:rPr>
      <w:color w:val="000000"/>
    </w:rPr>
  </w:style>
  <w:style w:type="paragraph" w:customStyle="1" w:styleId="DiagramaDiagramaDiagramaCharCharDiagramaChar">
    <w:name w:val="Diagrama Diagrama Diagrama Char Char Diagrama Char"/>
    <w:basedOn w:val="Normal"/>
    <w:uiPriority w:val="99"/>
    <w:rsid w:val="00E9602C"/>
    <w:pPr>
      <w:spacing w:after="160" w:line="240" w:lineRule="exact"/>
    </w:pPr>
    <w:rPr>
      <w:rFonts w:ascii="Tahoma" w:hAnsi="Tahoma"/>
      <w:sz w:val="20"/>
      <w:szCs w:val="20"/>
      <w:lang w:val="en-US"/>
    </w:rPr>
  </w:style>
  <w:style w:type="paragraph" w:customStyle="1" w:styleId="Diagrama1DiagramaDiagrama">
    <w:name w:val="Diagrama1 Diagrama Diagrama"/>
    <w:basedOn w:val="Normal"/>
    <w:uiPriority w:val="99"/>
    <w:rsid w:val="00E9602C"/>
    <w:pPr>
      <w:spacing w:after="160" w:line="240" w:lineRule="exact"/>
    </w:pPr>
    <w:rPr>
      <w:rFonts w:ascii="Tahoma" w:hAnsi="Tahoma"/>
      <w:sz w:val="20"/>
      <w:szCs w:val="20"/>
      <w:lang w:val="en-US"/>
    </w:rPr>
  </w:style>
  <w:style w:type="paragraph" w:customStyle="1" w:styleId="CharChar2DiagramaCharCharDiagramaDiagramaDiagramaDiagramaDiagramaDiagrama">
    <w:name w:val="Char Char2 Diagrama Char Char Diagrama Diagrama Diagrama Diagrama Diagrama Diagrama"/>
    <w:basedOn w:val="Normal"/>
    <w:uiPriority w:val="99"/>
    <w:rsid w:val="00E9602C"/>
    <w:pPr>
      <w:spacing w:after="160" w:line="240" w:lineRule="exact"/>
    </w:pPr>
    <w:rPr>
      <w:rFonts w:ascii="Tahoma" w:hAnsi="Tahoma"/>
      <w:sz w:val="20"/>
      <w:szCs w:val="20"/>
      <w:lang w:val="en-US"/>
    </w:rPr>
  </w:style>
  <w:style w:type="paragraph" w:customStyle="1" w:styleId="CharChar1DiagramaDiagramaCharCharDiagramaDiagramaCharCharDiagramaCharChar1DiagramaDiagramaDiagrama">
    <w:name w:val="Char Char1 Diagrama Diagrama Char Char Diagrama Diagrama Char Char Diagrama Char Char1 Diagrama Diagrama Diagrama"/>
    <w:basedOn w:val="Normal"/>
    <w:uiPriority w:val="99"/>
    <w:rsid w:val="00E9602C"/>
    <w:pPr>
      <w:spacing w:after="160" w:line="240" w:lineRule="exact"/>
    </w:pPr>
    <w:rPr>
      <w:rFonts w:ascii="Tahoma" w:hAnsi="Tahoma"/>
      <w:sz w:val="20"/>
      <w:szCs w:val="20"/>
      <w:lang w:val="en-US"/>
    </w:rPr>
  </w:style>
  <w:style w:type="character" w:customStyle="1" w:styleId="Diagrama1">
    <w:name w:val="Diagrama1"/>
    <w:uiPriority w:val="99"/>
    <w:rsid w:val="00E9602C"/>
    <w:rPr>
      <w:sz w:val="24"/>
      <w:lang w:val="lt-LT" w:eastAsia="en-US"/>
    </w:rPr>
  </w:style>
  <w:style w:type="paragraph" w:customStyle="1" w:styleId="CharChar2">
    <w:name w:val="Char Char2"/>
    <w:basedOn w:val="Normal"/>
    <w:uiPriority w:val="99"/>
    <w:rsid w:val="00E9602C"/>
    <w:pPr>
      <w:spacing w:after="160" w:line="240" w:lineRule="exact"/>
    </w:pPr>
    <w:rPr>
      <w:rFonts w:ascii="Tahoma" w:hAnsi="Tahoma"/>
      <w:sz w:val="20"/>
      <w:szCs w:val="20"/>
      <w:lang w:val="en-US"/>
    </w:rPr>
  </w:style>
  <w:style w:type="paragraph" w:customStyle="1" w:styleId="CharDiagramaChar">
    <w:name w:val="Char Diagrama Char"/>
    <w:basedOn w:val="Normal"/>
    <w:uiPriority w:val="99"/>
    <w:rsid w:val="00E9602C"/>
    <w:pPr>
      <w:spacing w:after="160" w:line="240" w:lineRule="exact"/>
    </w:pPr>
    <w:rPr>
      <w:rFonts w:ascii="Tahoma" w:hAnsi="Tahoma"/>
      <w:sz w:val="20"/>
      <w:szCs w:val="20"/>
      <w:lang w:val="en-US"/>
    </w:rPr>
  </w:style>
  <w:style w:type="paragraph" w:customStyle="1" w:styleId="CharChar2DiagramaCharChar">
    <w:name w:val="Char Char2 Diagrama Char Char"/>
    <w:basedOn w:val="Normal"/>
    <w:uiPriority w:val="99"/>
    <w:rsid w:val="00E9602C"/>
    <w:pPr>
      <w:spacing w:after="160" w:line="240" w:lineRule="exact"/>
    </w:pPr>
    <w:rPr>
      <w:rFonts w:ascii="Tahoma" w:hAnsi="Tahoma"/>
      <w:sz w:val="20"/>
      <w:szCs w:val="20"/>
      <w:lang w:val="en-US"/>
    </w:rPr>
  </w:style>
  <w:style w:type="paragraph" w:styleId="BodyText3">
    <w:name w:val="Body Text 3"/>
    <w:basedOn w:val="Normal"/>
    <w:link w:val="BodyText3Char"/>
    <w:uiPriority w:val="99"/>
    <w:rsid w:val="00E9602C"/>
    <w:pPr>
      <w:spacing w:after="120" w:line="240" w:lineRule="auto"/>
    </w:pPr>
    <w:rPr>
      <w:rFonts w:ascii="Times New Roman" w:hAnsi="Times New Roman"/>
      <w:sz w:val="16"/>
      <w:szCs w:val="16"/>
      <w:lang w:val="lt-LT" w:eastAsia="lt-LT"/>
    </w:rPr>
  </w:style>
  <w:style w:type="character" w:customStyle="1" w:styleId="BodyText3Char">
    <w:name w:val="Body Text 3 Char"/>
    <w:basedOn w:val="DefaultParagraphFont"/>
    <w:link w:val="BodyText3"/>
    <w:uiPriority w:val="99"/>
    <w:locked/>
    <w:rsid w:val="00E9602C"/>
    <w:rPr>
      <w:rFonts w:ascii="Times New Roman" w:hAnsi="Times New Roman" w:cs="Times New Roman"/>
      <w:sz w:val="16"/>
      <w:szCs w:val="16"/>
      <w:lang w:val="lt-LT" w:eastAsia="lt-LT"/>
    </w:rPr>
  </w:style>
  <w:style w:type="paragraph" w:customStyle="1" w:styleId="x">
    <w:name w:val="x"/>
    <w:uiPriority w:val="99"/>
    <w:rsid w:val="00E9602C"/>
    <w:rPr>
      <w:rFonts w:ascii="Arial" w:hAnsi="Arial" w:cs="Arial"/>
      <w:sz w:val="20"/>
      <w:szCs w:val="20"/>
      <w:lang w:val="en-US"/>
    </w:rPr>
  </w:style>
  <w:style w:type="paragraph" w:customStyle="1" w:styleId="CharChar2DiagramaCharCharDiagramaDiagramaDiagramaDiagramaCharChar">
    <w:name w:val="Char Char2 Diagrama Char Char Diagrama Diagrama Diagrama Diagrama Char Char"/>
    <w:basedOn w:val="Normal"/>
    <w:uiPriority w:val="99"/>
    <w:rsid w:val="00E9602C"/>
    <w:pPr>
      <w:spacing w:after="160" w:line="240" w:lineRule="exact"/>
    </w:pPr>
    <w:rPr>
      <w:rFonts w:ascii="Tahoma" w:hAnsi="Tahoma"/>
      <w:sz w:val="20"/>
      <w:szCs w:val="20"/>
      <w:lang w:val="en-US"/>
    </w:rPr>
  </w:style>
  <w:style w:type="paragraph" w:customStyle="1" w:styleId="DiagramaDiagrama3">
    <w:name w:val="Diagrama Diagrama3"/>
    <w:basedOn w:val="Normal"/>
    <w:uiPriority w:val="99"/>
    <w:rsid w:val="00E9602C"/>
    <w:pPr>
      <w:spacing w:after="160" w:line="240" w:lineRule="exact"/>
    </w:pPr>
    <w:rPr>
      <w:rFonts w:ascii="Tahoma" w:hAnsi="Tahoma"/>
      <w:sz w:val="20"/>
      <w:szCs w:val="20"/>
      <w:lang w:val="en-US"/>
    </w:rPr>
  </w:style>
  <w:style w:type="paragraph" w:customStyle="1" w:styleId="Diagrama2DiagramaDiagramaDiagramaDiagramaDiagramaDiagramaDiagramaDiagramaDiagramaDiagramaDiagrama1DiagramaCharChar">
    <w:name w:val="Diagrama2 Diagrama Diagrama Diagrama Diagrama Diagrama Diagrama Diagrama Diagrama Diagrama Diagrama Diagrama1 Diagrama Char Char"/>
    <w:basedOn w:val="Normal"/>
    <w:uiPriority w:val="99"/>
    <w:rsid w:val="00E9602C"/>
    <w:pPr>
      <w:spacing w:after="160" w:line="240" w:lineRule="exact"/>
    </w:pPr>
    <w:rPr>
      <w:rFonts w:ascii="Tahoma" w:hAnsi="Tahoma"/>
      <w:sz w:val="20"/>
      <w:szCs w:val="20"/>
      <w:lang w:val="en-US"/>
    </w:rPr>
  </w:style>
  <w:style w:type="paragraph" w:customStyle="1" w:styleId="CharChar2DiagramaCharCharDiagramaDiagramaDiagramaDiagramaDiagramaDiagrama1">
    <w:name w:val="Char Char2 Diagrama Char Char Diagrama Diagrama Diagrama Diagrama Diagrama Diagrama1"/>
    <w:basedOn w:val="Normal"/>
    <w:uiPriority w:val="99"/>
    <w:rsid w:val="00E9602C"/>
    <w:pPr>
      <w:spacing w:after="160" w:line="240" w:lineRule="exact"/>
    </w:pPr>
    <w:rPr>
      <w:rFonts w:ascii="Tahoma" w:hAnsi="Tahoma"/>
      <w:sz w:val="20"/>
      <w:szCs w:val="20"/>
      <w:lang w:val="en-US"/>
    </w:rPr>
  </w:style>
  <w:style w:type="paragraph" w:customStyle="1" w:styleId="CharChar2DiagramaCharCharDiagramaDiagramaDiagramaDiagramaCharChar1">
    <w:name w:val="Char Char2 Diagrama Char Char Diagrama Diagrama Diagrama Diagrama Char Char1"/>
    <w:basedOn w:val="Normal"/>
    <w:uiPriority w:val="99"/>
    <w:rsid w:val="00E9602C"/>
    <w:pPr>
      <w:spacing w:after="160" w:line="240" w:lineRule="exact"/>
    </w:pPr>
    <w:rPr>
      <w:rFonts w:ascii="Tahoma" w:hAnsi="Tahoma"/>
      <w:sz w:val="20"/>
      <w:szCs w:val="20"/>
      <w:lang w:val="en-US"/>
    </w:rPr>
  </w:style>
  <w:style w:type="character" w:customStyle="1" w:styleId="Diagrama3">
    <w:name w:val="Diagrama3"/>
    <w:uiPriority w:val="99"/>
    <w:rsid w:val="00E9602C"/>
    <w:rPr>
      <w:sz w:val="24"/>
      <w:lang w:val="lt-LT" w:eastAsia="en-US"/>
    </w:rPr>
  </w:style>
  <w:style w:type="paragraph" w:customStyle="1" w:styleId="DiagramaDiagramaCharCharDiagramaCharCharDiagrama1CharCharDiagramaDiagramaDiagrama">
    <w:name w:val="Diagrama Diagrama Char Char Diagrama Char Char Diagrama1 Char Char Diagrama Diagrama Diagrama"/>
    <w:basedOn w:val="Normal"/>
    <w:uiPriority w:val="99"/>
    <w:rsid w:val="00E9602C"/>
    <w:pPr>
      <w:spacing w:after="160" w:line="240" w:lineRule="exact"/>
    </w:pPr>
    <w:rPr>
      <w:rFonts w:ascii="Tahoma" w:hAnsi="Tahoma"/>
      <w:sz w:val="20"/>
      <w:szCs w:val="20"/>
      <w:lang w:val="en-US"/>
    </w:rPr>
  </w:style>
  <w:style w:type="character" w:customStyle="1" w:styleId="Diagrama4">
    <w:name w:val="Diagrama4"/>
    <w:uiPriority w:val="99"/>
    <w:rsid w:val="00E9602C"/>
    <w:rPr>
      <w:sz w:val="24"/>
      <w:lang w:val="lt-LT" w:eastAsia="en-US"/>
    </w:rPr>
  </w:style>
  <w:style w:type="paragraph" w:customStyle="1" w:styleId="CharChar2DiagramaCharCharDiagramaDiagramaDiagramaDiagramaCharChar2">
    <w:name w:val="Char Char2 Diagrama Char Char Diagrama Diagrama Diagrama Diagrama Char Char2"/>
    <w:basedOn w:val="Normal"/>
    <w:uiPriority w:val="99"/>
    <w:rsid w:val="00E9602C"/>
    <w:pPr>
      <w:spacing w:after="160" w:line="240" w:lineRule="exact"/>
    </w:pPr>
    <w:rPr>
      <w:rFonts w:ascii="Tahoma" w:hAnsi="Tahoma"/>
      <w:sz w:val="20"/>
      <w:szCs w:val="20"/>
      <w:lang w:val="en-US"/>
    </w:rPr>
  </w:style>
  <w:style w:type="paragraph" w:customStyle="1" w:styleId="CharChar1DiagramaDiagramaCharCharDiagramaDiagramaCharCharDiagramaCharChar1DiagramaDiagramaDiagramaDiagramaCharChar1">
    <w:name w:val="Char Char1 Diagrama Diagrama Char Char Diagrama Diagrama Char Char Diagrama Char Char1 Diagrama Diagrama Diagrama Diagrama Char Char1"/>
    <w:basedOn w:val="Normal"/>
    <w:uiPriority w:val="99"/>
    <w:rsid w:val="00E9602C"/>
    <w:pPr>
      <w:spacing w:after="160" w:line="240" w:lineRule="exact"/>
    </w:pPr>
    <w:rPr>
      <w:rFonts w:ascii="Tahoma" w:hAnsi="Tahoma"/>
      <w:sz w:val="20"/>
      <w:szCs w:val="20"/>
      <w:lang w:val="en-US"/>
    </w:rPr>
  </w:style>
  <w:style w:type="paragraph" w:customStyle="1" w:styleId="WW-BodyTextIndent2">
    <w:name w:val="WW-Body Text Indent 2"/>
    <w:basedOn w:val="Normal"/>
    <w:uiPriority w:val="99"/>
    <w:rsid w:val="00E9602C"/>
    <w:pPr>
      <w:suppressAutoHyphens/>
      <w:spacing w:after="0" w:line="240" w:lineRule="auto"/>
      <w:ind w:firstLine="720"/>
      <w:jc w:val="both"/>
    </w:pPr>
    <w:rPr>
      <w:rFonts w:ascii="Times New Roman" w:hAnsi="Times New Roman"/>
      <w:sz w:val="24"/>
      <w:szCs w:val="20"/>
      <w:lang w:val="lt-LT" w:eastAsia="ar-SA"/>
    </w:rPr>
  </w:style>
  <w:style w:type="paragraph" w:customStyle="1" w:styleId="CharChar1DiagramaDiagramaCharCharDiagramaDiagramaCharCharDiagramaCharChar4DiagramaDiagramaDiagrama">
    <w:name w:val="Char Char1 Diagrama Diagrama Char Char Diagrama Diagrama Char Char Diagrama Char Char4 Diagrama Diagrama Diagrama"/>
    <w:basedOn w:val="Normal"/>
    <w:uiPriority w:val="99"/>
    <w:rsid w:val="00E9602C"/>
    <w:pPr>
      <w:spacing w:after="160" w:line="240" w:lineRule="exact"/>
    </w:pPr>
    <w:rPr>
      <w:rFonts w:ascii="Tahoma" w:hAnsi="Tahoma"/>
      <w:sz w:val="20"/>
      <w:szCs w:val="20"/>
      <w:lang w:val="en-US"/>
    </w:rPr>
  </w:style>
  <w:style w:type="paragraph" w:customStyle="1" w:styleId="TABLE---Unnumberedlist">
    <w:name w:val="TABLE --- Unnumbered list"/>
    <w:basedOn w:val="Normal"/>
    <w:autoRedefine/>
    <w:uiPriority w:val="99"/>
    <w:rsid w:val="00E9602C"/>
    <w:pPr>
      <w:spacing w:after="0" w:line="240" w:lineRule="auto"/>
    </w:pPr>
    <w:rPr>
      <w:rFonts w:ascii="Times New Roman" w:hAnsi="Times New Roman"/>
      <w:b/>
      <w:sz w:val="24"/>
      <w:szCs w:val="24"/>
      <w:lang w:val="en-US" w:eastAsia="lt-LT"/>
    </w:rPr>
  </w:style>
  <w:style w:type="paragraph" w:customStyle="1" w:styleId="font5">
    <w:name w:val="font5"/>
    <w:basedOn w:val="Normal"/>
    <w:uiPriority w:val="99"/>
    <w:rsid w:val="00E9602C"/>
    <w:pPr>
      <w:spacing w:before="100" w:beforeAutospacing="1" w:after="100" w:afterAutospacing="1" w:line="240" w:lineRule="auto"/>
    </w:pPr>
    <w:rPr>
      <w:rFonts w:ascii="Arial" w:hAnsi="Arial" w:cs="Arial"/>
      <w:b/>
      <w:bCs/>
      <w:sz w:val="24"/>
      <w:szCs w:val="24"/>
      <w:lang w:val="en-US"/>
    </w:rPr>
  </w:style>
  <w:style w:type="character" w:customStyle="1" w:styleId="typewriter">
    <w:name w:val="typewriter"/>
    <w:basedOn w:val="DefaultParagraphFont"/>
    <w:uiPriority w:val="99"/>
    <w:rsid w:val="00E9602C"/>
    <w:rPr>
      <w:rFonts w:cs="Times New Roman"/>
    </w:rPr>
  </w:style>
  <w:style w:type="paragraph" w:customStyle="1" w:styleId="WW-BodyText2">
    <w:name w:val="WW-Body Text 2"/>
    <w:basedOn w:val="Normal"/>
    <w:uiPriority w:val="99"/>
    <w:rsid w:val="00E9602C"/>
    <w:pPr>
      <w:suppressAutoHyphens/>
      <w:spacing w:after="0" w:line="240" w:lineRule="auto"/>
      <w:jc w:val="both"/>
    </w:pPr>
    <w:rPr>
      <w:rFonts w:ascii="Times New Roman" w:hAnsi="Times New Roman"/>
      <w:sz w:val="24"/>
      <w:szCs w:val="20"/>
      <w:lang w:val="lt-LT" w:eastAsia="ar-SA"/>
    </w:rPr>
  </w:style>
  <w:style w:type="paragraph" w:customStyle="1" w:styleId="PAGRINDINISTEKSTAS">
    <w:name w:val="PAGRINDINIS TEKSTAS"/>
    <w:basedOn w:val="Normal"/>
    <w:uiPriority w:val="99"/>
    <w:rsid w:val="00E9602C"/>
    <w:pPr>
      <w:snapToGrid w:val="0"/>
      <w:spacing w:after="0" w:line="280" w:lineRule="exact"/>
      <w:ind w:right="-101"/>
      <w:jc w:val="both"/>
    </w:pPr>
    <w:rPr>
      <w:rFonts w:ascii="HelveticaLT" w:hAnsi="HelveticaLT"/>
      <w:b/>
      <w:bCs/>
      <w:color w:val="000000"/>
      <w:sz w:val="20"/>
      <w:szCs w:val="20"/>
      <w:lang w:val="lt-LT"/>
    </w:rPr>
  </w:style>
  <w:style w:type="paragraph" w:customStyle="1" w:styleId="TableContents">
    <w:name w:val="Table Contents"/>
    <w:basedOn w:val="Normal"/>
    <w:uiPriority w:val="99"/>
    <w:rsid w:val="00E9602C"/>
    <w:pPr>
      <w:widowControl w:val="0"/>
      <w:suppressLineNumbers/>
      <w:suppressAutoHyphens/>
      <w:spacing w:after="0" w:line="240" w:lineRule="auto"/>
    </w:pPr>
    <w:rPr>
      <w:rFonts w:ascii="Times New Roman" w:hAnsi="Times New Roman" w:cs="Tahoma"/>
      <w:sz w:val="24"/>
      <w:szCs w:val="24"/>
      <w:lang w:val="lt-LT" w:eastAsia="lt-LT"/>
    </w:rPr>
  </w:style>
  <w:style w:type="character" w:customStyle="1" w:styleId="suitecelltext">
    <w:name w:val="suitecelltext"/>
    <w:basedOn w:val="DefaultParagraphFont"/>
    <w:uiPriority w:val="99"/>
    <w:rsid w:val="00E9602C"/>
    <w:rPr>
      <w:rFonts w:cs="Times New Roman"/>
    </w:rPr>
  </w:style>
  <w:style w:type="paragraph" w:customStyle="1" w:styleId="Point1">
    <w:name w:val="Point 1"/>
    <w:basedOn w:val="Normal"/>
    <w:uiPriority w:val="99"/>
    <w:rsid w:val="00E9602C"/>
    <w:pPr>
      <w:spacing w:before="120" w:after="120" w:line="240" w:lineRule="auto"/>
      <w:ind w:left="1418" w:hanging="567"/>
      <w:jc w:val="both"/>
    </w:pPr>
    <w:rPr>
      <w:rFonts w:ascii="Times New Roman" w:hAnsi="Times New Roman"/>
      <w:sz w:val="24"/>
      <w:szCs w:val="20"/>
      <w:lang w:val="en-GB" w:eastAsia="fr-BE"/>
    </w:rPr>
  </w:style>
  <w:style w:type="character" w:customStyle="1" w:styleId="Typewriter0">
    <w:name w:val="Typewriter"/>
    <w:uiPriority w:val="99"/>
    <w:rsid w:val="00E9602C"/>
    <w:rPr>
      <w:color w:val="000000"/>
    </w:rPr>
  </w:style>
  <w:style w:type="paragraph" w:customStyle="1" w:styleId="CharChar1DiagramaDiagramaCharCharDiagramaDiagramaCharCharDiagramaDiagramaDiagrama">
    <w:name w:val="Char Char1 Diagrama Diagrama Char Char Diagrama Diagrama Char Char Diagrama Diagrama Diagrama"/>
    <w:basedOn w:val="Normal"/>
    <w:uiPriority w:val="99"/>
    <w:rsid w:val="00E9602C"/>
    <w:pPr>
      <w:spacing w:after="160" w:line="240" w:lineRule="exact"/>
    </w:pPr>
    <w:rPr>
      <w:rFonts w:ascii="Tahoma" w:hAnsi="Tahoma"/>
      <w:sz w:val="20"/>
      <w:szCs w:val="20"/>
      <w:lang w:val="en-US"/>
    </w:rPr>
  </w:style>
  <w:style w:type="paragraph" w:customStyle="1" w:styleId="DiagramaDiagramaCharChar">
    <w:name w:val="Diagrama Diagrama Char Char"/>
    <w:basedOn w:val="Normal"/>
    <w:uiPriority w:val="99"/>
    <w:rsid w:val="00E9602C"/>
    <w:pPr>
      <w:spacing w:after="160" w:line="240" w:lineRule="exact"/>
    </w:pPr>
    <w:rPr>
      <w:rFonts w:ascii="Tahoma" w:hAnsi="Tahoma"/>
      <w:sz w:val="20"/>
      <w:szCs w:val="20"/>
      <w:lang w:val="en-US"/>
    </w:rPr>
  </w:style>
  <w:style w:type="paragraph" w:customStyle="1" w:styleId="Char">
    <w:name w:val="Char"/>
    <w:basedOn w:val="Normal"/>
    <w:uiPriority w:val="99"/>
    <w:rsid w:val="00E9602C"/>
    <w:pPr>
      <w:spacing w:after="160" w:line="240" w:lineRule="exact"/>
    </w:pPr>
    <w:rPr>
      <w:rFonts w:ascii="Tahoma" w:hAnsi="Tahoma"/>
      <w:sz w:val="20"/>
      <w:szCs w:val="20"/>
      <w:lang w:val="en-US"/>
    </w:rPr>
  </w:style>
  <w:style w:type="paragraph" w:customStyle="1" w:styleId="CharChar2DiagramaDiagramaCharCharDiagramaDiagramaCharChar">
    <w:name w:val="Char Char2 Diagrama Diagrama Char Char Diagrama Diagrama Char Char"/>
    <w:basedOn w:val="Normal"/>
    <w:uiPriority w:val="99"/>
    <w:rsid w:val="00E9602C"/>
    <w:pPr>
      <w:spacing w:after="160" w:line="240" w:lineRule="exact"/>
    </w:pPr>
    <w:rPr>
      <w:rFonts w:ascii="Tahoma" w:hAnsi="Tahoma"/>
      <w:sz w:val="20"/>
      <w:szCs w:val="20"/>
      <w:lang w:val="en-US"/>
    </w:rPr>
  </w:style>
  <w:style w:type="paragraph" w:customStyle="1" w:styleId="CharChar1DiagramaDiagramaCharChar">
    <w:name w:val="Char Char1 Diagrama Diagrama Char Char"/>
    <w:basedOn w:val="Normal"/>
    <w:uiPriority w:val="99"/>
    <w:rsid w:val="00E9602C"/>
    <w:pPr>
      <w:spacing w:after="160" w:line="240" w:lineRule="exact"/>
    </w:pPr>
    <w:rPr>
      <w:rFonts w:ascii="Tahoma" w:hAnsi="Tahoma"/>
      <w:sz w:val="20"/>
      <w:szCs w:val="20"/>
      <w:lang w:val="en-US"/>
    </w:rPr>
  </w:style>
  <w:style w:type="paragraph" w:customStyle="1" w:styleId="CharChar1DiagramaDiagramaCharCharDiagramaDiagramaCharCharDiagramaDiagrama">
    <w:name w:val="Char Char1 Diagrama Diagrama Char Char Diagrama Diagrama Char Char Diagrama Diagrama"/>
    <w:basedOn w:val="Normal"/>
    <w:uiPriority w:val="99"/>
    <w:rsid w:val="00E9602C"/>
    <w:pPr>
      <w:spacing w:after="160" w:line="240" w:lineRule="exact"/>
    </w:pPr>
    <w:rPr>
      <w:rFonts w:ascii="Tahoma" w:hAnsi="Tahoma"/>
      <w:sz w:val="20"/>
      <w:szCs w:val="20"/>
      <w:lang w:val="en-US"/>
    </w:rPr>
  </w:style>
  <w:style w:type="paragraph" w:customStyle="1" w:styleId="Annexetitreacte">
    <w:name w:val="Annexe titre (acte)"/>
    <w:basedOn w:val="Normal"/>
    <w:next w:val="Normal"/>
    <w:uiPriority w:val="99"/>
    <w:rsid w:val="00E9602C"/>
    <w:pPr>
      <w:spacing w:before="120" w:after="120" w:line="240" w:lineRule="auto"/>
      <w:jc w:val="center"/>
    </w:pPr>
    <w:rPr>
      <w:rFonts w:ascii="Times New Roman" w:hAnsi="Times New Roman"/>
      <w:b/>
      <w:sz w:val="24"/>
      <w:szCs w:val="20"/>
      <w:u w:val="single"/>
      <w:lang w:val="en-GB" w:eastAsia="zh-CN"/>
    </w:rPr>
  </w:style>
  <w:style w:type="paragraph" w:customStyle="1" w:styleId="Diagrama1Char">
    <w:name w:val="Diagrama1 Char"/>
    <w:basedOn w:val="Normal"/>
    <w:uiPriority w:val="99"/>
    <w:rsid w:val="00E9602C"/>
    <w:pPr>
      <w:spacing w:after="160" w:line="240" w:lineRule="exact"/>
    </w:pPr>
    <w:rPr>
      <w:rFonts w:ascii="Tahoma" w:hAnsi="Tahoma"/>
      <w:sz w:val="20"/>
      <w:szCs w:val="20"/>
      <w:lang w:val="en-US"/>
    </w:rPr>
  </w:style>
  <w:style w:type="paragraph" w:customStyle="1" w:styleId="HEADING---Level1">
    <w:name w:val="HEADING --- Level 1"/>
    <w:basedOn w:val="Normal"/>
    <w:link w:val="HEADING---Level1Char"/>
    <w:autoRedefine/>
    <w:uiPriority w:val="99"/>
    <w:rsid w:val="00412D98"/>
    <w:pPr>
      <w:keepNext/>
      <w:keepLines/>
      <w:spacing w:after="0" w:line="240" w:lineRule="auto"/>
    </w:pPr>
    <w:rPr>
      <w:rFonts w:ascii="Arial" w:hAnsi="Arial"/>
      <w:b/>
      <w:bCs/>
      <w:caps/>
      <w:color w:val="000000"/>
      <w:sz w:val="28"/>
      <w:szCs w:val="24"/>
      <w:lang w:val="lt-LT"/>
    </w:rPr>
  </w:style>
  <w:style w:type="paragraph" w:customStyle="1" w:styleId="EntLogo">
    <w:name w:val="EntLogo"/>
    <w:basedOn w:val="Normal"/>
    <w:next w:val="Normal"/>
    <w:uiPriority w:val="99"/>
    <w:rsid w:val="00E9602C"/>
    <w:pPr>
      <w:widowControl w:val="0"/>
      <w:spacing w:after="0" w:line="360" w:lineRule="auto"/>
    </w:pPr>
    <w:rPr>
      <w:rFonts w:ascii="Times New Roman" w:hAnsi="Times New Roman"/>
      <w:b/>
      <w:sz w:val="24"/>
      <w:szCs w:val="20"/>
      <w:lang w:val="lt-LT" w:eastAsia="fr-BE"/>
    </w:rPr>
  </w:style>
  <w:style w:type="paragraph" w:customStyle="1" w:styleId="CharChar1DiagramaDiagramaCharCharDiagramaDiagramaCharCharDiagramaCharChar">
    <w:name w:val="Char Char1 Diagrama Diagrama Char Char Diagrama Diagrama Char Char Diagrama Char Char"/>
    <w:basedOn w:val="Normal"/>
    <w:uiPriority w:val="99"/>
    <w:rsid w:val="00E9602C"/>
    <w:pPr>
      <w:spacing w:after="160" w:line="240" w:lineRule="exact"/>
    </w:pPr>
    <w:rPr>
      <w:rFonts w:ascii="Tahoma" w:hAnsi="Tahoma"/>
      <w:sz w:val="20"/>
      <w:szCs w:val="20"/>
      <w:lang w:val="en-US"/>
    </w:rPr>
  </w:style>
  <w:style w:type="paragraph" w:customStyle="1" w:styleId="CharChar1DiagramaDiagramaCharCharDiagramaDiagramaCharCharDiagramaCharDiagramaDiagrama">
    <w:name w:val="Char Char1 Diagrama Diagrama Char Char Diagrama Diagrama Char Char Diagrama Char Diagrama Diagrama"/>
    <w:basedOn w:val="Normal"/>
    <w:uiPriority w:val="99"/>
    <w:rsid w:val="00E9602C"/>
    <w:pPr>
      <w:spacing w:after="160" w:line="240" w:lineRule="exact"/>
    </w:pPr>
    <w:rPr>
      <w:rFonts w:ascii="Tahoma" w:hAnsi="Tahoma"/>
      <w:sz w:val="20"/>
      <w:szCs w:val="20"/>
      <w:lang w:val="en-US"/>
    </w:rPr>
  </w:style>
  <w:style w:type="paragraph" w:customStyle="1" w:styleId="CharChar">
    <w:name w:val="Char Char"/>
    <w:basedOn w:val="Normal"/>
    <w:link w:val="CharCharChar"/>
    <w:uiPriority w:val="99"/>
    <w:rsid w:val="00E9602C"/>
    <w:pPr>
      <w:spacing w:after="160" w:line="240" w:lineRule="exact"/>
    </w:pPr>
    <w:rPr>
      <w:rFonts w:ascii="Tahoma" w:hAnsi="Tahoma"/>
      <w:sz w:val="20"/>
      <w:szCs w:val="20"/>
      <w:lang w:val="en-US"/>
    </w:rPr>
  </w:style>
  <w:style w:type="character" w:customStyle="1" w:styleId="CharCharChar">
    <w:name w:val="Char Char Char"/>
    <w:link w:val="CharChar"/>
    <w:uiPriority w:val="99"/>
    <w:locked/>
    <w:rsid w:val="00E9602C"/>
    <w:rPr>
      <w:rFonts w:ascii="Tahoma" w:hAnsi="Tahoma"/>
      <w:sz w:val="20"/>
      <w:lang w:val="en-US"/>
    </w:rPr>
  </w:style>
  <w:style w:type="paragraph" w:customStyle="1" w:styleId="CharChar1DiagramaDiagramaCharCharDiagramaDiagramaCharCharDiagramaDiagramaDiagramaCharChar">
    <w:name w:val="Char Char1 Diagrama Diagrama Char Char Diagrama Diagrama Char Char Diagrama Diagrama Diagrama Char Char"/>
    <w:basedOn w:val="Normal"/>
    <w:uiPriority w:val="99"/>
    <w:rsid w:val="00E9602C"/>
    <w:pPr>
      <w:spacing w:after="160" w:line="240" w:lineRule="exact"/>
    </w:pPr>
    <w:rPr>
      <w:rFonts w:ascii="Tahoma" w:hAnsi="Tahoma"/>
      <w:sz w:val="20"/>
      <w:szCs w:val="20"/>
      <w:lang w:val="en-US"/>
    </w:rPr>
  </w:style>
  <w:style w:type="character" w:customStyle="1" w:styleId="mtextnormalus111">
    <w:name w:val="m_text_normalus111"/>
    <w:uiPriority w:val="99"/>
    <w:rsid w:val="00E9602C"/>
    <w:rPr>
      <w:rFonts w:ascii="Tahoma" w:hAnsi="Tahoma"/>
      <w:color w:val="3E5284"/>
      <w:sz w:val="17"/>
    </w:rPr>
  </w:style>
  <w:style w:type="character" w:customStyle="1" w:styleId="rvts14">
    <w:name w:val="rvts14"/>
    <w:uiPriority w:val="99"/>
    <w:rsid w:val="00E9602C"/>
    <w:rPr>
      <w:rFonts w:ascii="Times New Roman" w:hAnsi="Times New Roman"/>
      <w:sz w:val="24"/>
    </w:rPr>
  </w:style>
  <w:style w:type="paragraph" w:customStyle="1" w:styleId="Diagrama">
    <w:name w:val="Diagrama"/>
    <w:basedOn w:val="Normal"/>
    <w:uiPriority w:val="99"/>
    <w:rsid w:val="00E9602C"/>
    <w:pPr>
      <w:spacing w:after="160" w:line="240" w:lineRule="exact"/>
    </w:pPr>
    <w:rPr>
      <w:rFonts w:ascii="Tahoma" w:hAnsi="Tahoma"/>
      <w:sz w:val="20"/>
      <w:szCs w:val="20"/>
      <w:lang w:val="en-US"/>
    </w:rPr>
  </w:style>
  <w:style w:type="paragraph" w:customStyle="1" w:styleId="xl24">
    <w:name w:val="xl24"/>
    <w:basedOn w:val="Normal"/>
    <w:uiPriority w:val="99"/>
    <w:rsid w:val="00E960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val="en-US"/>
    </w:rPr>
  </w:style>
  <w:style w:type="paragraph" w:customStyle="1" w:styleId="xl25">
    <w:name w:val="xl25"/>
    <w:basedOn w:val="Normal"/>
    <w:uiPriority w:val="99"/>
    <w:rsid w:val="00E960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26">
    <w:name w:val="xl26"/>
    <w:basedOn w:val="Normal"/>
    <w:uiPriority w:val="99"/>
    <w:rsid w:val="00E960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b/>
      <w:bCs/>
      <w:sz w:val="24"/>
      <w:szCs w:val="24"/>
      <w:lang w:val="en-US"/>
    </w:rPr>
  </w:style>
  <w:style w:type="paragraph" w:customStyle="1" w:styleId="xl27">
    <w:name w:val="xl27"/>
    <w:basedOn w:val="Normal"/>
    <w:uiPriority w:val="99"/>
    <w:rsid w:val="00E960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28">
    <w:name w:val="xl28"/>
    <w:basedOn w:val="Normal"/>
    <w:uiPriority w:val="99"/>
    <w:rsid w:val="00E960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hAnsi="Arial Unicode MS" w:cs="Arial Unicode MS"/>
      <w:sz w:val="24"/>
      <w:szCs w:val="24"/>
      <w:lang w:val="en-US"/>
    </w:rPr>
  </w:style>
  <w:style w:type="paragraph" w:customStyle="1" w:styleId="xl29">
    <w:name w:val="xl29"/>
    <w:basedOn w:val="Normal"/>
    <w:uiPriority w:val="99"/>
    <w:rsid w:val="00E960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30">
    <w:name w:val="xl30"/>
    <w:basedOn w:val="Normal"/>
    <w:uiPriority w:val="99"/>
    <w:rsid w:val="00E960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31">
    <w:name w:val="xl31"/>
    <w:basedOn w:val="Normal"/>
    <w:uiPriority w:val="99"/>
    <w:rsid w:val="00E960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val="en-US"/>
    </w:rPr>
  </w:style>
  <w:style w:type="paragraph" w:customStyle="1" w:styleId="xl32">
    <w:name w:val="xl32"/>
    <w:basedOn w:val="Normal"/>
    <w:uiPriority w:val="99"/>
    <w:rsid w:val="00E960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33">
    <w:name w:val="xl33"/>
    <w:basedOn w:val="Normal"/>
    <w:uiPriority w:val="99"/>
    <w:rsid w:val="00E960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34">
    <w:name w:val="xl34"/>
    <w:basedOn w:val="Normal"/>
    <w:uiPriority w:val="99"/>
    <w:rsid w:val="00E9602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both"/>
    </w:pPr>
    <w:rPr>
      <w:rFonts w:ascii="Times New Roman" w:hAnsi="Times New Roman"/>
      <w:sz w:val="24"/>
      <w:szCs w:val="24"/>
      <w:lang w:val="en-US"/>
    </w:rPr>
  </w:style>
  <w:style w:type="paragraph" w:customStyle="1" w:styleId="xl35">
    <w:name w:val="xl35"/>
    <w:basedOn w:val="Normal"/>
    <w:uiPriority w:val="99"/>
    <w:rsid w:val="00E9602C"/>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lang w:val="en-US"/>
    </w:rPr>
  </w:style>
  <w:style w:type="paragraph" w:customStyle="1" w:styleId="xl36">
    <w:name w:val="xl36"/>
    <w:basedOn w:val="Normal"/>
    <w:uiPriority w:val="99"/>
    <w:rsid w:val="00E9602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both"/>
    </w:pPr>
    <w:rPr>
      <w:rFonts w:ascii="Times New Roman" w:hAnsi="Times New Roman"/>
      <w:b/>
      <w:bCs/>
      <w:sz w:val="24"/>
      <w:szCs w:val="24"/>
      <w:lang w:val="en-US"/>
    </w:rPr>
  </w:style>
  <w:style w:type="paragraph" w:customStyle="1" w:styleId="xl37">
    <w:name w:val="xl37"/>
    <w:basedOn w:val="Normal"/>
    <w:uiPriority w:val="99"/>
    <w:rsid w:val="00E9602C"/>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38">
    <w:name w:val="xl38"/>
    <w:basedOn w:val="Normal"/>
    <w:uiPriority w:val="99"/>
    <w:rsid w:val="00E9602C"/>
    <w:pPr>
      <w:pBdr>
        <w:left w:val="single" w:sz="4" w:space="0" w:color="auto"/>
        <w:bottom w:val="single" w:sz="4" w:space="0" w:color="auto"/>
        <w:right w:val="single" w:sz="4" w:space="0" w:color="auto"/>
      </w:pBdr>
      <w:spacing w:before="100" w:beforeAutospacing="1" w:after="100" w:afterAutospacing="1" w:line="240" w:lineRule="auto"/>
    </w:pPr>
    <w:rPr>
      <w:rFonts w:ascii="Arial Unicode MS" w:hAnsi="Arial Unicode MS" w:cs="Arial Unicode MS"/>
      <w:sz w:val="24"/>
      <w:szCs w:val="24"/>
      <w:lang w:val="en-US"/>
    </w:rPr>
  </w:style>
  <w:style w:type="paragraph" w:customStyle="1" w:styleId="xl39">
    <w:name w:val="xl39"/>
    <w:basedOn w:val="Normal"/>
    <w:uiPriority w:val="99"/>
    <w:rsid w:val="00E9602C"/>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40">
    <w:name w:val="xl40"/>
    <w:basedOn w:val="Normal"/>
    <w:uiPriority w:val="99"/>
    <w:rsid w:val="00E9602C"/>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hAnsi="Times New Roman"/>
      <w:sz w:val="24"/>
      <w:szCs w:val="24"/>
      <w:lang w:val="en-US"/>
    </w:rPr>
  </w:style>
  <w:style w:type="paragraph" w:customStyle="1" w:styleId="xl41">
    <w:name w:val="xl41"/>
    <w:basedOn w:val="Normal"/>
    <w:uiPriority w:val="99"/>
    <w:rsid w:val="00E9602C"/>
    <w:pPr>
      <w:pBdr>
        <w:left w:val="single" w:sz="4" w:space="0" w:color="auto"/>
        <w:bottom w:val="single" w:sz="4" w:space="0" w:color="auto"/>
        <w:right w:val="single" w:sz="4" w:space="0" w:color="auto"/>
      </w:pBdr>
      <w:spacing w:before="100" w:beforeAutospacing="1" w:after="100" w:afterAutospacing="1" w:line="240" w:lineRule="auto"/>
      <w:jc w:val="both"/>
    </w:pPr>
    <w:rPr>
      <w:rFonts w:ascii="Arial Unicode MS" w:hAnsi="Arial Unicode MS" w:cs="Arial Unicode MS"/>
      <w:sz w:val="24"/>
      <w:szCs w:val="24"/>
      <w:lang w:val="en-US"/>
    </w:rPr>
  </w:style>
  <w:style w:type="paragraph" w:customStyle="1" w:styleId="xl42">
    <w:name w:val="xl42"/>
    <w:basedOn w:val="Normal"/>
    <w:uiPriority w:val="99"/>
    <w:rsid w:val="00E9602C"/>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43">
    <w:name w:val="xl43"/>
    <w:basedOn w:val="Normal"/>
    <w:uiPriority w:val="99"/>
    <w:rsid w:val="00E9602C"/>
    <w:pPr>
      <w:spacing w:before="100" w:beforeAutospacing="1" w:after="100" w:afterAutospacing="1" w:line="240" w:lineRule="auto"/>
      <w:jc w:val="right"/>
    </w:pPr>
    <w:rPr>
      <w:rFonts w:ascii="Arial Unicode MS" w:hAnsi="Arial Unicode MS" w:cs="Arial Unicode MS"/>
      <w:sz w:val="24"/>
      <w:szCs w:val="24"/>
      <w:lang w:val="en-US"/>
    </w:rPr>
  </w:style>
  <w:style w:type="paragraph" w:customStyle="1" w:styleId="CharChar1DiagramaDiagramaCharCharDiagramaDiagramaCharCharDiagramaDiagramaDiagramaDiagramaCharChar">
    <w:name w:val="Char Char1 Diagrama Diagrama Char Char Diagrama Diagrama Char Char Diagrama Diagrama Diagrama Diagrama Char Char"/>
    <w:basedOn w:val="Normal"/>
    <w:uiPriority w:val="99"/>
    <w:rsid w:val="00E9602C"/>
    <w:pPr>
      <w:spacing w:after="160" w:line="240" w:lineRule="exact"/>
    </w:pPr>
    <w:rPr>
      <w:rFonts w:ascii="Tahoma" w:hAnsi="Tahoma"/>
      <w:sz w:val="20"/>
      <w:szCs w:val="20"/>
      <w:lang w:val="en-US"/>
    </w:rPr>
  </w:style>
  <w:style w:type="paragraph" w:customStyle="1" w:styleId="CharChar1DiagramaDiagramaCharCharDiagramaDiagramaCharCharDiagramaCharChar1">
    <w:name w:val="Char Char1 Diagrama Diagrama Char Char Diagrama Diagrama Char Char Diagrama Char Char1"/>
    <w:basedOn w:val="Normal"/>
    <w:uiPriority w:val="99"/>
    <w:rsid w:val="00E9602C"/>
    <w:pPr>
      <w:spacing w:after="160" w:line="240" w:lineRule="exact"/>
    </w:pPr>
    <w:rPr>
      <w:rFonts w:ascii="Tahoma" w:hAnsi="Tahoma"/>
      <w:sz w:val="20"/>
      <w:szCs w:val="20"/>
      <w:lang w:val="en-US"/>
    </w:rPr>
  </w:style>
  <w:style w:type="paragraph" w:customStyle="1" w:styleId="CharChar1">
    <w:name w:val="Char Char1"/>
    <w:basedOn w:val="Normal"/>
    <w:uiPriority w:val="99"/>
    <w:rsid w:val="00E9602C"/>
    <w:pPr>
      <w:spacing w:after="160" w:line="240" w:lineRule="exact"/>
    </w:pPr>
    <w:rPr>
      <w:rFonts w:ascii="Tahoma" w:hAnsi="Tahoma"/>
      <w:sz w:val="20"/>
      <w:szCs w:val="20"/>
      <w:lang w:val="en-US"/>
    </w:rPr>
  </w:style>
  <w:style w:type="paragraph" w:customStyle="1" w:styleId="CharChar1DiagramaDiagramaCharCharDiagramaDiagramaCharCharDiagramaDiagramaDiagramaDiagramaCharCharDiagramaDiagramaCharChar">
    <w:name w:val="Char Char1 Diagrama Diagrama Char Char Diagrama Diagrama Char Char Diagrama Diagrama Diagrama Diagrama Char Char Diagrama Diagrama Char Char"/>
    <w:basedOn w:val="Normal"/>
    <w:uiPriority w:val="99"/>
    <w:rsid w:val="00E9602C"/>
    <w:pPr>
      <w:spacing w:after="160" w:line="240" w:lineRule="exact"/>
    </w:pPr>
    <w:rPr>
      <w:rFonts w:ascii="Tahoma" w:hAnsi="Tahoma"/>
      <w:sz w:val="20"/>
      <w:szCs w:val="20"/>
      <w:lang w:val="en-US"/>
    </w:rPr>
  </w:style>
  <w:style w:type="paragraph" w:customStyle="1" w:styleId="CharChar1DiagramaDiagramaCharCharDiagramaDiagramaCharCharDiagramaDiagramaDiagramaDiagramaCharChar1">
    <w:name w:val="Char Char1 Diagrama Diagrama Char Char Diagrama Diagrama Char Char Diagrama Diagrama Diagrama Diagrama Char Char1"/>
    <w:basedOn w:val="Normal"/>
    <w:uiPriority w:val="99"/>
    <w:rsid w:val="00E9602C"/>
    <w:pPr>
      <w:spacing w:after="160" w:line="240" w:lineRule="exact"/>
    </w:pPr>
    <w:rPr>
      <w:rFonts w:ascii="Tahoma" w:hAnsi="Tahoma"/>
      <w:sz w:val="20"/>
      <w:szCs w:val="20"/>
      <w:lang w:val="en-US"/>
    </w:rPr>
  </w:style>
  <w:style w:type="paragraph" w:customStyle="1" w:styleId="Quotations">
    <w:name w:val="Quotations"/>
    <w:basedOn w:val="Normal"/>
    <w:uiPriority w:val="99"/>
    <w:rsid w:val="00E9602C"/>
    <w:pPr>
      <w:suppressAutoHyphens/>
      <w:spacing w:after="283" w:line="240" w:lineRule="auto"/>
      <w:ind w:left="567" w:right="567"/>
    </w:pPr>
    <w:rPr>
      <w:rFonts w:ascii="Times New Roman" w:hAnsi="Times New Roman"/>
      <w:sz w:val="24"/>
      <w:szCs w:val="24"/>
      <w:lang w:val="lt-LT" w:eastAsia="ar-SA"/>
    </w:rPr>
  </w:style>
  <w:style w:type="character" w:customStyle="1" w:styleId="INS">
    <w:name w:val="INS"/>
    <w:uiPriority w:val="99"/>
    <w:rsid w:val="00E9602C"/>
  </w:style>
  <w:style w:type="paragraph" w:customStyle="1" w:styleId="CharChar1DiagramaDiagramaCharCharDiagramaDiagramaCharCharDiagramaCharChar2">
    <w:name w:val="Char Char1 Diagrama Diagrama Char Char Diagrama Diagrama Char Char Diagrama Char Char2"/>
    <w:basedOn w:val="Normal"/>
    <w:uiPriority w:val="99"/>
    <w:rsid w:val="00E9602C"/>
    <w:pPr>
      <w:spacing w:after="160" w:line="240" w:lineRule="exact"/>
    </w:pPr>
    <w:rPr>
      <w:rFonts w:ascii="Tahoma" w:hAnsi="Tahoma"/>
      <w:sz w:val="20"/>
      <w:szCs w:val="20"/>
      <w:lang w:val="en-US"/>
    </w:rPr>
  </w:style>
  <w:style w:type="paragraph" w:customStyle="1" w:styleId="Pagrindinistekstas31">
    <w:name w:val="Pagrindinis tekstas 31"/>
    <w:basedOn w:val="Normal"/>
    <w:uiPriority w:val="99"/>
    <w:rsid w:val="00E9602C"/>
    <w:pPr>
      <w:suppressAutoHyphens/>
      <w:spacing w:before="120" w:after="0" w:line="240" w:lineRule="auto"/>
      <w:jc w:val="center"/>
    </w:pPr>
    <w:rPr>
      <w:rFonts w:ascii="Times New Roman" w:hAnsi="Times New Roman"/>
      <w:bCs/>
      <w:sz w:val="24"/>
      <w:szCs w:val="24"/>
      <w:lang w:val="lt-LT" w:eastAsia="ar-SA"/>
    </w:rPr>
  </w:style>
  <w:style w:type="paragraph" w:styleId="HTMLPreformatted">
    <w:name w:val="HTML Preformatted"/>
    <w:basedOn w:val="Normal"/>
    <w:link w:val="HTMLPreformattedChar"/>
    <w:uiPriority w:val="99"/>
    <w:rsid w:val="00E9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en-US"/>
    </w:rPr>
  </w:style>
  <w:style w:type="character" w:customStyle="1" w:styleId="HTMLPreformattedChar">
    <w:name w:val="HTML Preformatted Char"/>
    <w:basedOn w:val="DefaultParagraphFont"/>
    <w:link w:val="HTMLPreformatted"/>
    <w:uiPriority w:val="99"/>
    <w:locked/>
    <w:rsid w:val="00E9602C"/>
    <w:rPr>
      <w:rFonts w:ascii="Courier New" w:hAnsi="Courier New" w:cs="Times New Roman"/>
      <w:sz w:val="20"/>
      <w:szCs w:val="20"/>
      <w:lang w:val="en-US"/>
    </w:rPr>
  </w:style>
  <w:style w:type="paragraph" w:customStyle="1" w:styleId="CharChar1DiagramaDiagramaCharCharDiagramaDiagramaCharCharDiagramaCharChar3">
    <w:name w:val="Char Char1 Diagrama Diagrama Char Char Diagrama Diagrama Char Char Diagrama Char Char3"/>
    <w:basedOn w:val="Normal"/>
    <w:uiPriority w:val="99"/>
    <w:rsid w:val="00E9602C"/>
    <w:pPr>
      <w:spacing w:after="160" w:line="240" w:lineRule="exact"/>
    </w:pPr>
    <w:rPr>
      <w:rFonts w:ascii="Tahoma" w:hAnsi="Tahoma"/>
      <w:sz w:val="20"/>
      <w:szCs w:val="20"/>
      <w:lang w:val="en-US"/>
    </w:rPr>
  </w:style>
  <w:style w:type="paragraph" w:customStyle="1" w:styleId="CharChar2DiagramaDiagrama">
    <w:name w:val="Char Char2 Diagrama Diagrama"/>
    <w:basedOn w:val="Normal"/>
    <w:uiPriority w:val="99"/>
    <w:rsid w:val="00E9602C"/>
    <w:pPr>
      <w:spacing w:after="160" w:line="240" w:lineRule="exact"/>
    </w:pPr>
    <w:rPr>
      <w:rFonts w:ascii="Tahoma" w:hAnsi="Tahoma"/>
      <w:sz w:val="20"/>
      <w:szCs w:val="20"/>
      <w:lang w:val="en-US"/>
    </w:rPr>
  </w:style>
  <w:style w:type="paragraph" w:customStyle="1" w:styleId="DiagramaDiagramaCharCharDiagramaCharCharDiagrama1CharCharDiagramaDiagramaDiagrama1">
    <w:name w:val="Diagrama Diagrama Char Char Diagrama Char Char Diagrama1 Char Char Diagrama Diagrama Diagrama1"/>
    <w:basedOn w:val="Normal"/>
    <w:uiPriority w:val="99"/>
    <w:rsid w:val="00E9602C"/>
    <w:pPr>
      <w:spacing w:after="160" w:line="240" w:lineRule="exact"/>
    </w:pPr>
    <w:rPr>
      <w:rFonts w:ascii="Tahoma" w:hAnsi="Tahoma"/>
      <w:sz w:val="20"/>
      <w:szCs w:val="20"/>
      <w:lang w:val="en-US"/>
    </w:rPr>
  </w:style>
  <w:style w:type="paragraph" w:customStyle="1" w:styleId="CharChar1DiagramaDiagramaCharCharDiagramaDiagramaCharCharDiagramaCharChar4DiagramaDiagramaDiagrama1">
    <w:name w:val="Char Char1 Diagrama Diagrama Char Char Diagrama Diagrama Char Char Diagrama Char Char4 Diagrama Diagrama Diagrama1"/>
    <w:basedOn w:val="Normal"/>
    <w:uiPriority w:val="99"/>
    <w:rsid w:val="00E9602C"/>
    <w:pPr>
      <w:spacing w:after="160" w:line="240" w:lineRule="exact"/>
    </w:pPr>
    <w:rPr>
      <w:rFonts w:ascii="Tahoma" w:hAnsi="Tahoma"/>
      <w:sz w:val="20"/>
      <w:szCs w:val="20"/>
      <w:lang w:val="en-US"/>
    </w:rPr>
  </w:style>
  <w:style w:type="paragraph" w:customStyle="1" w:styleId="Diagrama1DiagramaDiagrama1">
    <w:name w:val="Diagrama1 Diagrama Diagrama1"/>
    <w:basedOn w:val="Normal"/>
    <w:uiPriority w:val="99"/>
    <w:rsid w:val="00E9602C"/>
    <w:pPr>
      <w:spacing w:after="160" w:line="240" w:lineRule="exact"/>
      <w:ind w:firstLine="720"/>
      <w:jc w:val="both"/>
    </w:pPr>
    <w:rPr>
      <w:rFonts w:ascii="Tahoma" w:hAnsi="Tahoma"/>
      <w:sz w:val="20"/>
      <w:szCs w:val="20"/>
      <w:lang w:val="en-US"/>
    </w:rPr>
  </w:style>
  <w:style w:type="paragraph" w:customStyle="1" w:styleId="Default">
    <w:name w:val="Default"/>
    <w:uiPriority w:val="99"/>
    <w:rsid w:val="00E9602C"/>
    <w:pPr>
      <w:autoSpaceDE w:val="0"/>
      <w:autoSpaceDN w:val="0"/>
      <w:adjustRightInd w:val="0"/>
    </w:pPr>
    <w:rPr>
      <w:rFonts w:ascii="EYInterstate" w:hAnsi="EYInterstate" w:cs="EYInterstate"/>
      <w:color w:val="000000"/>
      <w:sz w:val="24"/>
      <w:szCs w:val="24"/>
      <w:lang w:val="en-US"/>
    </w:rPr>
  </w:style>
  <w:style w:type="paragraph" w:customStyle="1" w:styleId="Lentelestekstas">
    <w:name w:val="Lenteles_tekstas"/>
    <w:basedOn w:val="Normal"/>
    <w:next w:val="CommentText"/>
    <w:uiPriority w:val="99"/>
    <w:rsid w:val="00E9602C"/>
    <w:pPr>
      <w:overflowPunct w:val="0"/>
      <w:autoSpaceDE w:val="0"/>
      <w:autoSpaceDN w:val="0"/>
      <w:adjustRightInd w:val="0"/>
      <w:spacing w:before="60" w:after="0" w:line="240" w:lineRule="atLeast"/>
      <w:jc w:val="both"/>
    </w:pPr>
    <w:rPr>
      <w:rFonts w:ascii="Times New Roman" w:hAnsi="Times New Roman"/>
      <w:noProof/>
      <w:sz w:val="18"/>
      <w:szCs w:val="20"/>
      <w:lang w:val="lt-LT"/>
    </w:rPr>
  </w:style>
  <w:style w:type="character" w:customStyle="1" w:styleId="st">
    <w:name w:val="st"/>
    <w:uiPriority w:val="99"/>
    <w:rsid w:val="00E9602C"/>
  </w:style>
  <w:style w:type="character" w:customStyle="1" w:styleId="xclaimempty">
    <w:name w:val="xclaimempty"/>
    <w:basedOn w:val="DefaultParagraphFont"/>
    <w:uiPriority w:val="99"/>
    <w:rsid w:val="00E9602C"/>
    <w:rPr>
      <w:rFonts w:cs="Times New Roman"/>
    </w:rPr>
  </w:style>
  <w:style w:type="paragraph" w:customStyle="1" w:styleId="NoSpacing1">
    <w:name w:val="No Spacing1"/>
    <w:uiPriority w:val="99"/>
    <w:rsid w:val="00E9602C"/>
    <w:pPr>
      <w:overflowPunct w:val="0"/>
      <w:autoSpaceDE w:val="0"/>
      <w:autoSpaceDN w:val="0"/>
      <w:adjustRightInd w:val="0"/>
      <w:textAlignment w:val="baseline"/>
    </w:pPr>
    <w:rPr>
      <w:rFonts w:ascii="Times New Roman" w:hAnsi="Times New Roman"/>
      <w:sz w:val="24"/>
      <w:szCs w:val="20"/>
      <w:lang w:val="lt-LT" w:eastAsia="ko-KR"/>
    </w:rPr>
  </w:style>
  <w:style w:type="paragraph" w:customStyle="1" w:styleId="msolistparagraph0">
    <w:name w:val="msolistparagraph"/>
    <w:basedOn w:val="Normal"/>
    <w:uiPriority w:val="99"/>
    <w:rsid w:val="00E9602C"/>
    <w:pPr>
      <w:spacing w:after="0" w:line="240" w:lineRule="auto"/>
      <w:ind w:left="720"/>
    </w:pPr>
    <w:rPr>
      <w:rFonts w:ascii="Times New Roman" w:hAnsi="Times New Roman"/>
      <w:color w:val="000066"/>
      <w:sz w:val="24"/>
      <w:szCs w:val="24"/>
    </w:rPr>
  </w:style>
  <w:style w:type="paragraph" w:customStyle="1" w:styleId="CharChar1CharChar">
    <w:name w:val="Char Char1 Char Char"/>
    <w:basedOn w:val="Normal"/>
    <w:uiPriority w:val="99"/>
    <w:rsid w:val="00E9602C"/>
    <w:pPr>
      <w:spacing w:after="160" w:line="240" w:lineRule="exact"/>
    </w:pPr>
    <w:rPr>
      <w:rFonts w:ascii="Tahoma" w:hAnsi="Tahoma"/>
      <w:sz w:val="20"/>
      <w:szCs w:val="20"/>
      <w:lang w:val="en-US"/>
    </w:rPr>
  </w:style>
  <w:style w:type="character" w:customStyle="1" w:styleId="hps">
    <w:name w:val="hps"/>
    <w:basedOn w:val="DefaultParagraphFont"/>
    <w:uiPriority w:val="99"/>
    <w:rsid w:val="00E9602C"/>
    <w:rPr>
      <w:rFonts w:cs="Times New Roman"/>
    </w:rPr>
  </w:style>
  <w:style w:type="character" w:customStyle="1" w:styleId="atn">
    <w:name w:val="atn"/>
    <w:basedOn w:val="DefaultParagraphFont"/>
    <w:uiPriority w:val="99"/>
    <w:rsid w:val="00E9602C"/>
    <w:rPr>
      <w:rFonts w:cs="Times New Roman"/>
    </w:rPr>
  </w:style>
  <w:style w:type="paragraph" w:customStyle="1" w:styleId="Style4">
    <w:name w:val="Style4"/>
    <w:basedOn w:val="CharChar"/>
    <w:link w:val="Style4Char"/>
    <w:uiPriority w:val="99"/>
    <w:rsid w:val="00E9602C"/>
    <w:pPr>
      <w:jc w:val="both"/>
    </w:pPr>
    <w:rPr>
      <w:rFonts w:ascii="Trebuchet MS" w:hAnsi="Trebuchet MS"/>
      <w:b/>
      <w:lang w:val="en-GB"/>
    </w:rPr>
  </w:style>
  <w:style w:type="character" w:customStyle="1" w:styleId="Style4Char">
    <w:name w:val="Style4 Char"/>
    <w:link w:val="Style4"/>
    <w:uiPriority w:val="99"/>
    <w:locked/>
    <w:rsid w:val="00E9602C"/>
    <w:rPr>
      <w:rFonts w:ascii="Trebuchet MS" w:hAnsi="Trebuchet MS"/>
      <w:b/>
      <w:sz w:val="20"/>
      <w:lang w:val="en-GB"/>
    </w:rPr>
  </w:style>
  <w:style w:type="paragraph" w:customStyle="1" w:styleId="result-title">
    <w:name w:val="result-title"/>
    <w:basedOn w:val="Normal"/>
    <w:uiPriority w:val="99"/>
    <w:rsid w:val="00E9602C"/>
    <w:pPr>
      <w:spacing w:before="120" w:after="120" w:line="240" w:lineRule="auto"/>
    </w:pPr>
    <w:rPr>
      <w:rFonts w:ascii="Times New Roman" w:hAnsi="Times New Roman"/>
      <w:sz w:val="24"/>
      <w:szCs w:val="24"/>
      <w:lang w:val="en-US"/>
    </w:rPr>
  </w:style>
  <w:style w:type="character" w:customStyle="1" w:styleId="apple-style-span">
    <w:name w:val="apple-style-span"/>
    <w:basedOn w:val="DefaultParagraphFont"/>
    <w:uiPriority w:val="99"/>
    <w:rsid w:val="00E9602C"/>
    <w:rPr>
      <w:rFonts w:cs="Times New Roman"/>
    </w:rPr>
  </w:style>
  <w:style w:type="paragraph" w:customStyle="1" w:styleId="t-9-8">
    <w:name w:val="t-9-8"/>
    <w:basedOn w:val="Normal"/>
    <w:uiPriority w:val="99"/>
    <w:rsid w:val="00E9602C"/>
    <w:pPr>
      <w:spacing w:before="100" w:beforeAutospacing="1" w:after="100" w:afterAutospacing="1" w:line="240" w:lineRule="auto"/>
    </w:pPr>
    <w:rPr>
      <w:rFonts w:ascii="Times New Roman" w:hAnsi="Times New Roman"/>
      <w:sz w:val="24"/>
      <w:szCs w:val="24"/>
    </w:rPr>
  </w:style>
  <w:style w:type="character" w:customStyle="1" w:styleId="kurziv">
    <w:name w:val="kurziv"/>
    <w:uiPriority w:val="99"/>
    <w:rsid w:val="00E9602C"/>
  </w:style>
  <w:style w:type="character" w:customStyle="1" w:styleId="summarymark">
    <w:name w:val="summarymark"/>
    <w:basedOn w:val="DefaultParagraphFont"/>
    <w:uiPriority w:val="99"/>
    <w:rsid w:val="00E9602C"/>
    <w:rPr>
      <w:rFonts w:cs="Times New Roman"/>
    </w:rPr>
  </w:style>
  <w:style w:type="paragraph" w:customStyle="1" w:styleId="tekst">
    <w:name w:val="tekst"/>
    <w:uiPriority w:val="99"/>
    <w:rsid w:val="00E9602C"/>
    <w:pPr>
      <w:spacing w:after="200" w:line="276" w:lineRule="auto"/>
      <w:jc w:val="both"/>
    </w:pPr>
    <w:rPr>
      <w:rFonts w:ascii="Helvetica" w:eastAsia="ヒラギノ角ゴ Pro W3" w:hAnsi="Helvetica"/>
      <w:color w:val="000000"/>
      <w:szCs w:val="20"/>
      <w:lang w:val="en-US"/>
    </w:rPr>
  </w:style>
  <w:style w:type="paragraph" w:customStyle="1" w:styleId="FootnoteTextAA">
    <w:name w:val="Footnote Text A A"/>
    <w:uiPriority w:val="99"/>
    <w:rsid w:val="00E9602C"/>
    <w:pPr>
      <w:spacing w:after="200" w:line="276" w:lineRule="auto"/>
    </w:pPr>
    <w:rPr>
      <w:rFonts w:ascii="Times New Roman" w:eastAsia="ヒラギノ角ゴ Pro W3" w:hAnsi="Times New Roman"/>
      <w:color w:val="000000"/>
      <w:sz w:val="20"/>
      <w:szCs w:val="20"/>
      <w:lang w:val="en-US"/>
    </w:rPr>
  </w:style>
  <w:style w:type="paragraph" w:customStyle="1" w:styleId="Balkandidetext">
    <w:name w:val="Balkandide_text"/>
    <w:basedOn w:val="Normal"/>
    <w:uiPriority w:val="99"/>
    <w:rsid w:val="00E9602C"/>
    <w:pPr>
      <w:suppressAutoHyphens/>
      <w:spacing w:after="120" w:line="240" w:lineRule="auto"/>
      <w:jc w:val="both"/>
    </w:pPr>
    <w:rPr>
      <w:rFonts w:ascii="Times New Roman" w:hAnsi="Times New Roman"/>
      <w:sz w:val="24"/>
      <w:szCs w:val="24"/>
      <w:lang w:val="en-GB" w:eastAsia="ar-SA"/>
    </w:rPr>
  </w:style>
  <w:style w:type="character" w:customStyle="1" w:styleId="apple-converted-space">
    <w:name w:val="apple-converted-space"/>
    <w:basedOn w:val="DefaultParagraphFont"/>
    <w:uiPriority w:val="99"/>
    <w:rsid w:val="00E9602C"/>
    <w:rPr>
      <w:rFonts w:cs="Times New Roman"/>
    </w:rPr>
  </w:style>
  <w:style w:type="character" w:customStyle="1" w:styleId="st1">
    <w:name w:val="st1"/>
    <w:basedOn w:val="DefaultParagraphFont"/>
    <w:uiPriority w:val="99"/>
    <w:rsid w:val="00E9602C"/>
    <w:rPr>
      <w:rFonts w:cs="Times New Roman"/>
    </w:rPr>
  </w:style>
  <w:style w:type="character" w:customStyle="1" w:styleId="shorttext">
    <w:name w:val="short_text"/>
    <w:basedOn w:val="DefaultParagraphFont"/>
    <w:uiPriority w:val="99"/>
    <w:rsid w:val="00E9602C"/>
    <w:rPr>
      <w:rFonts w:cs="Times New Roman"/>
    </w:rPr>
  </w:style>
  <w:style w:type="table" w:customStyle="1" w:styleId="LightShading-Accent11">
    <w:name w:val="Light Shading - Accent 11"/>
    <w:uiPriority w:val="99"/>
    <w:rsid w:val="005A65F5"/>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ghtList-Accent11">
    <w:name w:val="Light List - Accent 11"/>
    <w:uiPriority w:val="99"/>
    <w:rsid w:val="005D5936"/>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Standard">
    <w:name w:val="Standard"/>
    <w:uiPriority w:val="99"/>
    <w:rsid w:val="005D5936"/>
    <w:pPr>
      <w:suppressAutoHyphens/>
      <w:autoSpaceDN w:val="0"/>
      <w:textAlignment w:val="baseline"/>
    </w:pPr>
    <w:rPr>
      <w:rFonts w:ascii="Times New Roman" w:hAnsi="Times New Roman"/>
      <w:kern w:val="3"/>
      <w:sz w:val="24"/>
      <w:szCs w:val="24"/>
      <w:lang w:eastAsia="zh-CN"/>
    </w:rPr>
  </w:style>
  <w:style w:type="paragraph" w:styleId="TOCHeading">
    <w:name w:val="TOC Heading"/>
    <w:basedOn w:val="Heading1"/>
    <w:next w:val="Normal"/>
    <w:uiPriority w:val="99"/>
    <w:qFormat/>
    <w:rsid w:val="00524D5A"/>
    <w:pPr>
      <w:keepLines/>
      <w:spacing w:before="480" w:after="0" w:line="276" w:lineRule="auto"/>
      <w:outlineLvl w:val="9"/>
    </w:pPr>
    <w:rPr>
      <w:rFonts w:ascii="Cambria" w:hAnsi="Cambria"/>
      <w:color w:val="365F91"/>
      <w:kern w:val="0"/>
      <w:szCs w:val="28"/>
      <w:lang w:val="en-US" w:eastAsia="en-US"/>
    </w:rPr>
  </w:style>
  <w:style w:type="character" w:customStyle="1" w:styleId="HEADING---Level1Char">
    <w:name w:val="HEADING --- Level 1 Char"/>
    <w:basedOn w:val="DefaultParagraphFont"/>
    <w:link w:val="HEADING---Level1"/>
    <w:uiPriority w:val="99"/>
    <w:locked/>
    <w:rsid w:val="00412D98"/>
    <w:rPr>
      <w:rFonts w:ascii="Arial" w:hAnsi="Arial" w:cs="Times New Roman"/>
      <w:b/>
      <w:bCs/>
      <w:caps/>
      <w:snapToGrid w:val="0"/>
      <w:color w:val="000000"/>
      <w:sz w:val="24"/>
      <w:szCs w:val="24"/>
      <w:lang w:val="lt-LT"/>
    </w:rPr>
  </w:style>
  <w:style w:type="character" w:customStyle="1" w:styleId="HEADING---Level2Char">
    <w:name w:val="HEADING --- Level 2 Char"/>
    <w:basedOn w:val="HEADING---Level1Char"/>
    <w:link w:val="HEADING---Level2"/>
    <w:uiPriority w:val="99"/>
    <w:locked/>
    <w:rsid w:val="00412D98"/>
    <w:rPr>
      <w:rFonts w:ascii="Arial" w:hAnsi="Arial" w:cs="Times New Roman"/>
      <w:b/>
      <w:bCs/>
      <w:caps/>
      <w:snapToGrid w:val="0"/>
      <w:color w:val="000000"/>
      <w:sz w:val="24"/>
      <w:szCs w:val="24"/>
      <w:lang w:val="lt-LT"/>
    </w:rPr>
  </w:style>
  <w:style w:type="character" w:customStyle="1" w:styleId="HEADING---Level3Char">
    <w:name w:val="HEADING --- Level 3 Char"/>
    <w:basedOn w:val="HEADING---Level2Char"/>
    <w:link w:val="HEADING---Level3"/>
    <w:uiPriority w:val="99"/>
    <w:locked/>
    <w:rsid w:val="00412D98"/>
    <w:rPr>
      <w:rFonts w:ascii="Arial" w:hAnsi="Arial" w:cs="Times New Roman"/>
      <w:b/>
      <w:bCs/>
      <w:caps/>
      <w:snapToGrid w:val="0"/>
      <w:color w:val="000000"/>
      <w:sz w:val="24"/>
      <w:szCs w:val="24"/>
      <w:lang w:val="lt-LT"/>
    </w:rPr>
  </w:style>
  <w:style w:type="character" w:styleId="IntenseEmphasis">
    <w:name w:val="Intense Emphasis"/>
    <w:basedOn w:val="DefaultParagraphFont"/>
    <w:uiPriority w:val="99"/>
    <w:qFormat/>
    <w:rsid w:val="00412D98"/>
    <w:rPr>
      <w:rFonts w:cs="Times New Roman"/>
      <w:b/>
      <w:bCs/>
      <w:i/>
      <w:iCs/>
      <w:color w:val="4F81BD"/>
    </w:rPr>
  </w:style>
  <w:style w:type="paragraph" w:styleId="IntenseQuote">
    <w:name w:val="Intense Quote"/>
    <w:basedOn w:val="Normal"/>
    <w:next w:val="Normal"/>
    <w:link w:val="IntenseQuoteChar"/>
    <w:uiPriority w:val="99"/>
    <w:qFormat/>
    <w:rsid w:val="00412D98"/>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412D98"/>
    <w:rPr>
      <w:rFonts w:cs="Times New Roman"/>
      <w:b/>
      <w:bCs/>
      <w:i/>
      <w:iCs/>
      <w:color w:val="4F81BD"/>
    </w:rPr>
  </w:style>
  <w:style w:type="character" w:styleId="CommentReference">
    <w:name w:val="annotation reference"/>
    <w:basedOn w:val="DefaultParagraphFont"/>
    <w:uiPriority w:val="99"/>
    <w:semiHidden/>
    <w:rsid w:val="004A51FF"/>
    <w:rPr>
      <w:rFonts w:cs="Times New Roman"/>
      <w:sz w:val="16"/>
      <w:szCs w:val="16"/>
    </w:rPr>
  </w:style>
  <w:style w:type="table" w:customStyle="1" w:styleId="LightShading-Accent111">
    <w:name w:val="Light Shading - Accent 111"/>
    <w:uiPriority w:val="99"/>
    <w:rsid w:val="00923D77"/>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Grid1-Accent1">
    <w:name w:val="Medium Grid 1 Accent 1"/>
    <w:basedOn w:val="TableNormal"/>
    <w:uiPriority w:val="99"/>
    <w:rsid w:val="00923D77"/>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character" w:customStyle="1" w:styleId="Bodytext0">
    <w:name w:val="Body text_"/>
    <w:link w:val="Tijeloteksta7"/>
    <w:uiPriority w:val="99"/>
    <w:locked/>
    <w:rsid w:val="00EA7E32"/>
    <w:rPr>
      <w:rFonts w:ascii="Arial" w:hAnsi="Arial"/>
      <w:spacing w:val="2"/>
      <w:sz w:val="18"/>
      <w:shd w:val="clear" w:color="auto" w:fill="FFFFFF"/>
    </w:rPr>
  </w:style>
  <w:style w:type="character" w:customStyle="1" w:styleId="Tijeloteksta3">
    <w:name w:val="Tijelo teksta3"/>
    <w:uiPriority w:val="99"/>
    <w:rsid w:val="00EA7E32"/>
    <w:rPr>
      <w:rFonts w:ascii="Arial" w:hAnsi="Arial"/>
      <w:color w:val="000000"/>
      <w:spacing w:val="2"/>
      <w:w w:val="100"/>
      <w:position w:val="0"/>
      <w:sz w:val="18"/>
      <w:shd w:val="clear" w:color="auto" w:fill="FFFFFF"/>
      <w:lang w:val="en-US"/>
    </w:rPr>
  </w:style>
  <w:style w:type="paragraph" w:customStyle="1" w:styleId="Tijeloteksta7">
    <w:name w:val="Tijelo teksta7"/>
    <w:basedOn w:val="Normal"/>
    <w:link w:val="Bodytext0"/>
    <w:uiPriority w:val="99"/>
    <w:rsid w:val="00EA7E32"/>
    <w:pPr>
      <w:widowControl w:val="0"/>
      <w:shd w:val="clear" w:color="auto" w:fill="FFFFFF"/>
      <w:spacing w:after="0" w:line="240" w:lineRule="atLeast"/>
      <w:ind w:hanging="360"/>
    </w:pPr>
    <w:rPr>
      <w:rFonts w:ascii="Arial" w:hAnsi="Arial"/>
      <w:spacing w:val="2"/>
      <w:sz w:val="18"/>
      <w:szCs w:val="20"/>
    </w:rPr>
  </w:style>
  <w:style w:type="table" w:customStyle="1" w:styleId="LightList-Accent111">
    <w:name w:val="Light List - Accent 111"/>
    <w:uiPriority w:val="61"/>
    <w:rsid w:val="00DB39D7"/>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
    <w:name w:val="Light List"/>
    <w:basedOn w:val="TableNormal"/>
    <w:uiPriority w:val="99"/>
    <w:rsid w:val="00925F04"/>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99"/>
    <w:rsid w:val="00925F04"/>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MediumShading2-Accent1">
    <w:name w:val="Medium Shading 2 Accent 1"/>
    <w:basedOn w:val="TableNormal"/>
    <w:uiPriority w:val="99"/>
    <w:rsid w:val="00925F04"/>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111">
    <w:name w:val="Light List - Accent 1111"/>
    <w:basedOn w:val="TableNormal"/>
    <w:uiPriority w:val="61"/>
    <w:rsid w:val="00843ED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semiHidden/>
    <w:unhideWhenUsed/>
    <w:locked/>
    <w:rsid w:val="00887D9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87D90"/>
    <w:rPr>
      <w:sz w:val="20"/>
      <w:szCs w:val="20"/>
    </w:rPr>
  </w:style>
  <w:style w:type="character" w:styleId="EndnoteReference">
    <w:name w:val="endnote reference"/>
    <w:basedOn w:val="DefaultParagraphFont"/>
    <w:uiPriority w:val="99"/>
    <w:semiHidden/>
    <w:unhideWhenUsed/>
    <w:locked/>
    <w:rsid w:val="00887D9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hr-HR" w:eastAsia="hr-H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B8398D"/>
    <w:pPr>
      <w:spacing w:after="200" w:line="276" w:lineRule="auto"/>
    </w:pPr>
  </w:style>
  <w:style w:type="paragraph" w:styleId="Heading1">
    <w:name w:val="heading 1"/>
    <w:basedOn w:val="Normal"/>
    <w:next w:val="Normal"/>
    <w:link w:val="Heading1Char"/>
    <w:uiPriority w:val="99"/>
    <w:qFormat/>
    <w:rsid w:val="00FF24A1"/>
    <w:pPr>
      <w:keepNext/>
      <w:spacing w:before="240" w:after="60" w:line="240" w:lineRule="auto"/>
      <w:outlineLvl w:val="0"/>
    </w:pPr>
    <w:rPr>
      <w:b/>
      <w:bCs/>
      <w:kern w:val="32"/>
      <w:sz w:val="24"/>
      <w:szCs w:val="32"/>
      <w:lang w:val="lt-LT" w:eastAsia="lt-LT"/>
    </w:rPr>
  </w:style>
  <w:style w:type="paragraph" w:styleId="Heading2">
    <w:name w:val="heading 2"/>
    <w:basedOn w:val="Normal"/>
    <w:next w:val="Normal"/>
    <w:link w:val="Heading2Char"/>
    <w:uiPriority w:val="99"/>
    <w:qFormat/>
    <w:rsid w:val="00AC21FC"/>
    <w:pPr>
      <w:spacing w:after="0" w:line="183" w:lineRule="atLeast"/>
      <w:outlineLvl w:val="1"/>
    </w:pPr>
    <w:rPr>
      <w:b/>
      <w:bCs/>
      <w:sz w:val="20"/>
      <w:szCs w:val="14"/>
    </w:rPr>
  </w:style>
  <w:style w:type="paragraph" w:styleId="Heading3">
    <w:name w:val="heading 3"/>
    <w:basedOn w:val="Normal"/>
    <w:next w:val="Normal"/>
    <w:link w:val="Heading3Char"/>
    <w:autoRedefine/>
    <w:uiPriority w:val="99"/>
    <w:qFormat/>
    <w:rsid w:val="00D74ECD"/>
    <w:pPr>
      <w:keepNext/>
      <w:spacing w:before="240" w:after="60" w:line="240" w:lineRule="auto"/>
      <w:outlineLvl w:val="2"/>
    </w:pPr>
    <w:rPr>
      <w:b/>
      <w:bCs/>
      <w:lang w:eastAsia="lt-LT"/>
    </w:rPr>
  </w:style>
  <w:style w:type="paragraph" w:styleId="Heading4">
    <w:name w:val="heading 4"/>
    <w:basedOn w:val="Normal"/>
    <w:next w:val="Normal"/>
    <w:link w:val="Heading4Char"/>
    <w:autoRedefine/>
    <w:uiPriority w:val="99"/>
    <w:qFormat/>
    <w:rsid w:val="00AC21FC"/>
    <w:pPr>
      <w:keepNext/>
      <w:spacing w:before="240" w:after="60" w:line="240" w:lineRule="auto"/>
      <w:outlineLvl w:val="3"/>
    </w:pPr>
    <w:rPr>
      <w:rFonts w:ascii="Arial" w:hAnsi="Arial"/>
      <w:b/>
      <w:bCs/>
      <w:sz w:val="18"/>
      <w:szCs w:val="28"/>
      <w:lang w:val="lt-LT" w:eastAsia="lt-LT"/>
    </w:rPr>
  </w:style>
  <w:style w:type="paragraph" w:styleId="Heading5">
    <w:name w:val="heading 5"/>
    <w:basedOn w:val="Normal"/>
    <w:next w:val="Normal"/>
    <w:link w:val="Heading5Char"/>
    <w:uiPriority w:val="99"/>
    <w:qFormat/>
    <w:rsid w:val="00E9602C"/>
    <w:pPr>
      <w:spacing w:before="240" w:after="60" w:line="240" w:lineRule="auto"/>
      <w:outlineLvl w:val="4"/>
    </w:pPr>
    <w:rPr>
      <w:rFonts w:ascii="Times New Roman" w:hAnsi="Times New Roman"/>
      <w:b/>
      <w:bCs/>
      <w:i/>
      <w:iCs/>
      <w:sz w:val="26"/>
      <w:szCs w:val="26"/>
      <w:lang w:val="lt-LT" w:eastAsia="lt-LT"/>
    </w:rPr>
  </w:style>
  <w:style w:type="paragraph" w:styleId="Heading6">
    <w:name w:val="heading 6"/>
    <w:basedOn w:val="Normal"/>
    <w:next w:val="Normal"/>
    <w:link w:val="Heading6Char"/>
    <w:uiPriority w:val="99"/>
    <w:qFormat/>
    <w:rsid w:val="00E9602C"/>
    <w:pPr>
      <w:spacing w:before="240" w:after="60" w:line="240" w:lineRule="auto"/>
      <w:outlineLvl w:val="5"/>
    </w:pPr>
    <w:rPr>
      <w:rFonts w:ascii="Times New Roman" w:hAnsi="Times New Roman"/>
      <w:b/>
      <w:bCs/>
      <w:sz w:val="20"/>
      <w:szCs w:val="20"/>
      <w:lang w:val="lt-LT" w:eastAsia="lt-LT"/>
    </w:rPr>
  </w:style>
  <w:style w:type="paragraph" w:styleId="Heading7">
    <w:name w:val="heading 7"/>
    <w:basedOn w:val="Normal"/>
    <w:next w:val="BodyText"/>
    <w:link w:val="Heading7Char"/>
    <w:uiPriority w:val="99"/>
    <w:qFormat/>
    <w:rsid w:val="00E9602C"/>
    <w:pPr>
      <w:keepNext/>
      <w:keepLines/>
      <w:tabs>
        <w:tab w:val="num" w:pos="1296"/>
      </w:tabs>
      <w:spacing w:after="0" w:line="240" w:lineRule="atLeast"/>
      <w:ind w:left="1296" w:hanging="1296"/>
      <w:outlineLvl w:val="6"/>
    </w:pPr>
    <w:rPr>
      <w:rFonts w:ascii="Times New Roman" w:hAnsi="Times New Roman"/>
      <w:caps/>
      <w:noProof/>
      <w:kern w:val="20"/>
      <w:sz w:val="18"/>
      <w:szCs w:val="20"/>
      <w:lang w:val="lt-LT"/>
    </w:rPr>
  </w:style>
  <w:style w:type="paragraph" w:styleId="Heading8">
    <w:name w:val="heading 8"/>
    <w:basedOn w:val="Normal"/>
    <w:next w:val="BodyText"/>
    <w:link w:val="Heading8Char"/>
    <w:uiPriority w:val="99"/>
    <w:qFormat/>
    <w:rsid w:val="00E9602C"/>
    <w:pPr>
      <w:keepNext/>
      <w:keepLines/>
      <w:tabs>
        <w:tab w:val="num" w:pos="1440"/>
      </w:tabs>
      <w:spacing w:after="0" w:line="240" w:lineRule="atLeast"/>
      <w:ind w:left="1440" w:hanging="1440"/>
      <w:outlineLvl w:val="7"/>
    </w:pPr>
    <w:rPr>
      <w:rFonts w:ascii="Times New Roman" w:hAnsi="Times New Roman"/>
      <w:i/>
      <w:noProof/>
      <w:spacing w:val="5"/>
      <w:kern w:val="20"/>
      <w:sz w:val="24"/>
      <w:szCs w:val="20"/>
      <w:lang w:val="lt-LT"/>
    </w:rPr>
  </w:style>
  <w:style w:type="paragraph" w:styleId="Heading9">
    <w:name w:val="heading 9"/>
    <w:basedOn w:val="Normal"/>
    <w:next w:val="BodyText"/>
    <w:link w:val="Heading9Char"/>
    <w:uiPriority w:val="99"/>
    <w:qFormat/>
    <w:rsid w:val="00E9602C"/>
    <w:pPr>
      <w:keepNext/>
      <w:keepLines/>
      <w:tabs>
        <w:tab w:val="num" w:pos="1584"/>
      </w:tabs>
      <w:spacing w:after="0" w:line="240" w:lineRule="atLeast"/>
      <w:ind w:left="1584" w:hanging="1584"/>
      <w:outlineLvl w:val="8"/>
    </w:pPr>
    <w:rPr>
      <w:rFonts w:ascii="Times New Roman" w:hAnsi="Times New Roman"/>
      <w:noProof/>
      <w:spacing w:val="-5"/>
      <w:kern w:val="20"/>
      <w:sz w:val="24"/>
      <w:szCs w:val="20"/>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F24A1"/>
    <w:rPr>
      <w:rFonts w:ascii="Calibri" w:hAnsi="Calibri" w:cs="Times New Roman"/>
      <w:b/>
      <w:bCs/>
      <w:kern w:val="32"/>
      <w:sz w:val="32"/>
      <w:szCs w:val="32"/>
      <w:lang w:val="lt-LT" w:eastAsia="lt-LT"/>
    </w:rPr>
  </w:style>
  <w:style w:type="character" w:customStyle="1" w:styleId="Heading2Char">
    <w:name w:val="Heading 2 Char"/>
    <w:basedOn w:val="DefaultParagraphFont"/>
    <w:link w:val="Heading2"/>
    <w:uiPriority w:val="99"/>
    <w:locked/>
    <w:rsid w:val="00AC21FC"/>
    <w:rPr>
      <w:rFonts w:ascii="Calibri" w:hAnsi="Calibri" w:cs="Times New Roman"/>
      <w:b/>
      <w:bCs/>
      <w:sz w:val="14"/>
      <w:szCs w:val="14"/>
    </w:rPr>
  </w:style>
  <w:style w:type="character" w:customStyle="1" w:styleId="Heading3Char">
    <w:name w:val="Heading 3 Char"/>
    <w:basedOn w:val="DefaultParagraphFont"/>
    <w:link w:val="Heading3"/>
    <w:uiPriority w:val="99"/>
    <w:locked/>
    <w:rsid w:val="00D74ECD"/>
    <w:rPr>
      <w:rFonts w:ascii="Calibri" w:hAnsi="Calibri" w:cs="Times New Roman"/>
      <w:b/>
      <w:bCs/>
      <w:lang w:eastAsia="lt-LT"/>
    </w:rPr>
  </w:style>
  <w:style w:type="character" w:customStyle="1" w:styleId="Heading4Char">
    <w:name w:val="Heading 4 Char"/>
    <w:basedOn w:val="DefaultParagraphFont"/>
    <w:link w:val="Heading4"/>
    <w:uiPriority w:val="99"/>
    <w:locked/>
    <w:rsid w:val="00AC21FC"/>
    <w:rPr>
      <w:rFonts w:ascii="Arial" w:hAnsi="Arial" w:cs="Times New Roman"/>
      <w:b/>
      <w:bCs/>
      <w:sz w:val="28"/>
      <w:szCs w:val="28"/>
      <w:lang w:val="lt-LT" w:eastAsia="lt-LT"/>
    </w:rPr>
  </w:style>
  <w:style w:type="character" w:customStyle="1" w:styleId="Heading5Char">
    <w:name w:val="Heading 5 Char"/>
    <w:basedOn w:val="DefaultParagraphFont"/>
    <w:link w:val="Heading5"/>
    <w:uiPriority w:val="99"/>
    <w:locked/>
    <w:rsid w:val="00E9602C"/>
    <w:rPr>
      <w:rFonts w:ascii="Times New Roman" w:hAnsi="Times New Roman" w:cs="Times New Roman"/>
      <w:b/>
      <w:bCs/>
      <w:i/>
      <w:iCs/>
      <w:sz w:val="26"/>
      <w:szCs w:val="26"/>
      <w:lang w:val="lt-LT" w:eastAsia="lt-LT"/>
    </w:rPr>
  </w:style>
  <w:style w:type="character" w:customStyle="1" w:styleId="Heading6Char">
    <w:name w:val="Heading 6 Char"/>
    <w:basedOn w:val="DefaultParagraphFont"/>
    <w:link w:val="Heading6"/>
    <w:uiPriority w:val="99"/>
    <w:locked/>
    <w:rsid w:val="00E9602C"/>
    <w:rPr>
      <w:rFonts w:ascii="Times New Roman" w:hAnsi="Times New Roman" w:cs="Times New Roman"/>
      <w:b/>
      <w:bCs/>
      <w:sz w:val="20"/>
      <w:szCs w:val="20"/>
      <w:lang w:val="lt-LT" w:eastAsia="lt-LT"/>
    </w:rPr>
  </w:style>
  <w:style w:type="character" w:customStyle="1" w:styleId="Heading7Char">
    <w:name w:val="Heading 7 Char"/>
    <w:basedOn w:val="DefaultParagraphFont"/>
    <w:link w:val="Heading7"/>
    <w:uiPriority w:val="99"/>
    <w:locked/>
    <w:rsid w:val="00E9602C"/>
    <w:rPr>
      <w:rFonts w:ascii="Times New Roman" w:hAnsi="Times New Roman" w:cs="Times New Roman"/>
      <w:caps/>
      <w:noProof/>
      <w:kern w:val="20"/>
      <w:sz w:val="20"/>
      <w:szCs w:val="20"/>
      <w:lang w:val="lt-LT"/>
    </w:rPr>
  </w:style>
  <w:style w:type="character" w:customStyle="1" w:styleId="Heading8Char">
    <w:name w:val="Heading 8 Char"/>
    <w:basedOn w:val="DefaultParagraphFont"/>
    <w:link w:val="Heading8"/>
    <w:uiPriority w:val="99"/>
    <w:locked/>
    <w:rsid w:val="00E9602C"/>
    <w:rPr>
      <w:rFonts w:ascii="Times New Roman" w:hAnsi="Times New Roman" w:cs="Times New Roman"/>
      <w:i/>
      <w:noProof/>
      <w:spacing w:val="5"/>
      <w:kern w:val="20"/>
      <w:sz w:val="20"/>
      <w:szCs w:val="20"/>
      <w:lang w:val="lt-LT"/>
    </w:rPr>
  </w:style>
  <w:style w:type="character" w:customStyle="1" w:styleId="Heading9Char">
    <w:name w:val="Heading 9 Char"/>
    <w:basedOn w:val="DefaultParagraphFont"/>
    <w:link w:val="Heading9"/>
    <w:uiPriority w:val="99"/>
    <w:locked/>
    <w:rsid w:val="00E9602C"/>
    <w:rPr>
      <w:rFonts w:ascii="Times New Roman" w:hAnsi="Times New Roman" w:cs="Times New Roman"/>
      <w:noProof/>
      <w:spacing w:val="-5"/>
      <w:kern w:val="20"/>
      <w:sz w:val="20"/>
      <w:szCs w:val="20"/>
      <w:lang w:val="lt-LT"/>
    </w:rPr>
  </w:style>
  <w:style w:type="paragraph" w:styleId="BodyText">
    <w:name w:val="Body Text"/>
    <w:basedOn w:val="Normal"/>
    <w:link w:val="BodyTextChar"/>
    <w:uiPriority w:val="99"/>
    <w:rsid w:val="00E9602C"/>
    <w:pPr>
      <w:spacing w:after="0" w:line="240" w:lineRule="auto"/>
    </w:pPr>
    <w:rPr>
      <w:rFonts w:ascii="Times New Roman" w:hAnsi="Times New Roman"/>
      <w:sz w:val="24"/>
      <w:szCs w:val="20"/>
      <w:lang w:val="lt-LT"/>
    </w:rPr>
  </w:style>
  <w:style w:type="character" w:customStyle="1" w:styleId="BodyTextChar">
    <w:name w:val="Body Text Char"/>
    <w:basedOn w:val="DefaultParagraphFont"/>
    <w:link w:val="BodyText"/>
    <w:uiPriority w:val="99"/>
    <w:locked/>
    <w:rsid w:val="00E9602C"/>
    <w:rPr>
      <w:rFonts w:ascii="Times New Roman" w:hAnsi="Times New Roman" w:cs="Times New Roman"/>
      <w:sz w:val="20"/>
      <w:szCs w:val="20"/>
      <w:lang w:val="lt-LT"/>
    </w:rPr>
  </w:style>
  <w:style w:type="paragraph" w:styleId="NoSpacing">
    <w:name w:val="No Spacing"/>
    <w:link w:val="NoSpacingChar"/>
    <w:uiPriority w:val="99"/>
    <w:qFormat/>
    <w:rsid w:val="00EF7351"/>
    <w:rPr>
      <w:lang w:val="en-US"/>
    </w:rPr>
  </w:style>
  <w:style w:type="character" w:customStyle="1" w:styleId="NoSpacingChar">
    <w:name w:val="No Spacing Char"/>
    <w:basedOn w:val="DefaultParagraphFont"/>
    <w:link w:val="NoSpacing"/>
    <w:uiPriority w:val="99"/>
    <w:locked/>
    <w:rsid w:val="00EF7351"/>
    <w:rPr>
      <w:rFonts w:cs="Times New Roman"/>
      <w:sz w:val="22"/>
      <w:szCs w:val="22"/>
      <w:lang w:val="en-US" w:eastAsia="hr-HR" w:bidi="ar-SA"/>
    </w:rPr>
  </w:style>
  <w:style w:type="paragraph" w:styleId="BalloonText">
    <w:name w:val="Balloon Text"/>
    <w:basedOn w:val="Normal"/>
    <w:link w:val="BalloonTextChar"/>
    <w:uiPriority w:val="99"/>
    <w:semiHidden/>
    <w:rsid w:val="00EF73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F7351"/>
    <w:rPr>
      <w:rFonts w:ascii="Tahoma" w:hAnsi="Tahoma" w:cs="Tahoma"/>
      <w:sz w:val="16"/>
      <w:szCs w:val="16"/>
    </w:rPr>
  </w:style>
  <w:style w:type="paragraph" w:styleId="Header">
    <w:name w:val="header"/>
    <w:basedOn w:val="Normal"/>
    <w:link w:val="HeaderChar"/>
    <w:uiPriority w:val="99"/>
    <w:rsid w:val="002E059B"/>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2E059B"/>
    <w:rPr>
      <w:rFonts w:cs="Times New Roman"/>
    </w:rPr>
  </w:style>
  <w:style w:type="paragraph" w:styleId="Footer">
    <w:name w:val="footer"/>
    <w:basedOn w:val="Normal"/>
    <w:link w:val="FooterChar"/>
    <w:uiPriority w:val="99"/>
    <w:rsid w:val="002E059B"/>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2E059B"/>
    <w:rPr>
      <w:rFonts w:cs="Times New Roman"/>
    </w:rPr>
  </w:style>
  <w:style w:type="character" w:styleId="Strong">
    <w:name w:val="Strong"/>
    <w:basedOn w:val="DefaultParagraphFont"/>
    <w:uiPriority w:val="99"/>
    <w:qFormat/>
    <w:rsid w:val="00D46F96"/>
    <w:rPr>
      <w:rFonts w:cs="Times New Roman"/>
      <w:b/>
      <w:bCs/>
    </w:rPr>
  </w:style>
  <w:style w:type="paragraph" w:styleId="ListParagraph">
    <w:name w:val="List Paragraph"/>
    <w:basedOn w:val="Normal"/>
    <w:uiPriority w:val="99"/>
    <w:qFormat/>
    <w:rsid w:val="00492AB6"/>
    <w:pPr>
      <w:ind w:left="720"/>
      <w:contextualSpacing/>
    </w:pPr>
  </w:style>
  <w:style w:type="paragraph" w:styleId="NormalWeb">
    <w:name w:val="Normal (Web)"/>
    <w:basedOn w:val="Normal"/>
    <w:uiPriority w:val="99"/>
    <w:rsid w:val="00870B7E"/>
    <w:pPr>
      <w:spacing w:after="0" w:line="288" w:lineRule="atLeast"/>
    </w:pPr>
    <w:rPr>
      <w:rFonts w:ascii="Tahoma" w:hAnsi="Tahoma" w:cs="Tahoma"/>
      <w:color w:val="666666"/>
      <w:sz w:val="17"/>
      <w:szCs w:val="17"/>
    </w:rPr>
  </w:style>
  <w:style w:type="character" w:styleId="Hyperlink">
    <w:name w:val="Hyperlink"/>
    <w:basedOn w:val="DefaultParagraphFont"/>
    <w:uiPriority w:val="99"/>
    <w:rsid w:val="00C0506E"/>
    <w:rPr>
      <w:rFonts w:cs="Times New Roman"/>
      <w:color w:val="0000FF"/>
      <w:u w:val="single"/>
    </w:rPr>
  </w:style>
  <w:style w:type="paragraph" w:styleId="CommentText">
    <w:name w:val="annotation text"/>
    <w:basedOn w:val="Normal"/>
    <w:link w:val="CommentTextChar"/>
    <w:uiPriority w:val="99"/>
    <w:semiHidden/>
    <w:rsid w:val="00E9602C"/>
    <w:pPr>
      <w:spacing w:after="0" w:line="240" w:lineRule="auto"/>
    </w:pPr>
    <w:rPr>
      <w:rFonts w:ascii="Times New Roman" w:hAnsi="Times New Roman"/>
      <w:sz w:val="20"/>
      <w:szCs w:val="20"/>
      <w:lang w:val="lt-LT" w:eastAsia="lt-LT"/>
    </w:rPr>
  </w:style>
  <w:style w:type="character" w:customStyle="1" w:styleId="CommentTextChar">
    <w:name w:val="Comment Text Char"/>
    <w:basedOn w:val="DefaultParagraphFont"/>
    <w:link w:val="CommentText"/>
    <w:uiPriority w:val="99"/>
    <w:semiHidden/>
    <w:locked/>
    <w:rsid w:val="00E9602C"/>
    <w:rPr>
      <w:rFonts w:ascii="Times New Roman" w:hAnsi="Times New Roman" w:cs="Times New Roman"/>
      <w:sz w:val="20"/>
      <w:szCs w:val="20"/>
      <w:lang w:val="lt-LT" w:eastAsia="lt-LT"/>
    </w:rPr>
  </w:style>
  <w:style w:type="character" w:styleId="FootnoteReference">
    <w:name w:val="footnote reference"/>
    <w:aliases w:val="BVI fnr,Footnote symbol,Footnote anchor,Times 10 Point,Exposant 3 Point,Footnote reference number,Voetnootverwijzing,Footnote number,fr,Footnotemark,FR,Footnotemark1,Footnotemark2,FR1,Footnotemark3,FR2,Footnotemark4,FR3"/>
    <w:basedOn w:val="DefaultParagraphFont"/>
    <w:uiPriority w:val="99"/>
    <w:rsid w:val="00E9602C"/>
    <w:rPr>
      <w:rFonts w:cs="Times New Roman"/>
      <w:vertAlign w:val="superscript"/>
    </w:rPr>
  </w:style>
  <w:style w:type="paragraph" w:styleId="FootnoteText">
    <w:name w:val="footnote text"/>
    <w:aliases w:val="Footnote,Footnote text,fn,Footnote Text Char Char,single space,FOOTNOTES,Footnote Text Char1,single space Char,ft Char,ft,Footnote Text Char Char1 Char,Footnote Text2,Footnote Text Char Char Char1,Char Char Char Char Char,AD"/>
    <w:basedOn w:val="Normal"/>
    <w:link w:val="FootnoteTextChar2"/>
    <w:uiPriority w:val="99"/>
    <w:rsid w:val="00E9602C"/>
    <w:pPr>
      <w:spacing w:after="0" w:line="240" w:lineRule="auto"/>
    </w:pPr>
    <w:rPr>
      <w:rFonts w:ascii="Times New Roman" w:hAnsi="Times New Roman"/>
      <w:noProof/>
      <w:sz w:val="20"/>
      <w:szCs w:val="20"/>
      <w:lang w:val="lt-LT"/>
    </w:rPr>
  </w:style>
  <w:style w:type="character" w:customStyle="1" w:styleId="FootnoteTextChar">
    <w:name w:val="Footnote Text Char"/>
    <w:aliases w:val="Footnote Char,Footnote text Char,fn Char,Footnote Text Char Char Char,single space Char1,FOOTNOTES Char,Footnote Text Char1 Char,single space Char Char,ft Char Char,ft Char1,Footnote Text Char Char1 Char Char,Footnote Text2 Char"/>
    <w:basedOn w:val="DefaultParagraphFont"/>
    <w:uiPriority w:val="99"/>
    <w:semiHidden/>
    <w:locked/>
    <w:rsid w:val="00DD25C6"/>
    <w:rPr>
      <w:rFonts w:cs="Times New Roman"/>
      <w:sz w:val="20"/>
      <w:szCs w:val="20"/>
    </w:rPr>
  </w:style>
  <w:style w:type="character" w:customStyle="1" w:styleId="FootnoteTextChar2">
    <w:name w:val="Footnote Text Char2"/>
    <w:aliases w:val="Footnote Char1,Footnote text Char1,fn Char1,Footnote Text Char Char Char2,single space Char2,FOOTNOTES Char1,Footnote Text Char1 Char1,single space Char Char1,ft Char Char1,ft Char2,Footnote Text Char Char1 Char Char1,AD Char"/>
    <w:basedOn w:val="DefaultParagraphFont"/>
    <w:link w:val="FootnoteText"/>
    <w:uiPriority w:val="99"/>
    <w:locked/>
    <w:rsid w:val="00E9602C"/>
    <w:rPr>
      <w:rFonts w:ascii="Times New Roman" w:hAnsi="Times New Roman" w:cs="Times New Roman"/>
      <w:noProof/>
      <w:sz w:val="20"/>
      <w:szCs w:val="20"/>
      <w:lang w:val="lt-LT"/>
    </w:rPr>
  </w:style>
  <w:style w:type="paragraph" w:customStyle="1" w:styleId="ListParagraph1">
    <w:name w:val="List Paragraph1"/>
    <w:basedOn w:val="Normal"/>
    <w:uiPriority w:val="99"/>
    <w:rsid w:val="00E9602C"/>
    <w:pPr>
      <w:overflowPunct w:val="0"/>
      <w:autoSpaceDE w:val="0"/>
      <w:autoSpaceDN w:val="0"/>
      <w:adjustRightInd w:val="0"/>
      <w:spacing w:after="0" w:line="240" w:lineRule="auto"/>
      <w:ind w:left="720"/>
      <w:textAlignment w:val="baseline"/>
    </w:pPr>
    <w:rPr>
      <w:rFonts w:ascii="Times New Roman" w:hAnsi="Times New Roman"/>
      <w:sz w:val="24"/>
      <w:szCs w:val="20"/>
      <w:lang w:val="lt-LT" w:eastAsia="ko-KR"/>
    </w:rPr>
  </w:style>
  <w:style w:type="paragraph" w:customStyle="1" w:styleId="FigureTitle">
    <w:name w:val="Figure Title"/>
    <w:basedOn w:val="Normal"/>
    <w:next w:val="Normal"/>
    <w:uiPriority w:val="99"/>
    <w:rsid w:val="00E9602C"/>
    <w:pPr>
      <w:keepNext/>
      <w:spacing w:after="240"/>
      <w:jc w:val="center"/>
    </w:pPr>
    <w:rPr>
      <w:rFonts w:ascii="Arial" w:hAnsi="Arial" w:cs="Arial"/>
      <w:b/>
      <w:bCs/>
      <w:sz w:val="18"/>
    </w:rPr>
  </w:style>
  <w:style w:type="paragraph" w:customStyle="1" w:styleId="SourceDescription">
    <w:name w:val="Source Description"/>
    <w:basedOn w:val="Normal"/>
    <w:next w:val="BodyText"/>
    <w:uiPriority w:val="99"/>
    <w:rsid w:val="00E9602C"/>
    <w:pPr>
      <w:spacing w:after="360"/>
    </w:pPr>
    <w:rPr>
      <w:rFonts w:ascii="Arial" w:hAnsi="Arial" w:cs="Arial"/>
      <w:sz w:val="16"/>
      <w:szCs w:val="18"/>
    </w:rPr>
  </w:style>
  <w:style w:type="paragraph" w:customStyle="1" w:styleId="CharChar2DiagramaCharCharDiagramaDiagramaDiagrama">
    <w:name w:val="Char Char2 Diagrama Char Char Diagrama Diagrama Diagrama"/>
    <w:basedOn w:val="Normal"/>
    <w:uiPriority w:val="99"/>
    <w:rsid w:val="00E9602C"/>
    <w:pPr>
      <w:spacing w:after="160" w:line="240" w:lineRule="exact"/>
    </w:pPr>
    <w:rPr>
      <w:rFonts w:ascii="Tahoma" w:hAnsi="Tahoma"/>
      <w:sz w:val="20"/>
      <w:szCs w:val="20"/>
      <w:lang w:val="en-US"/>
    </w:rPr>
  </w:style>
  <w:style w:type="table" w:styleId="TableGrid">
    <w:name w:val="Table Grid"/>
    <w:basedOn w:val="TableNormal"/>
    <w:uiPriority w:val="99"/>
    <w:rsid w:val="00E9602C"/>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TEMENT---Item">
    <w:name w:val="STATEMENT --- Item"/>
    <w:basedOn w:val="Normal"/>
    <w:autoRedefine/>
    <w:uiPriority w:val="99"/>
    <w:rsid w:val="00E9602C"/>
    <w:pPr>
      <w:pBdr>
        <w:top w:val="single" w:sz="4" w:space="1" w:color="auto"/>
        <w:left w:val="single" w:sz="4" w:space="1" w:color="auto"/>
        <w:bottom w:val="single" w:sz="4" w:space="1" w:color="auto"/>
        <w:right w:val="single" w:sz="4" w:space="1" w:color="auto"/>
      </w:pBdr>
      <w:spacing w:after="0" w:line="240" w:lineRule="auto"/>
      <w:jc w:val="both"/>
    </w:pPr>
    <w:rPr>
      <w:rFonts w:ascii="Times New Roman" w:hAnsi="Times New Roman"/>
      <w:bCs/>
      <w:color w:val="000000"/>
      <w:spacing w:val="-4"/>
      <w:sz w:val="24"/>
      <w:szCs w:val="24"/>
      <w:lang w:val="lt-LT"/>
    </w:rPr>
  </w:style>
  <w:style w:type="paragraph" w:customStyle="1" w:styleId="Komentarai">
    <w:name w:val="Komentarai"/>
    <w:basedOn w:val="BodyText"/>
    <w:uiPriority w:val="99"/>
    <w:rsid w:val="00E9602C"/>
    <w:pPr>
      <w:pBdr>
        <w:right w:val="single" w:sz="12" w:space="4" w:color="FF0000"/>
      </w:pBdr>
      <w:spacing w:after="240" w:line="240" w:lineRule="atLeast"/>
      <w:ind w:left="1077"/>
      <w:jc w:val="both"/>
    </w:pPr>
    <w:rPr>
      <w:sz w:val="20"/>
    </w:rPr>
  </w:style>
  <w:style w:type="paragraph" w:customStyle="1" w:styleId="Table">
    <w:name w:val="Table"/>
    <w:basedOn w:val="BodyText"/>
    <w:next w:val="CommentText"/>
    <w:uiPriority w:val="99"/>
    <w:rsid w:val="00E9602C"/>
    <w:pPr>
      <w:keepNext/>
      <w:keepLines/>
      <w:spacing w:line="240" w:lineRule="atLeast"/>
    </w:pPr>
    <w:rPr>
      <w:szCs w:val="24"/>
    </w:rPr>
  </w:style>
  <w:style w:type="paragraph" w:customStyle="1" w:styleId="Grafikas">
    <w:name w:val="Grafikas"/>
    <w:basedOn w:val="Normal"/>
    <w:next w:val="Table"/>
    <w:link w:val="GrafikasDiagrama"/>
    <w:uiPriority w:val="99"/>
    <w:rsid w:val="00E9602C"/>
    <w:pPr>
      <w:keepNext/>
      <w:tabs>
        <w:tab w:val="left" w:pos="1152"/>
      </w:tabs>
      <w:spacing w:after="0" w:line="240" w:lineRule="atLeast"/>
      <w:jc w:val="both"/>
    </w:pPr>
    <w:rPr>
      <w:rFonts w:ascii="Times New Roman" w:hAnsi="Times New Roman"/>
      <w:sz w:val="24"/>
      <w:szCs w:val="20"/>
      <w:lang w:val="lt-LT"/>
    </w:rPr>
  </w:style>
  <w:style w:type="character" w:customStyle="1" w:styleId="GrafikasDiagrama">
    <w:name w:val="Grafikas Diagrama"/>
    <w:link w:val="Grafikas"/>
    <w:uiPriority w:val="99"/>
    <w:locked/>
    <w:rsid w:val="00E9602C"/>
    <w:rPr>
      <w:rFonts w:ascii="Times New Roman" w:hAnsi="Times New Roman"/>
      <w:sz w:val="24"/>
      <w:lang w:val="lt-LT"/>
    </w:rPr>
  </w:style>
  <w:style w:type="character" w:customStyle="1" w:styleId="TableheadingDiagrama">
    <w:name w:val="Table_heading Diagrama"/>
    <w:link w:val="Tableheading"/>
    <w:uiPriority w:val="99"/>
    <w:locked/>
    <w:rsid w:val="00E9602C"/>
    <w:rPr>
      <w:rFonts w:ascii="Times New Roman" w:hAnsi="Times New Roman"/>
      <w:b/>
      <w:sz w:val="24"/>
      <w:lang w:val="lt-LT"/>
    </w:rPr>
  </w:style>
  <w:style w:type="paragraph" w:customStyle="1" w:styleId="Tableheading">
    <w:name w:val="Table_heading"/>
    <w:basedOn w:val="BodyText"/>
    <w:next w:val="Table"/>
    <w:link w:val="TableheadingDiagrama"/>
    <w:uiPriority w:val="99"/>
    <w:rsid w:val="00E9602C"/>
    <w:pPr>
      <w:keepNext/>
      <w:tabs>
        <w:tab w:val="num" w:pos="1800"/>
      </w:tabs>
      <w:spacing w:line="240" w:lineRule="atLeast"/>
      <w:jc w:val="both"/>
    </w:pPr>
    <w:rPr>
      <w:b/>
    </w:rPr>
  </w:style>
  <w:style w:type="paragraph" w:customStyle="1" w:styleId="Paveiklas">
    <w:name w:val="Paveiklas"/>
    <w:basedOn w:val="Grafikas"/>
    <w:next w:val="Table"/>
    <w:uiPriority w:val="99"/>
    <w:rsid w:val="00E9602C"/>
    <w:pPr>
      <w:tabs>
        <w:tab w:val="num" w:pos="1080"/>
      </w:tabs>
    </w:pPr>
  </w:style>
  <w:style w:type="paragraph" w:customStyle="1" w:styleId="Pagrindiniaiteiginiaihead">
    <w:name w:val="Pagrindiniai_teiginiai_head"/>
    <w:basedOn w:val="BodyText"/>
    <w:next w:val="Pagrindiniaiteiginiaitext"/>
    <w:uiPriority w:val="99"/>
    <w:rsid w:val="00E9602C"/>
    <w:pPr>
      <w:pBdr>
        <w:top w:val="single" w:sz="8" w:space="1" w:color="auto"/>
        <w:left w:val="single" w:sz="8" w:space="4" w:color="auto"/>
        <w:bottom w:val="single" w:sz="8" w:space="1" w:color="auto"/>
        <w:right w:val="single" w:sz="8" w:space="4" w:color="auto"/>
      </w:pBdr>
      <w:spacing w:after="240" w:line="240" w:lineRule="atLeast"/>
      <w:ind w:firstLine="360"/>
      <w:jc w:val="both"/>
    </w:pPr>
    <w:rPr>
      <w:b/>
      <w:szCs w:val="24"/>
    </w:rPr>
  </w:style>
  <w:style w:type="paragraph" w:customStyle="1" w:styleId="Pagrindiniaiteiginiaitext">
    <w:name w:val="Pagrindiniai teiginiai text"/>
    <w:basedOn w:val="Pagrindiniaiteiginiaihead"/>
    <w:uiPriority w:val="99"/>
    <w:rsid w:val="00E9602C"/>
    <w:rPr>
      <w:b w:val="0"/>
    </w:rPr>
  </w:style>
  <w:style w:type="paragraph" w:styleId="BodyTextIndent">
    <w:name w:val="Body Text Indent"/>
    <w:basedOn w:val="Normal"/>
    <w:link w:val="BodyTextIndentChar"/>
    <w:uiPriority w:val="99"/>
    <w:rsid w:val="00E9602C"/>
    <w:pPr>
      <w:spacing w:after="120" w:line="240" w:lineRule="auto"/>
      <w:ind w:left="283"/>
    </w:pPr>
    <w:rPr>
      <w:rFonts w:ascii="Times New Roman" w:hAnsi="Times New Roman"/>
      <w:sz w:val="24"/>
      <w:szCs w:val="24"/>
      <w:lang w:val="lt-LT" w:eastAsia="lt-LT"/>
    </w:rPr>
  </w:style>
  <w:style w:type="character" w:customStyle="1" w:styleId="BodyTextIndentChar">
    <w:name w:val="Body Text Indent Char"/>
    <w:basedOn w:val="DefaultParagraphFont"/>
    <w:link w:val="BodyTextIndent"/>
    <w:uiPriority w:val="99"/>
    <w:locked/>
    <w:rsid w:val="00E9602C"/>
    <w:rPr>
      <w:rFonts w:ascii="Times New Roman" w:hAnsi="Times New Roman" w:cs="Times New Roman"/>
      <w:sz w:val="24"/>
      <w:szCs w:val="24"/>
      <w:lang w:val="lt-LT" w:eastAsia="lt-LT"/>
    </w:rPr>
  </w:style>
  <w:style w:type="paragraph" w:styleId="BodyText2">
    <w:name w:val="Body Text 2"/>
    <w:basedOn w:val="Normal"/>
    <w:link w:val="BodyText2Char"/>
    <w:uiPriority w:val="99"/>
    <w:rsid w:val="00E9602C"/>
    <w:pPr>
      <w:spacing w:after="120" w:line="480" w:lineRule="auto"/>
    </w:pPr>
    <w:rPr>
      <w:rFonts w:ascii="Times New Roman" w:hAnsi="Times New Roman"/>
      <w:sz w:val="24"/>
      <w:szCs w:val="24"/>
      <w:lang w:val="lt-LT" w:eastAsia="lt-LT"/>
    </w:rPr>
  </w:style>
  <w:style w:type="character" w:customStyle="1" w:styleId="BodyText2Char">
    <w:name w:val="Body Text 2 Char"/>
    <w:basedOn w:val="DefaultParagraphFont"/>
    <w:link w:val="BodyText2"/>
    <w:uiPriority w:val="99"/>
    <w:locked/>
    <w:rsid w:val="00E9602C"/>
    <w:rPr>
      <w:rFonts w:ascii="Times New Roman" w:hAnsi="Times New Roman" w:cs="Times New Roman"/>
      <w:sz w:val="24"/>
      <w:szCs w:val="24"/>
      <w:lang w:val="lt-LT" w:eastAsia="lt-LT"/>
    </w:rPr>
  </w:style>
  <w:style w:type="paragraph" w:customStyle="1" w:styleId="LIST--Simple1">
    <w:name w:val="LIST -- Simple 1"/>
    <w:basedOn w:val="Normal"/>
    <w:uiPriority w:val="99"/>
    <w:rsid w:val="00E9602C"/>
    <w:pPr>
      <w:tabs>
        <w:tab w:val="num" w:pos="756"/>
      </w:tabs>
      <w:spacing w:after="0" w:line="240" w:lineRule="auto"/>
      <w:ind w:left="756" w:hanging="396"/>
    </w:pPr>
    <w:rPr>
      <w:rFonts w:ascii="Arial" w:hAnsi="Arial" w:cs="Arial"/>
      <w:noProof/>
      <w:sz w:val="20"/>
      <w:szCs w:val="20"/>
      <w:lang w:val="lt-LT" w:eastAsia="lt-LT"/>
    </w:rPr>
  </w:style>
  <w:style w:type="paragraph" w:styleId="ListBullet">
    <w:name w:val="List Bullet"/>
    <w:aliases w:val="List Bullet Char,List Bullet Char1 Char,List Bullet Char Char Char Char"/>
    <w:basedOn w:val="BodyText"/>
    <w:autoRedefine/>
    <w:uiPriority w:val="99"/>
    <w:rsid w:val="00E9602C"/>
    <w:pPr>
      <w:tabs>
        <w:tab w:val="num" w:pos="720"/>
      </w:tabs>
      <w:spacing w:before="40" w:after="40" w:line="270" w:lineRule="atLeast"/>
      <w:ind w:left="720" w:hanging="360"/>
      <w:jc w:val="both"/>
    </w:pPr>
    <w:rPr>
      <w:lang w:eastAsia="da-DK"/>
    </w:rPr>
  </w:style>
  <w:style w:type="paragraph" w:styleId="BodyTextIndent2">
    <w:name w:val="Body Text Indent 2"/>
    <w:basedOn w:val="Normal"/>
    <w:link w:val="BodyTextIndent2Char"/>
    <w:uiPriority w:val="99"/>
    <w:rsid w:val="00E9602C"/>
    <w:pPr>
      <w:spacing w:after="120" w:line="480" w:lineRule="auto"/>
      <w:ind w:left="283"/>
    </w:pPr>
    <w:rPr>
      <w:rFonts w:ascii="Times New Roman" w:hAnsi="Times New Roman"/>
      <w:sz w:val="24"/>
      <w:szCs w:val="20"/>
      <w:lang w:val="lt-LT" w:eastAsia="lt-LT"/>
    </w:rPr>
  </w:style>
  <w:style w:type="character" w:customStyle="1" w:styleId="BodyTextIndent2Char">
    <w:name w:val="Body Text Indent 2 Char"/>
    <w:basedOn w:val="DefaultParagraphFont"/>
    <w:link w:val="BodyTextIndent2"/>
    <w:uiPriority w:val="99"/>
    <w:locked/>
    <w:rsid w:val="00E9602C"/>
    <w:rPr>
      <w:rFonts w:ascii="Times New Roman" w:hAnsi="Times New Roman" w:cs="Times New Roman"/>
      <w:sz w:val="20"/>
      <w:szCs w:val="20"/>
      <w:lang w:val="lt-LT" w:eastAsia="lt-LT"/>
    </w:rPr>
  </w:style>
  <w:style w:type="paragraph" w:customStyle="1" w:styleId="HEADING---Level3">
    <w:name w:val="HEADING --- Level 3"/>
    <w:basedOn w:val="HEADING---Level2"/>
    <w:link w:val="HEADING---Level3Char"/>
    <w:autoRedefine/>
    <w:uiPriority w:val="99"/>
    <w:rsid w:val="00412D98"/>
    <w:rPr>
      <w:sz w:val="20"/>
    </w:rPr>
  </w:style>
  <w:style w:type="character" w:styleId="PageNumber">
    <w:name w:val="page number"/>
    <w:aliases w:val="Diagrama Char Char1 Diagrama Diagrama Diagrama Diagrama Diagrama"/>
    <w:basedOn w:val="DefaultParagraphFont"/>
    <w:uiPriority w:val="99"/>
    <w:rsid w:val="00E9602C"/>
    <w:rPr>
      <w:rFonts w:cs="Times New Roman"/>
    </w:rPr>
  </w:style>
  <w:style w:type="paragraph" w:customStyle="1" w:styleId="Lentelstekstas">
    <w:name w:val="Lentelės_tekstas"/>
    <w:basedOn w:val="Normal"/>
    <w:next w:val="CommentText"/>
    <w:uiPriority w:val="99"/>
    <w:rsid w:val="00E9602C"/>
    <w:pPr>
      <w:spacing w:before="60" w:after="0" w:line="240" w:lineRule="atLeast"/>
      <w:jc w:val="both"/>
    </w:pPr>
    <w:rPr>
      <w:rFonts w:ascii="Times New Roman" w:hAnsi="Times New Roman"/>
      <w:noProof/>
      <w:sz w:val="18"/>
      <w:szCs w:val="18"/>
      <w:lang w:val="lt-LT"/>
    </w:rPr>
  </w:style>
  <w:style w:type="paragraph" w:customStyle="1" w:styleId="Vardijimas">
    <w:name w:val="Vardijimas"/>
    <w:basedOn w:val="BodyText"/>
    <w:next w:val="BodyText"/>
    <w:uiPriority w:val="99"/>
    <w:rsid w:val="00E9602C"/>
    <w:pPr>
      <w:tabs>
        <w:tab w:val="num" w:pos="720"/>
      </w:tabs>
      <w:spacing w:after="60" w:line="240" w:lineRule="atLeast"/>
      <w:ind w:left="720" w:hanging="360"/>
      <w:jc w:val="both"/>
    </w:pPr>
    <w:rPr>
      <w:szCs w:val="24"/>
    </w:rPr>
  </w:style>
  <w:style w:type="paragraph" w:customStyle="1" w:styleId="Lentelestekstasdidelis">
    <w:name w:val="Lenteles_tekstas_didelis"/>
    <w:basedOn w:val="Lentelstekstas"/>
    <w:next w:val="BodyText"/>
    <w:uiPriority w:val="99"/>
    <w:rsid w:val="00E9602C"/>
    <w:rPr>
      <w:sz w:val="24"/>
    </w:rPr>
  </w:style>
  <w:style w:type="paragraph" w:customStyle="1" w:styleId="Text4">
    <w:name w:val="Text 4"/>
    <w:basedOn w:val="Normal"/>
    <w:uiPriority w:val="99"/>
    <w:rsid w:val="00E9602C"/>
    <w:pPr>
      <w:tabs>
        <w:tab w:val="left" w:pos="2302"/>
      </w:tabs>
      <w:spacing w:after="240" w:line="240" w:lineRule="auto"/>
      <w:ind w:left="1202"/>
      <w:jc w:val="both"/>
    </w:pPr>
    <w:rPr>
      <w:rFonts w:ascii="Times New Roman" w:hAnsi="Times New Roman"/>
      <w:sz w:val="24"/>
      <w:szCs w:val="20"/>
      <w:lang w:val="en-GB" w:eastAsia="lt-LT"/>
    </w:rPr>
  </w:style>
  <w:style w:type="paragraph" w:customStyle="1" w:styleId="Regulartext">
    <w:name w:val="Regular text"/>
    <w:basedOn w:val="Normal"/>
    <w:uiPriority w:val="99"/>
    <w:rsid w:val="00E9602C"/>
    <w:pPr>
      <w:spacing w:before="120" w:after="120" w:line="240" w:lineRule="auto"/>
      <w:ind w:left="142"/>
      <w:jc w:val="both"/>
    </w:pPr>
    <w:rPr>
      <w:rFonts w:ascii="Verdana" w:hAnsi="Verdana"/>
      <w:sz w:val="18"/>
      <w:szCs w:val="20"/>
      <w:lang w:val="lt-LT"/>
    </w:rPr>
  </w:style>
  <w:style w:type="paragraph" w:customStyle="1" w:styleId="NormalBold">
    <w:name w:val="Normal + Bold"/>
    <w:basedOn w:val="Normal"/>
    <w:uiPriority w:val="99"/>
    <w:rsid w:val="00E9602C"/>
    <w:pPr>
      <w:spacing w:line="240" w:lineRule="auto"/>
      <w:ind w:right="-101"/>
      <w:jc w:val="both"/>
    </w:pPr>
    <w:rPr>
      <w:rFonts w:ascii="Verdana" w:hAnsi="Verdana"/>
      <w:color w:val="000000"/>
      <w:sz w:val="20"/>
      <w:szCs w:val="20"/>
      <w:lang w:val="en-GB"/>
    </w:rPr>
  </w:style>
  <w:style w:type="paragraph" w:customStyle="1" w:styleId="Numarevimas">
    <w:name w:val="Numarevimas"/>
    <w:basedOn w:val="BodyText"/>
    <w:next w:val="BodyText"/>
    <w:uiPriority w:val="99"/>
    <w:rsid w:val="00E9602C"/>
    <w:pPr>
      <w:tabs>
        <w:tab w:val="num" w:pos="357"/>
      </w:tabs>
      <w:spacing w:before="120" w:after="120" w:line="240" w:lineRule="atLeast"/>
      <w:ind w:left="714" w:hanging="357"/>
      <w:jc w:val="both"/>
    </w:pPr>
    <w:rPr>
      <w:szCs w:val="24"/>
    </w:rPr>
  </w:style>
  <w:style w:type="paragraph" w:customStyle="1" w:styleId="Lentele2">
    <w:name w:val="Lentele2"/>
    <w:basedOn w:val="BodyText"/>
    <w:next w:val="BodyText"/>
    <w:uiPriority w:val="99"/>
    <w:rsid w:val="00E9602C"/>
    <w:pPr>
      <w:keepNext/>
      <w:spacing w:before="60" w:after="120" w:line="240" w:lineRule="atLeast"/>
      <w:jc w:val="both"/>
    </w:pPr>
    <w:rPr>
      <w:i/>
      <w:szCs w:val="24"/>
    </w:rPr>
  </w:style>
  <w:style w:type="paragraph" w:customStyle="1" w:styleId="Lenteles2paaiskinimas">
    <w:name w:val="Lenteles2 paaiskinimas"/>
    <w:basedOn w:val="BodyText"/>
    <w:next w:val="BodyText"/>
    <w:uiPriority w:val="99"/>
    <w:rsid w:val="00E9602C"/>
    <w:pPr>
      <w:spacing w:before="120" w:after="120" w:line="240" w:lineRule="atLeast"/>
      <w:jc w:val="both"/>
    </w:pPr>
    <w:rPr>
      <w:b/>
      <w:szCs w:val="24"/>
    </w:rPr>
  </w:style>
  <w:style w:type="character" w:customStyle="1" w:styleId="DiagramaDiagrama2">
    <w:name w:val="Diagrama Diagrama2"/>
    <w:uiPriority w:val="99"/>
    <w:rsid w:val="00E9602C"/>
    <w:rPr>
      <w:sz w:val="24"/>
      <w:lang w:val="lt-LT" w:eastAsia="en-US"/>
    </w:rPr>
  </w:style>
  <w:style w:type="paragraph" w:customStyle="1" w:styleId="BlockQuotation">
    <w:name w:val="Block Quotation"/>
    <w:basedOn w:val="BodyText"/>
    <w:link w:val="BlockQuotationChar"/>
    <w:uiPriority w:val="99"/>
    <w:rsid w:val="00E9602C"/>
    <w:pPr>
      <w:keepLines/>
      <w:pBdr>
        <w:top w:val="single" w:sz="6" w:space="14" w:color="808080"/>
        <w:left w:val="single" w:sz="6" w:space="14" w:color="808080"/>
        <w:bottom w:val="single" w:sz="6" w:space="14" w:color="808080"/>
        <w:right w:val="single" w:sz="6" w:space="14" w:color="808080"/>
      </w:pBdr>
      <w:spacing w:before="120" w:after="120" w:line="240" w:lineRule="atLeast"/>
      <w:ind w:left="720" w:right="720"/>
      <w:jc w:val="both"/>
    </w:pPr>
    <w:rPr>
      <w:i/>
      <w:sz w:val="20"/>
      <w:lang w:val="en-US"/>
    </w:rPr>
  </w:style>
  <w:style w:type="character" w:customStyle="1" w:styleId="BlockQuotationChar">
    <w:name w:val="Block Quotation Char"/>
    <w:link w:val="BlockQuotation"/>
    <w:uiPriority w:val="99"/>
    <w:locked/>
    <w:rsid w:val="00E9602C"/>
    <w:rPr>
      <w:rFonts w:ascii="Times New Roman" w:hAnsi="Times New Roman"/>
      <w:i/>
      <w:sz w:val="20"/>
      <w:lang w:val="en-US"/>
    </w:rPr>
  </w:style>
  <w:style w:type="paragraph" w:styleId="Caption">
    <w:name w:val="caption"/>
    <w:basedOn w:val="Normal"/>
    <w:next w:val="BodyText"/>
    <w:uiPriority w:val="99"/>
    <w:qFormat/>
    <w:rsid w:val="00E9602C"/>
    <w:pPr>
      <w:spacing w:after="240" w:line="240" w:lineRule="auto"/>
      <w:contextualSpacing/>
      <w:jc w:val="center"/>
    </w:pPr>
    <w:rPr>
      <w:rFonts w:ascii="Times New Roman" w:hAnsi="Times New Roman"/>
      <w:i/>
      <w:noProof/>
      <w:sz w:val="24"/>
      <w:szCs w:val="20"/>
      <w:lang w:val="lt-LT"/>
    </w:rPr>
  </w:style>
  <w:style w:type="character" w:customStyle="1" w:styleId="Lead-inEmphasis">
    <w:name w:val="Lead-in Emphasis"/>
    <w:uiPriority w:val="99"/>
    <w:rsid w:val="00E9602C"/>
    <w:rPr>
      <w:caps/>
      <w:sz w:val="18"/>
    </w:rPr>
  </w:style>
  <w:style w:type="paragraph" w:customStyle="1" w:styleId="SubtitleCover">
    <w:name w:val="Subtitle Cover"/>
    <w:basedOn w:val="TitleCover"/>
    <w:next w:val="BodyText"/>
    <w:uiPriority w:val="99"/>
    <w:rsid w:val="00E9602C"/>
    <w:pPr>
      <w:pBdr>
        <w:top w:val="single" w:sz="6" w:space="12" w:color="808080"/>
      </w:pBdr>
      <w:spacing w:after="0" w:line="440" w:lineRule="atLeast"/>
    </w:pPr>
    <w:rPr>
      <w:spacing w:val="30"/>
      <w:sz w:val="36"/>
    </w:rPr>
  </w:style>
  <w:style w:type="paragraph" w:customStyle="1" w:styleId="TitleCover">
    <w:name w:val="Title Cover"/>
    <w:basedOn w:val="Normal"/>
    <w:next w:val="SubtitleCover"/>
    <w:uiPriority w:val="99"/>
    <w:rsid w:val="00E9602C"/>
    <w:pPr>
      <w:keepNext/>
      <w:keepLines/>
      <w:spacing w:after="240" w:line="720" w:lineRule="atLeast"/>
      <w:jc w:val="center"/>
    </w:pPr>
    <w:rPr>
      <w:rFonts w:ascii="Garamond" w:hAnsi="Garamond"/>
      <w:caps/>
      <w:noProof/>
      <w:spacing w:val="65"/>
      <w:kern w:val="20"/>
      <w:sz w:val="64"/>
      <w:szCs w:val="64"/>
      <w:lang w:val="lt-LT"/>
    </w:rPr>
  </w:style>
  <w:style w:type="paragraph" w:styleId="Subtitle">
    <w:name w:val="Subtitle"/>
    <w:basedOn w:val="Title"/>
    <w:next w:val="BodyText"/>
    <w:link w:val="SubtitleChar"/>
    <w:uiPriority w:val="99"/>
    <w:qFormat/>
    <w:rsid w:val="00E9602C"/>
    <w:pPr>
      <w:spacing w:after="420"/>
    </w:pPr>
    <w:rPr>
      <w:spacing w:val="20"/>
      <w:sz w:val="20"/>
    </w:rPr>
  </w:style>
  <w:style w:type="character" w:customStyle="1" w:styleId="SubtitleChar">
    <w:name w:val="Subtitle Char"/>
    <w:basedOn w:val="DefaultParagraphFont"/>
    <w:link w:val="Subtitle"/>
    <w:uiPriority w:val="99"/>
    <w:locked/>
    <w:rsid w:val="00E9602C"/>
    <w:rPr>
      <w:rFonts w:ascii="Times New Roman" w:hAnsi="Times New Roman" w:cs="Times New Roman"/>
      <w:caps/>
      <w:noProof/>
      <w:spacing w:val="20"/>
      <w:kern w:val="20"/>
      <w:sz w:val="20"/>
      <w:szCs w:val="20"/>
      <w:lang w:val="lt-LT"/>
    </w:rPr>
  </w:style>
  <w:style w:type="paragraph" w:styleId="Title">
    <w:name w:val="Title"/>
    <w:basedOn w:val="Normal"/>
    <w:next w:val="Subtitle"/>
    <w:link w:val="TitleChar"/>
    <w:uiPriority w:val="99"/>
    <w:qFormat/>
    <w:rsid w:val="00E9602C"/>
    <w:pPr>
      <w:keepNext/>
      <w:keepLines/>
      <w:spacing w:before="140" w:after="0" w:line="240" w:lineRule="auto"/>
      <w:jc w:val="center"/>
    </w:pPr>
    <w:rPr>
      <w:rFonts w:ascii="Times New Roman" w:hAnsi="Times New Roman"/>
      <w:caps/>
      <w:noProof/>
      <w:spacing w:val="60"/>
      <w:kern w:val="20"/>
      <w:sz w:val="44"/>
      <w:szCs w:val="20"/>
      <w:lang w:val="lt-LT"/>
    </w:rPr>
  </w:style>
  <w:style w:type="character" w:customStyle="1" w:styleId="TitleChar">
    <w:name w:val="Title Char"/>
    <w:basedOn w:val="DefaultParagraphFont"/>
    <w:link w:val="Title"/>
    <w:uiPriority w:val="99"/>
    <w:locked/>
    <w:rsid w:val="00E9602C"/>
    <w:rPr>
      <w:rFonts w:ascii="Times New Roman" w:hAnsi="Times New Roman" w:cs="Times New Roman"/>
      <w:caps/>
      <w:noProof/>
      <w:spacing w:val="60"/>
      <w:kern w:val="20"/>
      <w:sz w:val="20"/>
      <w:szCs w:val="20"/>
      <w:lang w:val="lt-LT"/>
    </w:rPr>
  </w:style>
  <w:style w:type="paragraph" w:customStyle="1" w:styleId="Columnheadings">
    <w:name w:val="Column headings"/>
    <w:basedOn w:val="Normal"/>
    <w:uiPriority w:val="99"/>
    <w:rsid w:val="00E9602C"/>
    <w:pPr>
      <w:keepNext/>
      <w:spacing w:before="80" w:after="0" w:line="240" w:lineRule="auto"/>
      <w:jc w:val="center"/>
    </w:pPr>
    <w:rPr>
      <w:rFonts w:ascii="Times New Roman" w:hAnsi="Times New Roman"/>
      <w:caps/>
      <w:noProof/>
      <w:sz w:val="14"/>
      <w:szCs w:val="20"/>
      <w:lang w:val="lt-LT"/>
    </w:rPr>
  </w:style>
  <w:style w:type="paragraph" w:customStyle="1" w:styleId="CompanyName">
    <w:name w:val="Company Name"/>
    <w:basedOn w:val="BodyText"/>
    <w:uiPriority w:val="99"/>
    <w:rsid w:val="00E9602C"/>
    <w:pPr>
      <w:keepLines/>
      <w:framePr w:w="8640" w:h="1440" w:wrap="notBeside" w:vAnchor="page" w:hAnchor="margin" w:xAlign="center" w:y="889"/>
      <w:spacing w:before="120" w:after="40" w:line="240" w:lineRule="atLeast"/>
      <w:jc w:val="center"/>
    </w:pPr>
    <w:rPr>
      <w:caps/>
      <w:spacing w:val="75"/>
      <w:kern w:val="18"/>
      <w:szCs w:val="24"/>
    </w:rPr>
  </w:style>
  <w:style w:type="paragraph" w:customStyle="1" w:styleId="Rowlabels">
    <w:name w:val="Row labels"/>
    <w:basedOn w:val="Normal"/>
    <w:uiPriority w:val="99"/>
    <w:rsid w:val="00E9602C"/>
    <w:pPr>
      <w:keepNext/>
      <w:spacing w:before="40" w:after="0" w:line="240" w:lineRule="auto"/>
    </w:pPr>
    <w:rPr>
      <w:rFonts w:ascii="Times New Roman" w:hAnsi="Times New Roman"/>
      <w:noProof/>
      <w:sz w:val="18"/>
      <w:szCs w:val="20"/>
      <w:lang w:val="lt-LT"/>
    </w:rPr>
  </w:style>
  <w:style w:type="paragraph" w:customStyle="1" w:styleId="Percentage">
    <w:name w:val="Percentage"/>
    <w:basedOn w:val="Normal"/>
    <w:uiPriority w:val="99"/>
    <w:rsid w:val="00E9602C"/>
    <w:pPr>
      <w:spacing w:before="40" w:after="0" w:line="240" w:lineRule="auto"/>
      <w:jc w:val="center"/>
    </w:pPr>
    <w:rPr>
      <w:rFonts w:ascii="Times New Roman" w:hAnsi="Times New Roman"/>
      <w:noProof/>
      <w:sz w:val="18"/>
      <w:szCs w:val="20"/>
      <w:lang w:val="lt-LT"/>
    </w:rPr>
  </w:style>
  <w:style w:type="paragraph" w:customStyle="1" w:styleId="NumberedList">
    <w:name w:val="Numbered List"/>
    <w:basedOn w:val="Normal"/>
    <w:link w:val="NumberedListChar"/>
    <w:uiPriority w:val="99"/>
    <w:rsid w:val="00E9602C"/>
    <w:pPr>
      <w:tabs>
        <w:tab w:val="num" w:pos="360"/>
      </w:tabs>
      <w:spacing w:after="240" w:line="312" w:lineRule="auto"/>
      <w:contextualSpacing/>
    </w:pPr>
    <w:rPr>
      <w:rFonts w:ascii="Garamond" w:hAnsi="Garamond"/>
      <w:sz w:val="20"/>
      <w:szCs w:val="20"/>
      <w:lang w:val="en-US"/>
    </w:rPr>
  </w:style>
  <w:style w:type="character" w:customStyle="1" w:styleId="NumberedListChar">
    <w:name w:val="Numbered List Char"/>
    <w:link w:val="NumberedList"/>
    <w:uiPriority w:val="99"/>
    <w:locked/>
    <w:rsid w:val="00E9602C"/>
    <w:rPr>
      <w:rFonts w:ascii="Garamond" w:hAnsi="Garamond"/>
      <w:sz w:val="20"/>
      <w:lang w:val="en-US"/>
    </w:rPr>
  </w:style>
  <w:style w:type="paragraph" w:customStyle="1" w:styleId="NumberedListBold">
    <w:name w:val="Numbered List Bold"/>
    <w:basedOn w:val="NumberedList"/>
    <w:link w:val="NumberedListBoldChar"/>
    <w:uiPriority w:val="99"/>
    <w:rsid w:val="00E9602C"/>
    <w:pPr>
      <w:tabs>
        <w:tab w:val="clear" w:pos="360"/>
      </w:tabs>
    </w:pPr>
    <w:rPr>
      <w:b/>
    </w:rPr>
  </w:style>
  <w:style w:type="character" w:customStyle="1" w:styleId="NumberedListBoldChar">
    <w:name w:val="Numbered List Bold Char"/>
    <w:link w:val="NumberedListBold"/>
    <w:uiPriority w:val="99"/>
    <w:locked/>
    <w:rsid w:val="00E9602C"/>
    <w:rPr>
      <w:rFonts w:ascii="Garamond" w:hAnsi="Garamond"/>
      <w:b/>
      <w:sz w:val="20"/>
      <w:lang w:val="en-US"/>
    </w:rPr>
  </w:style>
  <w:style w:type="paragraph" w:customStyle="1" w:styleId="LineSpace">
    <w:name w:val="Line Space"/>
    <w:basedOn w:val="Normal"/>
    <w:uiPriority w:val="99"/>
    <w:rsid w:val="00E9602C"/>
    <w:pPr>
      <w:spacing w:after="0" w:line="240" w:lineRule="auto"/>
    </w:pPr>
    <w:rPr>
      <w:rFonts w:ascii="Verdana" w:hAnsi="Verdana"/>
      <w:noProof/>
      <w:sz w:val="12"/>
      <w:szCs w:val="20"/>
      <w:lang w:val="lt-LT"/>
    </w:rPr>
  </w:style>
  <w:style w:type="paragraph" w:customStyle="1" w:styleId="Companyaddress">
    <w:name w:val="Company_address"/>
    <w:basedOn w:val="CompanyName"/>
    <w:uiPriority w:val="99"/>
    <w:rsid w:val="00E9602C"/>
    <w:pPr>
      <w:framePr w:wrap="notBeside"/>
    </w:pPr>
    <w:rPr>
      <w:spacing w:val="50"/>
      <w:sz w:val="16"/>
      <w:szCs w:val="16"/>
    </w:rPr>
  </w:style>
  <w:style w:type="paragraph" w:customStyle="1" w:styleId="SSGGlentele">
    <w:name w:val="SSGG_lentele"/>
    <w:basedOn w:val="BodyText"/>
    <w:uiPriority w:val="99"/>
    <w:rsid w:val="00E9602C"/>
    <w:pPr>
      <w:spacing w:before="120" w:line="240" w:lineRule="atLeast"/>
      <w:ind w:left="113"/>
      <w:jc w:val="both"/>
    </w:pPr>
    <w:rPr>
      <w:szCs w:val="24"/>
    </w:rPr>
  </w:style>
  <w:style w:type="paragraph" w:styleId="BodyTextIndent3">
    <w:name w:val="Body Text Indent 3"/>
    <w:basedOn w:val="Normal"/>
    <w:link w:val="BodyTextIndent3Char"/>
    <w:uiPriority w:val="99"/>
    <w:rsid w:val="00E9602C"/>
    <w:pPr>
      <w:spacing w:after="120" w:line="240" w:lineRule="auto"/>
      <w:ind w:left="283"/>
    </w:pPr>
    <w:rPr>
      <w:rFonts w:ascii="Times New Roman" w:hAnsi="Times New Roman"/>
      <w:noProof/>
      <w:sz w:val="16"/>
      <w:szCs w:val="16"/>
      <w:lang w:val="lt-LT"/>
    </w:rPr>
  </w:style>
  <w:style w:type="character" w:customStyle="1" w:styleId="BodyTextIndent3Char">
    <w:name w:val="Body Text Indent 3 Char"/>
    <w:basedOn w:val="DefaultParagraphFont"/>
    <w:link w:val="BodyTextIndent3"/>
    <w:uiPriority w:val="99"/>
    <w:locked/>
    <w:rsid w:val="00E9602C"/>
    <w:rPr>
      <w:rFonts w:ascii="Times New Roman" w:hAnsi="Times New Roman" w:cs="Times New Roman"/>
      <w:noProof/>
      <w:sz w:val="16"/>
      <w:szCs w:val="16"/>
      <w:lang w:val="lt-LT"/>
    </w:rPr>
  </w:style>
  <w:style w:type="paragraph" w:customStyle="1" w:styleId="Schema">
    <w:name w:val="Schema"/>
    <w:basedOn w:val="Tableheading"/>
    <w:next w:val="Table"/>
    <w:uiPriority w:val="99"/>
    <w:rsid w:val="00E9602C"/>
    <w:pPr>
      <w:tabs>
        <w:tab w:val="clear" w:pos="1800"/>
        <w:tab w:val="num" w:pos="432"/>
      </w:tabs>
      <w:spacing w:before="120"/>
      <w:ind w:left="432" w:hanging="432"/>
    </w:pPr>
  </w:style>
  <w:style w:type="paragraph" w:customStyle="1" w:styleId="Bulleted">
    <w:name w:val="Bulleted"/>
    <w:basedOn w:val="Normal"/>
    <w:uiPriority w:val="99"/>
    <w:rsid w:val="00E9602C"/>
    <w:pPr>
      <w:tabs>
        <w:tab w:val="num" w:pos="720"/>
      </w:tabs>
      <w:spacing w:after="0" w:line="240" w:lineRule="auto"/>
      <w:ind w:left="720" w:hanging="360"/>
    </w:pPr>
    <w:rPr>
      <w:rFonts w:ascii="Times New Roman" w:hAnsi="Times New Roman"/>
      <w:sz w:val="24"/>
      <w:szCs w:val="24"/>
      <w:lang w:val="lt-LT"/>
    </w:rPr>
  </w:style>
  <w:style w:type="paragraph" w:customStyle="1" w:styleId="text">
    <w:name w:val="text"/>
    <w:basedOn w:val="Normal"/>
    <w:uiPriority w:val="99"/>
    <w:rsid w:val="00E9602C"/>
    <w:pPr>
      <w:spacing w:before="100" w:beforeAutospacing="1" w:after="100" w:afterAutospacing="1" w:line="240" w:lineRule="auto"/>
      <w:jc w:val="both"/>
    </w:pPr>
    <w:rPr>
      <w:rFonts w:ascii="Verdana" w:hAnsi="Verdana" w:cs="Arial"/>
      <w:color w:val="000000"/>
      <w:sz w:val="24"/>
      <w:szCs w:val="24"/>
      <w:lang w:val="lt-LT" w:eastAsia="lt-LT"/>
    </w:rPr>
  </w:style>
  <w:style w:type="paragraph" w:customStyle="1" w:styleId="Skyriaus">
    <w:name w:val="Skyriaus"/>
    <w:uiPriority w:val="99"/>
    <w:rsid w:val="00E9602C"/>
    <w:pPr>
      <w:autoSpaceDE w:val="0"/>
      <w:autoSpaceDN w:val="0"/>
      <w:adjustRightInd w:val="0"/>
      <w:spacing w:line="360" w:lineRule="auto"/>
      <w:ind w:firstLine="425"/>
      <w:jc w:val="both"/>
    </w:pPr>
    <w:rPr>
      <w:rFonts w:ascii="Times New Roman" w:hAnsi="Times New Roman"/>
      <w:sz w:val="24"/>
      <w:szCs w:val="20"/>
      <w:lang w:val="lt-LT"/>
    </w:rPr>
  </w:style>
  <w:style w:type="character" w:customStyle="1" w:styleId="DiagramaDiagrama1">
    <w:name w:val="Diagrama Diagrama1"/>
    <w:uiPriority w:val="99"/>
    <w:rsid w:val="00E9602C"/>
    <w:rPr>
      <w:sz w:val="24"/>
      <w:lang w:val="lt-LT" w:eastAsia="en-US"/>
    </w:rPr>
  </w:style>
  <w:style w:type="paragraph" w:customStyle="1" w:styleId="TableText">
    <w:name w:val="Table Text"/>
    <w:basedOn w:val="Normal"/>
    <w:uiPriority w:val="99"/>
    <w:rsid w:val="00E9602C"/>
    <w:pPr>
      <w:spacing w:after="0" w:line="280" w:lineRule="atLeast"/>
    </w:pPr>
    <w:rPr>
      <w:rFonts w:ascii="Arial" w:hAnsi="Arial"/>
      <w:sz w:val="16"/>
      <w:szCs w:val="24"/>
      <w:lang w:val="en-GB"/>
    </w:rPr>
  </w:style>
  <w:style w:type="paragraph" w:customStyle="1" w:styleId="TableHeading0">
    <w:name w:val="Table Heading"/>
    <w:basedOn w:val="TableText"/>
    <w:uiPriority w:val="99"/>
    <w:rsid w:val="00E9602C"/>
    <w:pPr>
      <w:keepNext/>
    </w:pPr>
    <w:rPr>
      <w:b/>
    </w:rPr>
  </w:style>
  <w:style w:type="character" w:styleId="FollowedHyperlink">
    <w:name w:val="FollowedHyperlink"/>
    <w:basedOn w:val="DefaultParagraphFont"/>
    <w:uiPriority w:val="99"/>
    <w:rsid w:val="00E9602C"/>
    <w:rPr>
      <w:rFonts w:cs="Times New Roman"/>
      <w:color w:val="800080"/>
      <w:u w:val="single"/>
    </w:rPr>
  </w:style>
  <w:style w:type="paragraph" w:customStyle="1" w:styleId="Style2">
    <w:name w:val="Style2"/>
    <w:basedOn w:val="Normal"/>
    <w:uiPriority w:val="99"/>
    <w:rsid w:val="00E9602C"/>
    <w:pPr>
      <w:tabs>
        <w:tab w:val="left" w:pos="873"/>
        <w:tab w:val="num" w:pos="1437"/>
      </w:tabs>
      <w:spacing w:after="0" w:line="240" w:lineRule="auto"/>
      <w:ind w:left="1437" w:hanging="360"/>
    </w:pPr>
    <w:rPr>
      <w:rFonts w:ascii="Times New Roman" w:hAnsi="Times New Roman"/>
      <w:sz w:val="24"/>
      <w:szCs w:val="24"/>
      <w:lang w:val="lt-LT"/>
    </w:rPr>
  </w:style>
  <w:style w:type="character" w:customStyle="1" w:styleId="DiagramaDiagrama">
    <w:name w:val="Diagrama Diagrama"/>
    <w:uiPriority w:val="99"/>
    <w:rsid w:val="00E9602C"/>
    <w:rPr>
      <w:sz w:val="24"/>
      <w:lang w:val="lt-LT" w:eastAsia="en-US"/>
    </w:rPr>
  </w:style>
  <w:style w:type="paragraph" w:styleId="TOC1">
    <w:name w:val="toc 1"/>
    <w:basedOn w:val="Normal"/>
    <w:next w:val="Normal"/>
    <w:autoRedefine/>
    <w:uiPriority w:val="39"/>
    <w:rsid w:val="00E9602C"/>
    <w:pPr>
      <w:tabs>
        <w:tab w:val="right" w:pos="9629"/>
      </w:tabs>
      <w:spacing w:before="60" w:after="120" w:line="240" w:lineRule="auto"/>
      <w:ind w:left="181" w:hanging="181"/>
    </w:pPr>
    <w:rPr>
      <w:rFonts w:ascii="Times New (W1)" w:hAnsi="Times New (W1)"/>
      <w:b/>
      <w:bCs/>
      <w:caps/>
      <w:sz w:val="24"/>
      <w:szCs w:val="24"/>
      <w:lang w:val="en-GB" w:eastAsia="lt-LT"/>
    </w:rPr>
  </w:style>
  <w:style w:type="paragraph" w:styleId="TOC2">
    <w:name w:val="toc 2"/>
    <w:basedOn w:val="Normal"/>
    <w:next w:val="Normal"/>
    <w:autoRedefine/>
    <w:uiPriority w:val="99"/>
    <w:rsid w:val="00E9602C"/>
    <w:pPr>
      <w:tabs>
        <w:tab w:val="right" w:leader="dot" w:pos="9629"/>
      </w:tabs>
      <w:spacing w:before="240" w:after="0" w:line="240" w:lineRule="auto"/>
    </w:pPr>
    <w:rPr>
      <w:rFonts w:ascii="Times New Roman" w:hAnsi="Times New Roman"/>
      <w:b/>
      <w:bCs/>
      <w:sz w:val="20"/>
      <w:szCs w:val="20"/>
      <w:lang w:val="lt-LT" w:eastAsia="lt-LT"/>
    </w:rPr>
  </w:style>
  <w:style w:type="paragraph" w:styleId="TOC3">
    <w:name w:val="toc 3"/>
    <w:basedOn w:val="Normal"/>
    <w:next w:val="Normal"/>
    <w:autoRedefine/>
    <w:uiPriority w:val="39"/>
    <w:rsid w:val="00E9602C"/>
    <w:pPr>
      <w:spacing w:after="0" w:line="240" w:lineRule="auto"/>
      <w:ind w:left="240"/>
    </w:pPr>
    <w:rPr>
      <w:rFonts w:ascii="Times New Roman" w:hAnsi="Times New Roman"/>
      <w:sz w:val="20"/>
      <w:szCs w:val="20"/>
      <w:lang w:val="lt-LT" w:eastAsia="lt-LT"/>
    </w:rPr>
  </w:style>
  <w:style w:type="paragraph" w:styleId="TableofFigures">
    <w:name w:val="table of figures"/>
    <w:basedOn w:val="Normal"/>
    <w:next w:val="Normal"/>
    <w:link w:val="TableofFiguresChar"/>
    <w:autoRedefine/>
    <w:uiPriority w:val="99"/>
    <w:rsid w:val="00E9602C"/>
    <w:pPr>
      <w:numPr>
        <w:numId w:val="9"/>
      </w:numPr>
      <w:tabs>
        <w:tab w:val="right" w:leader="dot" w:pos="9356"/>
      </w:tabs>
      <w:spacing w:after="0" w:line="240" w:lineRule="auto"/>
      <w:ind w:left="0" w:right="278" w:firstLine="0"/>
      <w:jc w:val="both"/>
    </w:pPr>
    <w:rPr>
      <w:rFonts w:ascii="Times New Roman" w:hAnsi="Times New Roman"/>
      <w:b/>
      <w:sz w:val="24"/>
      <w:szCs w:val="24"/>
      <w:lang w:val="en-GB" w:eastAsia="lt-LT"/>
    </w:rPr>
  </w:style>
  <w:style w:type="character" w:customStyle="1" w:styleId="TableofFiguresChar">
    <w:name w:val="Table of Figures Char"/>
    <w:link w:val="TableofFigures"/>
    <w:uiPriority w:val="99"/>
    <w:locked/>
    <w:rsid w:val="00E9602C"/>
    <w:rPr>
      <w:rFonts w:ascii="Times New Roman" w:hAnsi="Times New Roman"/>
      <w:b/>
      <w:sz w:val="24"/>
      <w:szCs w:val="24"/>
      <w:lang w:val="en-GB" w:eastAsia="lt-LT"/>
    </w:rPr>
  </w:style>
  <w:style w:type="character" w:customStyle="1" w:styleId="CommentSubjectChar">
    <w:name w:val="Comment Subject Char"/>
    <w:uiPriority w:val="99"/>
    <w:semiHidden/>
    <w:locked/>
    <w:rsid w:val="00E9602C"/>
    <w:rPr>
      <w:rFonts w:ascii="Times New Roman" w:hAnsi="Times New Roman"/>
      <w:b/>
      <w:sz w:val="20"/>
      <w:lang w:val="lt-LT" w:eastAsia="lt-LT"/>
    </w:rPr>
  </w:style>
  <w:style w:type="paragraph" w:styleId="CommentSubject">
    <w:name w:val="annotation subject"/>
    <w:basedOn w:val="CommentText"/>
    <w:next w:val="CommentText"/>
    <w:link w:val="CommentSubjectChar1"/>
    <w:uiPriority w:val="99"/>
    <w:semiHidden/>
    <w:rsid w:val="00E9602C"/>
    <w:rPr>
      <w:b/>
      <w:bCs/>
    </w:rPr>
  </w:style>
  <w:style w:type="character" w:customStyle="1" w:styleId="CommentSubjectChar1">
    <w:name w:val="Comment Subject Char1"/>
    <w:basedOn w:val="CommentTextChar"/>
    <w:link w:val="CommentSubject"/>
    <w:uiPriority w:val="99"/>
    <w:semiHidden/>
    <w:locked/>
    <w:rsid w:val="00DD25C6"/>
    <w:rPr>
      <w:rFonts w:ascii="Times New Roman" w:hAnsi="Times New Roman" w:cs="Times New Roman"/>
      <w:b/>
      <w:bCs/>
      <w:sz w:val="20"/>
      <w:szCs w:val="20"/>
      <w:lang w:val="lt-LT" w:eastAsia="lt-LT"/>
    </w:rPr>
  </w:style>
  <w:style w:type="paragraph" w:customStyle="1" w:styleId="CharChar2DiagramaDiagramaCharCharDiagramaDiagramaCharCharDiagramaDiagrama1">
    <w:name w:val="Char Char2 Diagrama Diagrama Char Char Diagrama Diagrama Char Char Diagrama Diagrama1"/>
    <w:basedOn w:val="Normal"/>
    <w:uiPriority w:val="99"/>
    <w:rsid w:val="00E9602C"/>
    <w:pPr>
      <w:spacing w:after="160" w:line="240" w:lineRule="exact"/>
    </w:pPr>
    <w:rPr>
      <w:rFonts w:ascii="Tahoma" w:hAnsi="Tahoma"/>
      <w:sz w:val="20"/>
      <w:szCs w:val="20"/>
      <w:lang w:val="en-US"/>
    </w:rPr>
  </w:style>
  <w:style w:type="paragraph" w:customStyle="1" w:styleId="NDPtext">
    <w:name w:val="NDP text"/>
    <w:uiPriority w:val="99"/>
    <w:rsid w:val="00E9602C"/>
    <w:pPr>
      <w:jc w:val="both"/>
    </w:pPr>
    <w:rPr>
      <w:rFonts w:ascii="Times New Roman" w:hAnsi="Times New Roman"/>
      <w:noProof/>
      <w:sz w:val="20"/>
      <w:szCs w:val="20"/>
      <w:lang w:val="en-GB"/>
    </w:rPr>
  </w:style>
  <w:style w:type="paragraph" w:customStyle="1" w:styleId="CharChar1DiagramaDiagramaCharCharDiagramaDiagramaCharChar">
    <w:name w:val="Char Char1 Diagrama Diagrama Char Char Diagrama Diagrama Char Char"/>
    <w:basedOn w:val="Normal"/>
    <w:uiPriority w:val="99"/>
    <w:rsid w:val="00E9602C"/>
    <w:pPr>
      <w:spacing w:after="160" w:line="240" w:lineRule="exact"/>
    </w:pPr>
    <w:rPr>
      <w:rFonts w:ascii="Tahoma" w:hAnsi="Tahoma"/>
      <w:sz w:val="20"/>
      <w:szCs w:val="20"/>
      <w:lang w:val="en-US"/>
    </w:rPr>
  </w:style>
  <w:style w:type="paragraph" w:customStyle="1" w:styleId="HEADING---Level2">
    <w:name w:val="HEADING --- Level 2"/>
    <w:basedOn w:val="HEADING---Level1"/>
    <w:link w:val="HEADING---Level2Char"/>
    <w:autoRedefine/>
    <w:uiPriority w:val="99"/>
    <w:rsid w:val="00412D98"/>
    <w:rPr>
      <w:sz w:val="24"/>
    </w:rPr>
  </w:style>
  <w:style w:type="character" w:customStyle="1" w:styleId="CHARACTER---Bolder">
    <w:name w:val="CHARACTER --- Bolder"/>
    <w:uiPriority w:val="99"/>
    <w:rsid w:val="00E9602C"/>
    <w:rPr>
      <w:b/>
    </w:rPr>
  </w:style>
  <w:style w:type="paragraph" w:customStyle="1" w:styleId="StiliusAntrat3TimesNewW114ptVisosdidiosiosraids">
    <w:name w:val="Stilius Antraštė 3 + Times New (W1) 14 pt Visos didžiosios raidės"/>
    <w:basedOn w:val="Heading3"/>
    <w:uiPriority w:val="99"/>
    <w:rsid w:val="00E9602C"/>
    <w:rPr>
      <w:rFonts w:ascii="Times New (W1)" w:hAnsi="Times New (W1)"/>
      <w:caps/>
      <w:sz w:val="32"/>
    </w:rPr>
  </w:style>
  <w:style w:type="paragraph" w:customStyle="1" w:styleId="DiagramaDiagramaDiagramaCharChar">
    <w:name w:val="Diagrama Diagrama Diagrama Char Char"/>
    <w:basedOn w:val="Normal"/>
    <w:uiPriority w:val="99"/>
    <w:rsid w:val="00E9602C"/>
    <w:pPr>
      <w:spacing w:after="160" w:line="240" w:lineRule="exact"/>
    </w:pPr>
    <w:rPr>
      <w:rFonts w:ascii="Tahoma" w:hAnsi="Tahoma"/>
      <w:sz w:val="20"/>
      <w:szCs w:val="20"/>
      <w:lang w:val="en-US"/>
    </w:rPr>
  </w:style>
  <w:style w:type="paragraph" w:customStyle="1" w:styleId="CharChar2DiagramaDiagramaCharCharDiagramaDiagramaCharCharDiagramaDiagrama1CharCharDiagramaDiagramaCharCharDiagramaDiagrama">
    <w:name w:val="Char Char2 Diagrama Diagrama Char Char Diagrama Diagrama Char Char Diagrama Diagrama1 Char Char Diagrama Diagrama Char Char Diagrama Diagrama"/>
    <w:basedOn w:val="Normal"/>
    <w:uiPriority w:val="99"/>
    <w:rsid w:val="00E9602C"/>
    <w:pPr>
      <w:spacing w:after="160" w:line="240" w:lineRule="exact"/>
    </w:pPr>
    <w:rPr>
      <w:rFonts w:ascii="Tahoma" w:hAnsi="Tahoma"/>
      <w:sz w:val="20"/>
      <w:szCs w:val="20"/>
      <w:lang w:val="en-US"/>
    </w:rPr>
  </w:style>
  <w:style w:type="character" w:customStyle="1" w:styleId="Diagrama2">
    <w:name w:val="Diagrama2"/>
    <w:uiPriority w:val="99"/>
    <w:rsid w:val="00E9602C"/>
    <w:rPr>
      <w:sz w:val="24"/>
      <w:lang w:val="lt-LT" w:eastAsia="en-US"/>
    </w:rPr>
  </w:style>
  <w:style w:type="paragraph" w:customStyle="1" w:styleId="CharChar2DiagramaDiagramaCharCharDiagramaDiagramaCharCharDiagramaDiagrama1CharCharDiagramaDiagramaCharCharDiagramaDiagramaCharChar">
    <w:name w:val="Char Char2 Diagrama Diagrama Char Char Diagrama Diagrama Char Char Diagrama Diagrama1 Char Char Diagrama Diagrama Char Char Diagrama Diagrama Char Char"/>
    <w:basedOn w:val="Normal"/>
    <w:uiPriority w:val="99"/>
    <w:rsid w:val="00E9602C"/>
    <w:pPr>
      <w:spacing w:after="160" w:line="240" w:lineRule="exact"/>
    </w:pPr>
    <w:rPr>
      <w:rFonts w:ascii="Tahoma" w:hAnsi="Tahoma"/>
      <w:sz w:val="20"/>
      <w:szCs w:val="20"/>
      <w:lang w:val="en-US"/>
    </w:rPr>
  </w:style>
  <w:style w:type="paragraph" w:customStyle="1" w:styleId="DiagramaCharChar">
    <w:name w:val="Diagrama Char Char"/>
    <w:basedOn w:val="Normal"/>
    <w:uiPriority w:val="99"/>
    <w:rsid w:val="00E9602C"/>
    <w:pPr>
      <w:spacing w:after="160" w:line="240" w:lineRule="exact"/>
    </w:pPr>
    <w:rPr>
      <w:rFonts w:ascii="Tahoma" w:hAnsi="Tahoma"/>
      <w:sz w:val="20"/>
      <w:szCs w:val="20"/>
      <w:lang w:val="en-US"/>
    </w:rPr>
  </w:style>
  <w:style w:type="character" w:customStyle="1" w:styleId="DocumentMapChar">
    <w:name w:val="Document Map Char"/>
    <w:uiPriority w:val="99"/>
    <w:semiHidden/>
    <w:locked/>
    <w:rsid w:val="00E9602C"/>
    <w:rPr>
      <w:rFonts w:ascii="Tahoma" w:hAnsi="Tahoma"/>
      <w:sz w:val="20"/>
      <w:shd w:val="clear" w:color="auto" w:fill="000080"/>
      <w:lang w:val="lt-LT" w:eastAsia="lt-LT"/>
    </w:rPr>
  </w:style>
  <w:style w:type="paragraph" w:styleId="DocumentMap">
    <w:name w:val="Document Map"/>
    <w:basedOn w:val="Normal"/>
    <w:link w:val="DocumentMapChar1"/>
    <w:uiPriority w:val="99"/>
    <w:semiHidden/>
    <w:rsid w:val="00E9602C"/>
    <w:pPr>
      <w:shd w:val="clear" w:color="auto" w:fill="000080"/>
      <w:spacing w:after="0" w:line="240" w:lineRule="auto"/>
    </w:pPr>
    <w:rPr>
      <w:rFonts w:ascii="Tahoma" w:hAnsi="Tahoma"/>
      <w:sz w:val="20"/>
      <w:szCs w:val="20"/>
      <w:lang w:val="lt-LT" w:eastAsia="lt-LT"/>
    </w:rPr>
  </w:style>
  <w:style w:type="character" w:customStyle="1" w:styleId="DocumentMapChar1">
    <w:name w:val="Document Map Char1"/>
    <w:basedOn w:val="DefaultParagraphFont"/>
    <w:link w:val="DocumentMap"/>
    <w:uiPriority w:val="99"/>
    <w:semiHidden/>
    <w:locked/>
    <w:rsid w:val="00DD25C6"/>
    <w:rPr>
      <w:rFonts w:ascii="Times New Roman" w:hAnsi="Times New Roman" w:cs="Times New Roman"/>
      <w:sz w:val="2"/>
    </w:rPr>
  </w:style>
  <w:style w:type="character" w:styleId="Emphasis">
    <w:name w:val="Emphasis"/>
    <w:basedOn w:val="DefaultParagraphFont"/>
    <w:uiPriority w:val="99"/>
    <w:qFormat/>
    <w:rsid w:val="00E9602C"/>
    <w:rPr>
      <w:rFonts w:cs="Times New Roman"/>
      <w:i/>
    </w:rPr>
  </w:style>
  <w:style w:type="paragraph" w:customStyle="1" w:styleId="CharChar2DiagramaCharCharDiagramaDiagrama">
    <w:name w:val="Char Char2 Diagrama Char Char Diagrama Diagrama"/>
    <w:basedOn w:val="Normal"/>
    <w:uiPriority w:val="99"/>
    <w:rsid w:val="00E9602C"/>
    <w:pPr>
      <w:spacing w:after="160" w:line="240" w:lineRule="exact"/>
    </w:pPr>
    <w:rPr>
      <w:rFonts w:ascii="Tahoma" w:hAnsi="Tahoma"/>
      <w:sz w:val="20"/>
      <w:szCs w:val="20"/>
      <w:lang w:val="en-US"/>
    </w:rPr>
  </w:style>
  <w:style w:type="paragraph" w:customStyle="1" w:styleId="CharChar2Diagrama">
    <w:name w:val="Char Char2 Diagrama"/>
    <w:basedOn w:val="Normal"/>
    <w:uiPriority w:val="99"/>
    <w:rsid w:val="00E9602C"/>
    <w:pPr>
      <w:spacing w:after="160" w:line="240" w:lineRule="exact"/>
    </w:pPr>
    <w:rPr>
      <w:rFonts w:ascii="Tahoma" w:hAnsi="Tahoma"/>
      <w:sz w:val="20"/>
      <w:szCs w:val="20"/>
      <w:lang w:val="en-US"/>
    </w:rPr>
  </w:style>
  <w:style w:type="paragraph" w:customStyle="1" w:styleId="Diagrama1DiagramaDiagramaCharDiagramaDiagramaCharChar">
    <w:name w:val="Diagrama1 Diagrama Diagrama Char Diagrama Diagrama Char Char"/>
    <w:basedOn w:val="Normal"/>
    <w:uiPriority w:val="99"/>
    <w:rsid w:val="00E9602C"/>
    <w:pPr>
      <w:spacing w:after="160" w:line="240" w:lineRule="exact"/>
    </w:pPr>
    <w:rPr>
      <w:rFonts w:ascii="Tahoma" w:hAnsi="Tahoma"/>
      <w:sz w:val="20"/>
      <w:szCs w:val="20"/>
      <w:lang w:val="en-US"/>
    </w:rPr>
  </w:style>
  <w:style w:type="paragraph" w:customStyle="1" w:styleId="normln">
    <w:name w:val="normální"/>
    <w:basedOn w:val="Normal"/>
    <w:uiPriority w:val="99"/>
    <w:rsid w:val="00E9602C"/>
    <w:pPr>
      <w:spacing w:after="0" w:line="240" w:lineRule="auto"/>
      <w:ind w:right="-101"/>
      <w:jc w:val="both"/>
    </w:pPr>
    <w:rPr>
      <w:rFonts w:ascii="Times New Roman" w:hAnsi="Times New Roman"/>
      <w:b/>
      <w:bCs/>
      <w:sz w:val="24"/>
      <w:szCs w:val="24"/>
      <w:lang w:val="en-GB"/>
    </w:rPr>
  </w:style>
  <w:style w:type="paragraph" w:customStyle="1" w:styleId="TEKSTAS">
    <w:name w:val="TEKSTAS"/>
    <w:basedOn w:val="Normal"/>
    <w:uiPriority w:val="99"/>
    <w:rsid w:val="00E9602C"/>
    <w:pPr>
      <w:widowControl w:val="0"/>
      <w:overflowPunct w:val="0"/>
      <w:autoSpaceDE w:val="0"/>
      <w:autoSpaceDN w:val="0"/>
      <w:adjustRightInd w:val="0"/>
      <w:spacing w:before="60" w:after="60" w:line="240" w:lineRule="auto"/>
      <w:jc w:val="both"/>
      <w:textAlignment w:val="baseline"/>
    </w:pPr>
    <w:rPr>
      <w:rFonts w:ascii="Times New Roman" w:hAnsi="Times New Roman"/>
      <w:sz w:val="24"/>
      <w:szCs w:val="20"/>
      <w:lang w:val="en-GB"/>
    </w:rPr>
  </w:style>
  <w:style w:type="paragraph" w:customStyle="1" w:styleId="CharChar2DiagramaCharCharDiagramaCharChar">
    <w:name w:val="Char Char2 Diagrama Char Char Diagrama Char Char"/>
    <w:basedOn w:val="Normal"/>
    <w:uiPriority w:val="99"/>
    <w:rsid w:val="00E9602C"/>
    <w:pPr>
      <w:spacing w:after="160" w:line="240" w:lineRule="exact"/>
    </w:pPr>
    <w:rPr>
      <w:rFonts w:ascii="Tahoma" w:hAnsi="Tahoma"/>
      <w:sz w:val="20"/>
      <w:szCs w:val="20"/>
      <w:lang w:val="en-US"/>
    </w:rPr>
  </w:style>
  <w:style w:type="character" w:customStyle="1" w:styleId="StiliusStiliusNUM5PabraukimasBepabraukimoDiagrama">
    <w:name w:val="Stilius Stilius NUM5 + Pabraukimas + Be pabraukimo Diagrama"/>
    <w:uiPriority w:val="99"/>
    <w:rsid w:val="00E9602C"/>
    <w:rPr>
      <w:color w:val="000000"/>
    </w:rPr>
  </w:style>
  <w:style w:type="paragraph" w:customStyle="1" w:styleId="DiagramaDiagramaDiagramaCharCharDiagramaChar">
    <w:name w:val="Diagrama Diagrama Diagrama Char Char Diagrama Char"/>
    <w:basedOn w:val="Normal"/>
    <w:uiPriority w:val="99"/>
    <w:rsid w:val="00E9602C"/>
    <w:pPr>
      <w:spacing w:after="160" w:line="240" w:lineRule="exact"/>
    </w:pPr>
    <w:rPr>
      <w:rFonts w:ascii="Tahoma" w:hAnsi="Tahoma"/>
      <w:sz w:val="20"/>
      <w:szCs w:val="20"/>
      <w:lang w:val="en-US"/>
    </w:rPr>
  </w:style>
  <w:style w:type="paragraph" w:customStyle="1" w:styleId="Diagrama1DiagramaDiagrama">
    <w:name w:val="Diagrama1 Diagrama Diagrama"/>
    <w:basedOn w:val="Normal"/>
    <w:uiPriority w:val="99"/>
    <w:rsid w:val="00E9602C"/>
    <w:pPr>
      <w:spacing w:after="160" w:line="240" w:lineRule="exact"/>
    </w:pPr>
    <w:rPr>
      <w:rFonts w:ascii="Tahoma" w:hAnsi="Tahoma"/>
      <w:sz w:val="20"/>
      <w:szCs w:val="20"/>
      <w:lang w:val="en-US"/>
    </w:rPr>
  </w:style>
  <w:style w:type="paragraph" w:customStyle="1" w:styleId="CharChar2DiagramaCharCharDiagramaDiagramaDiagramaDiagramaDiagramaDiagrama">
    <w:name w:val="Char Char2 Diagrama Char Char Diagrama Diagrama Diagrama Diagrama Diagrama Diagrama"/>
    <w:basedOn w:val="Normal"/>
    <w:uiPriority w:val="99"/>
    <w:rsid w:val="00E9602C"/>
    <w:pPr>
      <w:spacing w:after="160" w:line="240" w:lineRule="exact"/>
    </w:pPr>
    <w:rPr>
      <w:rFonts w:ascii="Tahoma" w:hAnsi="Tahoma"/>
      <w:sz w:val="20"/>
      <w:szCs w:val="20"/>
      <w:lang w:val="en-US"/>
    </w:rPr>
  </w:style>
  <w:style w:type="paragraph" w:customStyle="1" w:styleId="CharChar1DiagramaDiagramaCharCharDiagramaDiagramaCharCharDiagramaCharChar1DiagramaDiagramaDiagrama">
    <w:name w:val="Char Char1 Diagrama Diagrama Char Char Diagrama Diagrama Char Char Diagrama Char Char1 Diagrama Diagrama Diagrama"/>
    <w:basedOn w:val="Normal"/>
    <w:uiPriority w:val="99"/>
    <w:rsid w:val="00E9602C"/>
    <w:pPr>
      <w:spacing w:after="160" w:line="240" w:lineRule="exact"/>
    </w:pPr>
    <w:rPr>
      <w:rFonts w:ascii="Tahoma" w:hAnsi="Tahoma"/>
      <w:sz w:val="20"/>
      <w:szCs w:val="20"/>
      <w:lang w:val="en-US"/>
    </w:rPr>
  </w:style>
  <w:style w:type="character" w:customStyle="1" w:styleId="Diagrama1">
    <w:name w:val="Diagrama1"/>
    <w:uiPriority w:val="99"/>
    <w:rsid w:val="00E9602C"/>
    <w:rPr>
      <w:sz w:val="24"/>
      <w:lang w:val="lt-LT" w:eastAsia="en-US"/>
    </w:rPr>
  </w:style>
  <w:style w:type="paragraph" w:customStyle="1" w:styleId="CharChar2">
    <w:name w:val="Char Char2"/>
    <w:basedOn w:val="Normal"/>
    <w:uiPriority w:val="99"/>
    <w:rsid w:val="00E9602C"/>
    <w:pPr>
      <w:spacing w:after="160" w:line="240" w:lineRule="exact"/>
    </w:pPr>
    <w:rPr>
      <w:rFonts w:ascii="Tahoma" w:hAnsi="Tahoma"/>
      <w:sz w:val="20"/>
      <w:szCs w:val="20"/>
      <w:lang w:val="en-US"/>
    </w:rPr>
  </w:style>
  <w:style w:type="paragraph" w:customStyle="1" w:styleId="CharDiagramaChar">
    <w:name w:val="Char Diagrama Char"/>
    <w:basedOn w:val="Normal"/>
    <w:uiPriority w:val="99"/>
    <w:rsid w:val="00E9602C"/>
    <w:pPr>
      <w:spacing w:after="160" w:line="240" w:lineRule="exact"/>
    </w:pPr>
    <w:rPr>
      <w:rFonts w:ascii="Tahoma" w:hAnsi="Tahoma"/>
      <w:sz w:val="20"/>
      <w:szCs w:val="20"/>
      <w:lang w:val="en-US"/>
    </w:rPr>
  </w:style>
  <w:style w:type="paragraph" w:customStyle="1" w:styleId="CharChar2DiagramaCharChar">
    <w:name w:val="Char Char2 Diagrama Char Char"/>
    <w:basedOn w:val="Normal"/>
    <w:uiPriority w:val="99"/>
    <w:rsid w:val="00E9602C"/>
    <w:pPr>
      <w:spacing w:after="160" w:line="240" w:lineRule="exact"/>
    </w:pPr>
    <w:rPr>
      <w:rFonts w:ascii="Tahoma" w:hAnsi="Tahoma"/>
      <w:sz w:val="20"/>
      <w:szCs w:val="20"/>
      <w:lang w:val="en-US"/>
    </w:rPr>
  </w:style>
  <w:style w:type="paragraph" w:styleId="BodyText3">
    <w:name w:val="Body Text 3"/>
    <w:basedOn w:val="Normal"/>
    <w:link w:val="BodyText3Char"/>
    <w:uiPriority w:val="99"/>
    <w:rsid w:val="00E9602C"/>
    <w:pPr>
      <w:spacing w:after="120" w:line="240" w:lineRule="auto"/>
    </w:pPr>
    <w:rPr>
      <w:rFonts w:ascii="Times New Roman" w:hAnsi="Times New Roman"/>
      <w:sz w:val="16"/>
      <w:szCs w:val="16"/>
      <w:lang w:val="lt-LT" w:eastAsia="lt-LT"/>
    </w:rPr>
  </w:style>
  <w:style w:type="character" w:customStyle="1" w:styleId="BodyText3Char">
    <w:name w:val="Body Text 3 Char"/>
    <w:basedOn w:val="DefaultParagraphFont"/>
    <w:link w:val="BodyText3"/>
    <w:uiPriority w:val="99"/>
    <w:locked/>
    <w:rsid w:val="00E9602C"/>
    <w:rPr>
      <w:rFonts w:ascii="Times New Roman" w:hAnsi="Times New Roman" w:cs="Times New Roman"/>
      <w:sz w:val="16"/>
      <w:szCs w:val="16"/>
      <w:lang w:val="lt-LT" w:eastAsia="lt-LT"/>
    </w:rPr>
  </w:style>
  <w:style w:type="paragraph" w:customStyle="1" w:styleId="x">
    <w:name w:val="x"/>
    <w:uiPriority w:val="99"/>
    <w:rsid w:val="00E9602C"/>
    <w:rPr>
      <w:rFonts w:ascii="Arial" w:hAnsi="Arial" w:cs="Arial"/>
      <w:sz w:val="20"/>
      <w:szCs w:val="20"/>
      <w:lang w:val="en-US"/>
    </w:rPr>
  </w:style>
  <w:style w:type="paragraph" w:customStyle="1" w:styleId="CharChar2DiagramaCharCharDiagramaDiagramaDiagramaDiagramaCharChar">
    <w:name w:val="Char Char2 Diagrama Char Char Diagrama Diagrama Diagrama Diagrama Char Char"/>
    <w:basedOn w:val="Normal"/>
    <w:uiPriority w:val="99"/>
    <w:rsid w:val="00E9602C"/>
    <w:pPr>
      <w:spacing w:after="160" w:line="240" w:lineRule="exact"/>
    </w:pPr>
    <w:rPr>
      <w:rFonts w:ascii="Tahoma" w:hAnsi="Tahoma"/>
      <w:sz w:val="20"/>
      <w:szCs w:val="20"/>
      <w:lang w:val="en-US"/>
    </w:rPr>
  </w:style>
  <w:style w:type="paragraph" w:customStyle="1" w:styleId="DiagramaDiagrama3">
    <w:name w:val="Diagrama Diagrama3"/>
    <w:basedOn w:val="Normal"/>
    <w:uiPriority w:val="99"/>
    <w:rsid w:val="00E9602C"/>
    <w:pPr>
      <w:spacing w:after="160" w:line="240" w:lineRule="exact"/>
    </w:pPr>
    <w:rPr>
      <w:rFonts w:ascii="Tahoma" w:hAnsi="Tahoma"/>
      <w:sz w:val="20"/>
      <w:szCs w:val="20"/>
      <w:lang w:val="en-US"/>
    </w:rPr>
  </w:style>
  <w:style w:type="paragraph" w:customStyle="1" w:styleId="Diagrama2DiagramaDiagramaDiagramaDiagramaDiagramaDiagramaDiagramaDiagramaDiagramaDiagramaDiagrama1DiagramaCharChar">
    <w:name w:val="Diagrama2 Diagrama Diagrama Diagrama Diagrama Diagrama Diagrama Diagrama Diagrama Diagrama Diagrama Diagrama1 Diagrama Char Char"/>
    <w:basedOn w:val="Normal"/>
    <w:uiPriority w:val="99"/>
    <w:rsid w:val="00E9602C"/>
    <w:pPr>
      <w:spacing w:after="160" w:line="240" w:lineRule="exact"/>
    </w:pPr>
    <w:rPr>
      <w:rFonts w:ascii="Tahoma" w:hAnsi="Tahoma"/>
      <w:sz w:val="20"/>
      <w:szCs w:val="20"/>
      <w:lang w:val="en-US"/>
    </w:rPr>
  </w:style>
  <w:style w:type="paragraph" w:customStyle="1" w:styleId="CharChar2DiagramaCharCharDiagramaDiagramaDiagramaDiagramaDiagramaDiagrama1">
    <w:name w:val="Char Char2 Diagrama Char Char Diagrama Diagrama Diagrama Diagrama Diagrama Diagrama1"/>
    <w:basedOn w:val="Normal"/>
    <w:uiPriority w:val="99"/>
    <w:rsid w:val="00E9602C"/>
    <w:pPr>
      <w:spacing w:after="160" w:line="240" w:lineRule="exact"/>
    </w:pPr>
    <w:rPr>
      <w:rFonts w:ascii="Tahoma" w:hAnsi="Tahoma"/>
      <w:sz w:val="20"/>
      <w:szCs w:val="20"/>
      <w:lang w:val="en-US"/>
    </w:rPr>
  </w:style>
  <w:style w:type="paragraph" w:customStyle="1" w:styleId="CharChar2DiagramaCharCharDiagramaDiagramaDiagramaDiagramaCharChar1">
    <w:name w:val="Char Char2 Diagrama Char Char Diagrama Diagrama Diagrama Diagrama Char Char1"/>
    <w:basedOn w:val="Normal"/>
    <w:uiPriority w:val="99"/>
    <w:rsid w:val="00E9602C"/>
    <w:pPr>
      <w:spacing w:after="160" w:line="240" w:lineRule="exact"/>
    </w:pPr>
    <w:rPr>
      <w:rFonts w:ascii="Tahoma" w:hAnsi="Tahoma"/>
      <w:sz w:val="20"/>
      <w:szCs w:val="20"/>
      <w:lang w:val="en-US"/>
    </w:rPr>
  </w:style>
  <w:style w:type="character" w:customStyle="1" w:styleId="Diagrama3">
    <w:name w:val="Diagrama3"/>
    <w:uiPriority w:val="99"/>
    <w:rsid w:val="00E9602C"/>
    <w:rPr>
      <w:sz w:val="24"/>
      <w:lang w:val="lt-LT" w:eastAsia="en-US"/>
    </w:rPr>
  </w:style>
  <w:style w:type="paragraph" w:customStyle="1" w:styleId="DiagramaDiagramaCharCharDiagramaCharCharDiagrama1CharCharDiagramaDiagramaDiagrama">
    <w:name w:val="Diagrama Diagrama Char Char Diagrama Char Char Diagrama1 Char Char Diagrama Diagrama Diagrama"/>
    <w:basedOn w:val="Normal"/>
    <w:uiPriority w:val="99"/>
    <w:rsid w:val="00E9602C"/>
    <w:pPr>
      <w:spacing w:after="160" w:line="240" w:lineRule="exact"/>
    </w:pPr>
    <w:rPr>
      <w:rFonts w:ascii="Tahoma" w:hAnsi="Tahoma"/>
      <w:sz w:val="20"/>
      <w:szCs w:val="20"/>
      <w:lang w:val="en-US"/>
    </w:rPr>
  </w:style>
  <w:style w:type="character" w:customStyle="1" w:styleId="Diagrama4">
    <w:name w:val="Diagrama4"/>
    <w:uiPriority w:val="99"/>
    <w:rsid w:val="00E9602C"/>
    <w:rPr>
      <w:sz w:val="24"/>
      <w:lang w:val="lt-LT" w:eastAsia="en-US"/>
    </w:rPr>
  </w:style>
  <w:style w:type="paragraph" w:customStyle="1" w:styleId="CharChar2DiagramaCharCharDiagramaDiagramaDiagramaDiagramaCharChar2">
    <w:name w:val="Char Char2 Diagrama Char Char Diagrama Diagrama Diagrama Diagrama Char Char2"/>
    <w:basedOn w:val="Normal"/>
    <w:uiPriority w:val="99"/>
    <w:rsid w:val="00E9602C"/>
    <w:pPr>
      <w:spacing w:after="160" w:line="240" w:lineRule="exact"/>
    </w:pPr>
    <w:rPr>
      <w:rFonts w:ascii="Tahoma" w:hAnsi="Tahoma"/>
      <w:sz w:val="20"/>
      <w:szCs w:val="20"/>
      <w:lang w:val="en-US"/>
    </w:rPr>
  </w:style>
  <w:style w:type="paragraph" w:customStyle="1" w:styleId="CharChar1DiagramaDiagramaCharCharDiagramaDiagramaCharCharDiagramaCharChar1DiagramaDiagramaDiagramaDiagramaCharChar1">
    <w:name w:val="Char Char1 Diagrama Diagrama Char Char Diagrama Diagrama Char Char Diagrama Char Char1 Diagrama Diagrama Diagrama Diagrama Char Char1"/>
    <w:basedOn w:val="Normal"/>
    <w:uiPriority w:val="99"/>
    <w:rsid w:val="00E9602C"/>
    <w:pPr>
      <w:spacing w:after="160" w:line="240" w:lineRule="exact"/>
    </w:pPr>
    <w:rPr>
      <w:rFonts w:ascii="Tahoma" w:hAnsi="Tahoma"/>
      <w:sz w:val="20"/>
      <w:szCs w:val="20"/>
      <w:lang w:val="en-US"/>
    </w:rPr>
  </w:style>
  <w:style w:type="paragraph" w:customStyle="1" w:styleId="WW-BodyTextIndent2">
    <w:name w:val="WW-Body Text Indent 2"/>
    <w:basedOn w:val="Normal"/>
    <w:uiPriority w:val="99"/>
    <w:rsid w:val="00E9602C"/>
    <w:pPr>
      <w:suppressAutoHyphens/>
      <w:spacing w:after="0" w:line="240" w:lineRule="auto"/>
      <w:ind w:firstLine="720"/>
      <w:jc w:val="both"/>
    </w:pPr>
    <w:rPr>
      <w:rFonts w:ascii="Times New Roman" w:hAnsi="Times New Roman"/>
      <w:sz w:val="24"/>
      <w:szCs w:val="20"/>
      <w:lang w:val="lt-LT" w:eastAsia="ar-SA"/>
    </w:rPr>
  </w:style>
  <w:style w:type="paragraph" w:customStyle="1" w:styleId="CharChar1DiagramaDiagramaCharCharDiagramaDiagramaCharCharDiagramaCharChar4DiagramaDiagramaDiagrama">
    <w:name w:val="Char Char1 Diagrama Diagrama Char Char Diagrama Diagrama Char Char Diagrama Char Char4 Diagrama Diagrama Diagrama"/>
    <w:basedOn w:val="Normal"/>
    <w:uiPriority w:val="99"/>
    <w:rsid w:val="00E9602C"/>
    <w:pPr>
      <w:spacing w:after="160" w:line="240" w:lineRule="exact"/>
    </w:pPr>
    <w:rPr>
      <w:rFonts w:ascii="Tahoma" w:hAnsi="Tahoma"/>
      <w:sz w:val="20"/>
      <w:szCs w:val="20"/>
      <w:lang w:val="en-US"/>
    </w:rPr>
  </w:style>
  <w:style w:type="paragraph" w:customStyle="1" w:styleId="TABLE---Unnumberedlist">
    <w:name w:val="TABLE --- Unnumbered list"/>
    <w:basedOn w:val="Normal"/>
    <w:autoRedefine/>
    <w:uiPriority w:val="99"/>
    <w:rsid w:val="00E9602C"/>
    <w:pPr>
      <w:spacing w:after="0" w:line="240" w:lineRule="auto"/>
    </w:pPr>
    <w:rPr>
      <w:rFonts w:ascii="Times New Roman" w:hAnsi="Times New Roman"/>
      <w:b/>
      <w:sz w:val="24"/>
      <w:szCs w:val="24"/>
      <w:lang w:val="en-US" w:eastAsia="lt-LT"/>
    </w:rPr>
  </w:style>
  <w:style w:type="paragraph" w:customStyle="1" w:styleId="font5">
    <w:name w:val="font5"/>
    <w:basedOn w:val="Normal"/>
    <w:uiPriority w:val="99"/>
    <w:rsid w:val="00E9602C"/>
    <w:pPr>
      <w:spacing w:before="100" w:beforeAutospacing="1" w:after="100" w:afterAutospacing="1" w:line="240" w:lineRule="auto"/>
    </w:pPr>
    <w:rPr>
      <w:rFonts w:ascii="Arial" w:hAnsi="Arial" w:cs="Arial"/>
      <w:b/>
      <w:bCs/>
      <w:sz w:val="24"/>
      <w:szCs w:val="24"/>
      <w:lang w:val="en-US"/>
    </w:rPr>
  </w:style>
  <w:style w:type="character" w:customStyle="1" w:styleId="typewriter">
    <w:name w:val="typewriter"/>
    <w:basedOn w:val="DefaultParagraphFont"/>
    <w:uiPriority w:val="99"/>
    <w:rsid w:val="00E9602C"/>
    <w:rPr>
      <w:rFonts w:cs="Times New Roman"/>
    </w:rPr>
  </w:style>
  <w:style w:type="paragraph" w:customStyle="1" w:styleId="WW-BodyText2">
    <w:name w:val="WW-Body Text 2"/>
    <w:basedOn w:val="Normal"/>
    <w:uiPriority w:val="99"/>
    <w:rsid w:val="00E9602C"/>
    <w:pPr>
      <w:suppressAutoHyphens/>
      <w:spacing w:after="0" w:line="240" w:lineRule="auto"/>
      <w:jc w:val="both"/>
    </w:pPr>
    <w:rPr>
      <w:rFonts w:ascii="Times New Roman" w:hAnsi="Times New Roman"/>
      <w:sz w:val="24"/>
      <w:szCs w:val="20"/>
      <w:lang w:val="lt-LT" w:eastAsia="ar-SA"/>
    </w:rPr>
  </w:style>
  <w:style w:type="paragraph" w:customStyle="1" w:styleId="PAGRINDINISTEKSTAS">
    <w:name w:val="PAGRINDINIS TEKSTAS"/>
    <w:basedOn w:val="Normal"/>
    <w:uiPriority w:val="99"/>
    <w:rsid w:val="00E9602C"/>
    <w:pPr>
      <w:snapToGrid w:val="0"/>
      <w:spacing w:after="0" w:line="280" w:lineRule="exact"/>
      <w:ind w:right="-101"/>
      <w:jc w:val="both"/>
    </w:pPr>
    <w:rPr>
      <w:rFonts w:ascii="HelveticaLT" w:hAnsi="HelveticaLT"/>
      <w:b/>
      <w:bCs/>
      <w:color w:val="000000"/>
      <w:sz w:val="20"/>
      <w:szCs w:val="20"/>
      <w:lang w:val="lt-LT"/>
    </w:rPr>
  </w:style>
  <w:style w:type="paragraph" w:customStyle="1" w:styleId="TableContents">
    <w:name w:val="Table Contents"/>
    <w:basedOn w:val="Normal"/>
    <w:uiPriority w:val="99"/>
    <w:rsid w:val="00E9602C"/>
    <w:pPr>
      <w:widowControl w:val="0"/>
      <w:suppressLineNumbers/>
      <w:suppressAutoHyphens/>
      <w:spacing w:after="0" w:line="240" w:lineRule="auto"/>
    </w:pPr>
    <w:rPr>
      <w:rFonts w:ascii="Times New Roman" w:hAnsi="Times New Roman" w:cs="Tahoma"/>
      <w:sz w:val="24"/>
      <w:szCs w:val="24"/>
      <w:lang w:val="lt-LT" w:eastAsia="lt-LT"/>
    </w:rPr>
  </w:style>
  <w:style w:type="character" w:customStyle="1" w:styleId="suitecelltext">
    <w:name w:val="suitecelltext"/>
    <w:basedOn w:val="DefaultParagraphFont"/>
    <w:uiPriority w:val="99"/>
    <w:rsid w:val="00E9602C"/>
    <w:rPr>
      <w:rFonts w:cs="Times New Roman"/>
    </w:rPr>
  </w:style>
  <w:style w:type="paragraph" w:customStyle="1" w:styleId="Point1">
    <w:name w:val="Point 1"/>
    <w:basedOn w:val="Normal"/>
    <w:uiPriority w:val="99"/>
    <w:rsid w:val="00E9602C"/>
    <w:pPr>
      <w:spacing w:before="120" w:after="120" w:line="240" w:lineRule="auto"/>
      <w:ind w:left="1418" w:hanging="567"/>
      <w:jc w:val="both"/>
    </w:pPr>
    <w:rPr>
      <w:rFonts w:ascii="Times New Roman" w:hAnsi="Times New Roman"/>
      <w:sz w:val="24"/>
      <w:szCs w:val="20"/>
      <w:lang w:val="en-GB" w:eastAsia="fr-BE"/>
    </w:rPr>
  </w:style>
  <w:style w:type="character" w:customStyle="1" w:styleId="Typewriter0">
    <w:name w:val="Typewriter"/>
    <w:uiPriority w:val="99"/>
    <w:rsid w:val="00E9602C"/>
    <w:rPr>
      <w:color w:val="000000"/>
    </w:rPr>
  </w:style>
  <w:style w:type="paragraph" w:customStyle="1" w:styleId="CharChar1DiagramaDiagramaCharCharDiagramaDiagramaCharCharDiagramaDiagramaDiagrama">
    <w:name w:val="Char Char1 Diagrama Diagrama Char Char Diagrama Diagrama Char Char Diagrama Diagrama Diagrama"/>
    <w:basedOn w:val="Normal"/>
    <w:uiPriority w:val="99"/>
    <w:rsid w:val="00E9602C"/>
    <w:pPr>
      <w:spacing w:after="160" w:line="240" w:lineRule="exact"/>
    </w:pPr>
    <w:rPr>
      <w:rFonts w:ascii="Tahoma" w:hAnsi="Tahoma"/>
      <w:sz w:val="20"/>
      <w:szCs w:val="20"/>
      <w:lang w:val="en-US"/>
    </w:rPr>
  </w:style>
  <w:style w:type="paragraph" w:customStyle="1" w:styleId="DiagramaDiagramaCharChar">
    <w:name w:val="Diagrama Diagrama Char Char"/>
    <w:basedOn w:val="Normal"/>
    <w:uiPriority w:val="99"/>
    <w:rsid w:val="00E9602C"/>
    <w:pPr>
      <w:spacing w:after="160" w:line="240" w:lineRule="exact"/>
    </w:pPr>
    <w:rPr>
      <w:rFonts w:ascii="Tahoma" w:hAnsi="Tahoma"/>
      <w:sz w:val="20"/>
      <w:szCs w:val="20"/>
      <w:lang w:val="en-US"/>
    </w:rPr>
  </w:style>
  <w:style w:type="paragraph" w:customStyle="1" w:styleId="Char">
    <w:name w:val="Char"/>
    <w:basedOn w:val="Normal"/>
    <w:uiPriority w:val="99"/>
    <w:rsid w:val="00E9602C"/>
    <w:pPr>
      <w:spacing w:after="160" w:line="240" w:lineRule="exact"/>
    </w:pPr>
    <w:rPr>
      <w:rFonts w:ascii="Tahoma" w:hAnsi="Tahoma"/>
      <w:sz w:val="20"/>
      <w:szCs w:val="20"/>
      <w:lang w:val="en-US"/>
    </w:rPr>
  </w:style>
  <w:style w:type="paragraph" w:customStyle="1" w:styleId="CharChar2DiagramaDiagramaCharCharDiagramaDiagramaCharChar">
    <w:name w:val="Char Char2 Diagrama Diagrama Char Char Diagrama Diagrama Char Char"/>
    <w:basedOn w:val="Normal"/>
    <w:uiPriority w:val="99"/>
    <w:rsid w:val="00E9602C"/>
    <w:pPr>
      <w:spacing w:after="160" w:line="240" w:lineRule="exact"/>
    </w:pPr>
    <w:rPr>
      <w:rFonts w:ascii="Tahoma" w:hAnsi="Tahoma"/>
      <w:sz w:val="20"/>
      <w:szCs w:val="20"/>
      <w:lang w:val="en-US"/>
    </w:rPr>
  </w:style>
  <w:style w:type="paragraph" w:customStyle="1" w:styleId="CharChar1DiagramaDiagramaCharChar">
    <w:name w:val="Char Char1 Diagrama Diagrama Char Char"/>
    <w:basedOn w:val="Normal"/>
    <w:uiPriority w:val="99"/>
    <w:rsid w:val="00E9602C"/>
    <w:pPr>
      <w:spacing w:after="160" w:line="240" w:lineRule="exact"/>
    </w:pPr>
    <w:rPr>
      <w:rFonts w:ascii="Tahoma" w:hAnsi="Tahoma"/>
      <w:sz w:val="20"/>
      <w:szCs w:val="20"/>
      <w:lang w:val="en-US"/>
    </w:rPr>
  </w:style>
  <w:style w:type="paragraph" w:customStyle="1" w:styleId="CharChar1DiagramaDiagramaCharCharDiagramaDiagramaCharCharDiagramaDiagrama">
    <w:name w:val="Char Char1 Diagrama Diagrama Char Char Diagrama Diagrama Char Char Diagrama Diagrama"/>
    <w:basedOn w:val="Normal"/>
    <w:uiPriority w:val="99"/>
    <w:rsid w:val="00E9602C"/>
    <w:pPr>
      <w:spacing w:after="160" w:line="240" w:lineRule="exact"/>
    </w:pPr>
    <w:rPr>
      <w:rFonts w:ascii="Tahoma" w:hAnsi="Tahoma"/>
      <w:sz w:val="20"/>
      <w:szCs w:val="20"/>
      <w:lang w:val="en-US"/>
    </w:rPr>
  </w:style>
  <w:style w:type="paragraph" w:customStyle="1" w:styleId="Annexetitreacte">
    <w:name w:val="Annexe titre (acte)"/>
    <w:basedOn w:val="Normal"/>
    <w:next w:val="Normal"/>
    <w:uiPriority w:val="99"/>
    <w:rsid w:val="00E9602C"/>
    <w:pPr>
      <w:spacing w:before="120" w:after="120" w:line="240" w:lineRule="auto"/>
      <w:jc w:val="center"/>
    </w:pPr>
    <w:rPr>
      <w:rFonts w:ascii="Times New Roman" w:hAnsi="Times New Roman"/>
      <w:b/>
      <w:sz w:val="24"/>
      <w:szCs w:val="20"/>
      <w:u w:val="single"/>
      <w:lang w:val="en-GB" w:eastAsia="zh-CN"/>
    </w:rPr>
  </w:style>
  <w:style w:type="paragraph" w:customStyle="1" w:styleId="Diagrama1Char">
    <w:name w:val="Diagrama1 Char"/>
    <w:basedOn w:val="Normal"/>
    <w:uiPriority w:val="99"/>
    <w:rsid w:val="00E9602C"/>
    <w:pPr>
      <w:spacing w:after="160" w:line="240" w:lineRule="exact"/>
    </w:pPr>
    <w:rPr>
      <w:rFonts w:ascii="Tahoma" w:hAnsi="Tahoma"/>
      <w:sz w:val="20"/>
      <w:szCs w:val="20"/>
      <w:lang w:val="en-US"/>
    </w:rPr>
  </w:style>
  <w:style w:type="paragraph" w:customStyle="1" w:styleId="HEADING---Level1">
    <w:name w:val="HEADING --- Level 1"/>
    <w:basedOn w:val="Normal"/>
    <w:link w:val="HEADING---Level1Char"/>
    <w:autoRedefine/>
    <w:uiPriority w:val="99"/>
    <w:rsid w:val="00412D98"/>
    <w:pPr>
      <w:keepNext/>
      <w:keepLines/>
      <w:spacing w:after="0" w:line="240" w:lineRule="auto"/>
    </w:pPr>
    <w:rPr>
      <w:rFonts w:ascii="Arial" w:hAnsi="Arial"/>
      <w:b/>
      <w:bCs/>
      <w:caps/>
      <w:color w:val="000000"/>
      <w:sz w:val="28"/>
      <w:szCs w:val="24"/>
      <w:lang w:val="lt-LT"/>
    </w:rPr>
  </w:style>
  <w:style w:type="paragraph" w:customStyle="1" w:styleId="EntLogo">
    <w:name w:val="EntLogo"/>
    <w:basedOn w:val="Normal"/>
    <w:next w:val="Normal"/>
    <w:uiPriority w:val="99"/>
    <w:rsid w:val="00E9602C"/>
    <w:pPr>
      <w:widowControl w:val="0"/>
      <w:spacing w:after="0" w:line="360" w:lineRule="auto"/>
    </w:pPr>
    <w:rPr>
      <w:rFonts w:ascii="Times New Roman" w:hAnsi="Times New Roman"/>
      <w:b/>
      <w:sz w:val="24"/>
      <w:szCs w:val="20"/>
      <w:lang w:val="lt-LT" w:eastAsia="fr-BE"/>
    </w:rPr>
  </w:style>
  <w:style w:type="paragraph" w:customStyle="1" w:styleId="CharChar1DiagramaDiagramaCharCharDiagramaDiagramaCharCharDiagramaCharChar">
    <w:name w:val="Char Char1 Diagrama Diagrama Char Char Diagrama Diagrama Char Char Diagrama Char Char"/>
    <w:basedOn w:val="Normal"/>
    <w:uiPriority w:val="99"/>
    <w:rsid w:val="00E9602C"/>
    <w:pPr>
      <w:spacing w:after="160" w:line="240" w:lineRule="exact"/>
    </w:pPr>
    <w:rPr>
      <w:rFonts w:ascii="Tahoma" w:hAnsi="Tahoma"/>
      <w:sz w:val="20"/>
      <w:szCs w:val="20"/>
      <w:lang w:val="en-US"/>
    </w:rPr>
  </w:style>
  <w:style w:type="paragraph" w:customStyle="1" w:styleId="CharChar1DiagramaDiagramaCharCharDiagramaDiagramaCharCharDiagramaCharDiagramaDiagrama">
    <w:name w:val="Char Char1 Diagrama Diagrama Char Char Diagrama Diagrama Char Char Diagrama Char Diagrama Diagrama"/>
    <w:basedOn w:val="Normal"/>
    <w:uiPriority w:val="99"/>
    <w:rsid w:val="00E9602C"/>
    <w:pPr>
      <w:spacing w:after="160" w:line="240" w:lineRule="exact"/>
    </w:pPr>
    <w:rPr>
      <w:rFonts w:ascii="Tahoma" w:hAnsi="Tahoma"/>
      <w:sz w:val="20"/>
      <w:szCs w:val="20"/>
      <w:lang w:val="en-US"/>
    </w:rPr>
  </w:style>
  <w:style w:type="paragraph" w:customStyle="1" w:styleId="CharChar">
    <w:name w:val="Char Char"/>
    <w:basedOn w:val="Normal"/>
    <w:link w:val="CharCharChar"/>
    <w:uiPriority w:val="99"/>
    <w:rsid w:val="00E9602C"/>
    <w:pPr>
      <w:spacing w:after="160" w:line="240" w:lineRule="exact"/>
    </w:pPr>
    <w:rPr>
      <w:rFonts w:ascii="Tahoma" w:hAnsi="Tahoma"/>
      <w:sz w:val="20"/>
      <w:szCs w:val="20"/>
      <w:lang w:val="en-US"/>
    </w:rPr>
  </w:style>
  <w:style w:type="character" w:customStyle="1" w:styleId="CharCharChar">
    <w:name w:val="Char Char Char"/>
    <w:link w:val="CharChar"/>
    <w:uiPriority w:val="99"/>
    <w:locked/>
    <w:rsid w:val="00E9602C"/>
    <w:rPr>
      <w:rFonts w:ascii="Tahoma" w:hAnsi="Tahoma"/>
      <w:sz w:val="20"/>
      <w:lang w:val="en-US"/>
    </w:rPr>
  </w:style>
  <w:style w:type="paragraph" w:customStyle="1" w:styleId="CharChar1DiagramaDiagramaCharCharDiagramaDiagramaCharCharDiagramaDiagramaDiagramaCharChar">
    <w:name w:val="Char Char1 Diagrama Diagrama Char Char Diagrama Diagrama Char Char Diagrama Diagrama Diagrama Char Char"/>
    <w:basedOn w:val="Normal"/>
    <w:uiPriority w:val="99"/>
    <w:rsid w:val="00E9602C"/>
    <w:pPr>
      <w:spacing w:after="160" w:line="240" w:lineRule="exact"/>
    </w:pPr>
    <w:rPr>
      <w:rFonts w:ascii="Tahoma" w:hAnsi="Tahoma"/>
      <w:sz w:val="20"/>
      <w:szCs w:val="20"/>
      <w:lang w:val="en-US"/>
    </w:rPr>
  </w:style>
  <w:style w:type="character" w:customStyle="1" w:styleId="mtextnormalus111">
    <w:name w:val="m_text_normalus111"/>
    <w:uiPriority w:val="99"/>
    <w:rsid w:val="00E9602C"/>
    <w:rPr>
      <w:rFonts w:ascii="Tahoma" w:hAnsi="Tahoma"/>
      <w:color w:val="3E5284"/>
      <w:sz w:val="17"/>
    </w:rPr>
  </w:style>
  <w:style w:type="character" w:customStyle="1" w:styleId="rvts14">
    <w:name w:val="rvts14"/>
    <w:uiPriority w:val="99"/>
    <w:rsid w:val="00E9602C"/>
    <w:rPr>
      <w:rFonts w:ascii="Times New Roman" w:hAnsi="Times New Roman"/>
      <w:sz w:val="24"/>
    </w:rPr>
  </w:style>
  <w:style w:type="paragraph" w:customStyle="1" w:styleId="Diagrama">
    <w:name w:val="Diagrama"/>
    <w:basedOn w:val="Normal"/>
    <w:uiPriority w:val="99"/>
    <w:rsid w:val="00E9602C"/>
    <w:pPr>
      <w:spacing w:after="160" w:line="240" w:lineRule="exact"/>
    </w:pPr>
    <w:rPr>
      <w:rFonts w:ascii="Tahoma" w:hAnsi="Tahoma"/>
      <w:sz w:val="20"/>
      <w:szCs w:val="20"/>
      <w:lang w:val="en-US"/>
    </w:rPr>
  </w:style>
  <w:style w:type="paragraph" w:customStyle="1" w:styleId="xl24">
    <w:name w:val="xl24"/>
    <w:basedOn w:val="Normal"/>
    <w:uiPriority w:val="99"/>
    <w:rsid w:val="00E960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val="en-US"/>
    </w:rPr>
  </w:style>
  <w:style w:type="paragraph" w:customStyle="1" w:styleId="xl25">
    <w:name w:val="xl25"/>
    <w:basedOn w:val="Normal"/>
    <w:uiPriority w:val="99"/>
    <w:rsid w:val="00E960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26">
    <w:name w:val="xl26"/>
    <w:basedOn w:val="Normal"/>
    <w:uiPriority w:val="99"/>
    <w:rsid w:val="00E960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b/>
      <w:bCs/>
      <w:sz w:val="24"/>
      <w:szCs w:val="24"/>
      <w:lang w:val="en-US"/>
    </w:rPr>
  </w:style>
  <w:style w:type="paragraph" w:customStyle="1" w:styleId="xl27">
    <w:name w:val="xl27"/>
    <w:basedOn w:val="Normal"/>
    <w:uiPriority w:val="99"/>
    <w:rsid w:val="00E960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28">
    <w:name w:val="xl28"/>
    <w:basedOn w:val="Normal"/>
    <w:uiPriority w:val="99"/>
    <w:rsid w:val="00E960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hAnsi="Arial Unicode MS" w:cs="Arial Unicode MS"/>
      <w:sz w:val="24"/>
      <w:szCs w:val="24"/>
      <w:lang w:val="en-US"/>
    </w:rPr>
  </w:style>
  <w:style w:type="paragraph" w:customStyle="1" w:styleId="xl29">
    <w:name w:val="xl29"/>
    <w:basedOn w:val="Normal"/>
    <w:uiPriority w:val="99"/>
    <w:rsid w:val="00E960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30">
    <w:name w:val="xl30"/>
    <w:basedOn w:val="Normal"/>
    <w:uiPriority w:val="99"/>
    <w:rsid w:val="00E960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31">
    <w:name w:val="xl31"/>
    <w:basedOn w:val="Normal"/>
    <w:uiPriority w:val="99"/>
    <w:rsid w:val="00E960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val="en-US"/>
    </w:rPr>
  </w:style>
  <w:style w:type="paragraph" w:customStyle="1" w:styleId="xl32">
    <w:name w:val="xl32"/>
    <w:basedOn w:val="Normal"/>
    <w:uiPriority w:val="99"/>
    <w:rsid w:val="00E960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33">
    <w:name w:val="xl33"/>
    <w:basedOn w:val="Normal"/>
    <w:uiPriority w:val="99"/>
    <w:rsid w:val="00E960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34">
    <w:name w:val="xl34"/>
    <w:basedOn w:val="Normal"/>
    <w:uiPriority w:val="99"/>
    <w:rsid w:val="00E9602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both"/>
    </w:pPr>
    <w:rPr>
      <w:rFonts w:ascii="Times New Roman" w:hAnsi="Times New Roman"/>
      <w:sz w:val="24"/>
      <w:szCs w:val="24"/>
      <w:lang w:val="en-US"/>
    </w:rPr>
  </w:style>
  <w:style w:type="paragraph" w:customStyle="1" w:styleId="xl35">
    <w:name w:val="xl35"/>
    <w:basedOn w:val="Normal"/>
    <w:uiPriority w:val="99"/>
    <w:rsid w:val="00E9602C"/>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lang w:val="en-US"/>
    </w:rPr>
  </w:style>
  <w:style w:type="paragraph" w:customStyle="1" w:styleId="xl36">
    <w:name w:val="xl36"/>
    <w:basedOn w:val="Normal"/>
    <w:uiPriority w:val="99"/>
    <w:rsid w:val="00E9602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both"/>
    </w:pPr>
    <w:rPr>
      <w:rFonts w:ascii="Times New Roman" w:hAnsi="Times New Roman"/>
      <w:b/>
      <w:bCs/>
      <w:sz w:val="24"/>
      <w:szCs w:val="24"/>
      <w:lang w:val="en-US"/>
    </w:rPr>
  </w:style>
  <w:style w:type="paragraph" w:customStyle="1" w:styleId="xl37">
    <w:name w:val="xl37"/>
    <w:basedOn w:val="Normal"/>
    <w:uiPriority w:val="99"/>
    <w:rsid w:val="00E9602C"/>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38">
    <w:name w:val="xl38"/>
    <w:basedOn w:val="Normal"/>
    <w:uiPriority w:val="99"/>
    <w:rsid w:val="00E9602C"/>
    <w:pPr>
      <w:pBdr>
        <w:left w:val="single" w:sz="4" w:space="0" w:color="auto"/>
        <w:bottom w:val="single" w:sz="4" w:space="0" w:color="auto"/>
        <w:right w:val="single" w:sz="4" w:space="0" w:color="auto"/>
      </w:pBdr>
      <w:spacing w:before="100" w:beforeAutospacing="1" w:after="100" w:afterAutospacing="1" w:line="240" w:lineRule="auto"/>
    </w:pPr>
    <w:rPr>
      <w:rFonts w:ascii="Arial Unicode MS" w:hAnsi="Arial Unicode MS" w:cs="Arial Unicode MS"/>
      <w:sz w:val="24"/>
      <w:szCs w:val="24"/>
      <w:lang w:val="en-US"/>
    </w:rPr>
  </w:style>
  <w:style w:type="paragraph" w:customStyle="1" w:styleId="xl39">
    <w:name w:val="xl39"/>
    <w:basedOn w:val="Normal"/>
    <w:uiPriority w:val="99"/>
    <w:rsid w:val="00E9602C"/>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40">
    <w:name w:val="xl40"/>
    <w:basedOn w:val="Normal"/>
    <w:uiPriority w:val="99"/>
    <w:rsid w:val="00E9602C"/>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hAnsi="Times New Roman"/>
      <w:sz w:val="24"/>
      <w:szCs w:val="24"/>
      <w:lang w:val="en-US"/>
    </w:rPr>
  </w:style>
  <w:style w:type="paragraph" w:customStyle="1" w:styleId="xl41">
    <w:name w:val="xl41"/>
    <w:basedOn w:val="Normal"/>
    <w:uiPriority w:val="99"/>
    <w:rsid w:val="00E9602C"/>
    <w:pPr>
      <w:pBdr>
        <w:left w:val="single" w:sz="4" w:space="0" w:color="auto"/>
        <w:bottom w:val="single" w:sz="4" w:space="0" w:color="auto"/>
        <w:right w:val="single" w:sz="4" w:space="0" w:color="auto"/>
      </w:pBdr>
      <w:spacing w:before="100" w:beforeAutospacing="1" w:after="100" w:afterAutospacing="1" w:line="240" w:lineRule="auto"/>
      <w:jc w:val="both"/>
    </w:pPr>
    <w:rPr>
      <w:rFonts w:ascii="Arial Unicode MS" w:hAnsi="Arial Unicode MS" w:cs="Arial Unicode MS"/>
      <w:sz w:val="24"/>
      <w:szCs w:val="24"/>
      <w:lang w:val="en-US"/>
    </w:rPr>
  </w:style>
  <w:style w:type="paragraph" w:customStyle="1" w:styleId="xl42">
    <w:name w:val="xl42"/>
    <w:basedOn w:val="Normal"/>
    <w:uiPriority w:val="99"/>
    <w:rsid w:val="00E9602C"/>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43">
    <w:name w:val="xl43"/>
    <w:basedOn w:val="Normal"/>
    <w:uiPriority w:val="99"/>
    <w:rsid w:val="00E9602C"/>
    <w:pPr>
      <w:spacing w:before="100" w:beforeAutospacing="1" w:after="100" w:afterAutospacing="1" w:line="240" w:lineRule="auto"/>
      <w:jc w:val="right"/>
    </w:pPr>
    <w:rPr>
      <w:rFonts w:ascii="Arial Unicode MS" w:hAnsi="Arial Unicode MS" w:cs="Arial Unicode MS"/>
      <w:sz w:val="24"/>
      <w:szCs w:val="24"/>
      <w:lang w:val="en-US"/>
    </w:rPr>
  </w:style>
  <w:style w:type="paragraph" w:customStyle="1" w:styleId="CharChar1DiagramaDiagramaCharCharDiagramaDiagramaCharCharDiagramaDiagramaDiagramaDiagramaCharChar">
    <w:name w:val="Char Char1 Diagrama Diagrama Char Char Diagrama Diagrama Char Char Diagrama Diagrama Diagrama Diagrama Char Char"/>
    <w:basedOn w:val="Normal"/>
    <w:uiPriority w:val="99"/>
    <w:rsid w:val="00E9602C"/>
    <w:pPr>
      <w:spacing w:after="160" w:line="240" w:lineRule="exact"/>
    </w:pPr>
    <w:rPr>
      <w:rFonts w:ascii="Tahoma" w:hAnsi="Tahoma"/>
      <w:sz w:val="20"/>
      <w:szCs w:val="20"/>
      <w:lang w:val="en-US"/>
    </w:rPr>
  </w:style>
  <w:style w:type="paragraph" w:customStyle="1" w:styleId="CharChar1DiagramaDiagramaCharCharDiagramaDiagramaCharCharDiagramaCharChar1">
    <w:name w:val="Char Char1 Diagrama Diagrama Char Char Diagrama Diagrama Char Char Diagrama Char Char1"/>
    <w:basedOn w:val="Normal"/>
    <w:uiPriority w:val="99"/>
    <w:rsid w:val="00E9602C"/>
    <w:pPr>
      <w:spacing w:after="160" w:line="240" w:lineRule="exact"/>
    </w:pPr>
    <w:rPr>
      <w:rFonts w:ascii="Tahoma" w:hAnsi="Tahoma"/>
      <w:sz w:val="20"/>
      <w:szCs w:val="20"/>
      <w:lang w:val="en-US"/>
    </w:rPr>
  </w:style>
  <w:style w:type="paragraph" w:customStyle="1" w:styleId="CharChar1">
    <w:name w:val="Char Char1"/>
    <w:basedOn w:val="Normal"/>
    <w:uiPriority w:val="99"/>
    <w:rsid w:val="00E9602C"/>
    <w:pPr>
      <w:spacing w:after="160" w:line="240" w:lineRule="exact"/>
    </w:pPr>
    <w:rPr>
      <w:rFonts w:ascii="Tahoma" w:hAnsi="Tahoma"/>
      <w:sz w:val="20"/>
      <w:szCs w:val="20"/>
      <w:lang w:val="en-US"/>
    </w:rPr>
  </w:style>
  <w:style w:type="paragraph" w:customStyle="1" w:styleId="CharChar1DiagramaDiagramaCharCharDiagramaDiagramaCharCharDiagramaDiagramaDiagramaDiagramaCharCharDiagramaDiagramaCharChar">
    <w:name w:val="Char Char1 Diagrama Diagrama Char Char Diagrama Diagrama Char Char Diagrama Diagrama Diagrama Diagrama Char Char Diagrama Diagrama Char Char"/>
    <w:basedOn w:val="Normal"/>
    <w:uiPriority w:val="99"/>
    <w:rsid w:val="00E9602C"/>
    <w:pPr>
      <w:spacing w:after="160" w:line="240" w:lineRule="exact"/>
    </w:pPr>
    <w:rPr>
      <w:rFonts w:ascii="Tahoma" w:hAnsi="Tahoma"/>
      <w:sz w:val="20"/>
      <w:szCs w:val="20"/>
      <w:lang w:val="en-US"/>
    </w:rPr>
  </w:style>
  <w:style w:type="paragraph" w:customStyle="1" w:styleId="CharChar1DiagramaDiagramaCharCharDiagramaDiagramaCharCharDiagramaDiagramaDiagramaDiagramaCharChar1">
    <w:name w:val="Char Char1 Diagrama Diagrama Char Char Diagrama Diagrama Char Char Diagrama Diagrama Diagrama Diagrama Char Char1"/>
    <w:basedOn w:val="Normal"/>
    <w:uiPriority w:val="99"/>
    <w:rsid w:val="00E9602C"/>
    <w:pPr>
      <w:spacing w:after="160" w:line="240" w:lineRule="exact"/>
    </w:pPr>
    <w:rPr>
      <w:rFonts w:ascii="Tahoma" w:hAnsi="Tahoma"/>
      <w:sz w:val="20"/>
      <w:szCs w:val="20"/>
      <w:lang w:val="en-US"/>
    </w:rPr>
  </w:style>
  <w:style w:type="paragraph" w:customStyle="1" w:styleId="Quotations">
    <w:name w:val="Quotations"/>
    <w:basedOn w:val="Normal"/>
    <w:uiPriority w:val="99"/>
    <w:rsid w:val="00E9602C"/>
    <w:pPr>
      <w:suppressAutoHyphens/>
      <w:spacing w:after="283" w:line="240" w:lineRule="auto"/>
      <w:ind w:left="567" w:right="567"/>
    </w:pPr>
    <w:rPr>
      <w:rFonts w:ascii="Times New Roman" w:hAnsi="Times New Roman"/>
      <w:sz w:val="24"/>
      <w:szCs w:val="24"/>
      <w:lang w:val="lt-LT" w:eastAsia="ar-SA"/>
    </w:rPr>
  </w:style>
  <w:style w:type="character" w:customStyle="1" w:styleId="INS">
    <w:name w:val="INS"/>
    <w:uiPriority w:val="99"/>
    <w:rsid w:val="00E9602C"/>
  </w:style>
  <w:style w:type="paragraph" w:customStyle="1" w:styleId="CharChar1DiagramaDiagramaCharCharDiagramaDiagramaCharCharDiagramaCharChar2">
    <w:name w:val="Char Char1 Diagrama Diagrama Char Char Diagrama Diagrama Char Char Diagrama Char Char2"/>
    <w:basedOn w:val="Normal"/>
    <w:uiPriority w:val="99"/>
    <w:rsid w:val="00E9602C"/>
    <w:pPr>
      <w:spacing w:after="160" w:line="240" w:lineRule="exact"/>
    </w:pPr>
    <w:rPr>
      <w:rFonts w:ascii="Tahoma" w:hAnsi="Tahoma"/>
      <w:sz w:val="20"/>
      <w:szCs w:val="20"/>
      <w:lang w:val="en-US"/>
    </w:rPr>
  </w:style>
  <w:style w:type="paragraph" w:customStyle="1" w:styleId="Pagrindinistekstas31">
    <w:name w:val="Pagrindinis tekstas 31"/>
    <w:basedOn w:val="Normal"/>
    <w:uiPriority w:val="99"/>
    <w:rsid w:val="00E9602C"/>
    <w:pPr>
      <w:suppressAutoHyphens/>
      <w:spacing w:before="120" w:after="0" w:line="240" w:lineRule="auto"/>
      <w:jc w:val="center"/>
    </w:pPr>
    <w:rPr>
      <w:rFonts w:ascii="Times New Roman" w:hAnsi="Times New Roman"/>
      <w:bCs/>
      <w:sz w:val="24"/>
      <w:szCs w:val="24"/>
      <w:lang w:val="lt-LT" w:eastAsia="ar-SA"/>
    </w:rPr>
  </w:style>
  <w:style w:type="paragraph" w:styleId="HTMLPreformatted">
    <w:name w:val="HTML Preformatted"/>
    <w:basedOn w:val="Normal"/>
    <w:link w:val="HTMLPreformattedChar"/>
    <w:uiPriority w:val="99"/>
    <w:rsid w:val="00E96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en-US"/>
    </w:rPr>
  </w:style>
  <w:style w:type="character" w:customStyle="1" w:styleId="HTMLPreformattedChar">
    <w:name w:val="HTML Preformatted Char"/>
    <w:basedOn w:val="DefaultParagraphFont"/>
    <w:link w:val="HTMLPreformatted"/>
    <w:uiPriority w:val="99"/>
    <w:locked/>
    <w:rsid w:val="00E9602C"/>
    <w:rPr>
      <w:rFonts w:ascii="Courier New" w:hAnsi="Courier New" w:cs="Times New Roman"/>
      <w:sz w:val="20"/>
      <w:szCs w:val="20"/>
      <w:lang w:val="en-US"/>
    </w:rPr>
  </w:style>
  <w:style w:type="paragraph" w:customStyle="1" w:styleId="CharChar1DiagramaDiagramaCharCharDiagramaDiagramaCharCharDiagramaCharChar3">
    <w:name w:val="Char Char1 Diagrama Diagrama Char Char Diagrama Diagrama Char Char Diagrama Char Char3"/>
    <w:basedOn w:val="Normal"/>
    <w:uiPriority w:val="99"/>
    <w:rsid w:val="00E9602C"/>
    <w:pPr>
      <w:spacing w:after="160" w:line="240" w:lineRule="exact"/>
    </w:pPr>
    <w:rPr>
      <w:rFonts w:ascii="Tahoma" w:hAnsi="Tahoma"/>
      <w:sz w:val="20"/>
      <w:szCs w:val="20"/>
      <w:lang w:val="en-US"/>
    </w:rPr>
  </w:style>
  <w:style w:type="paragraph" w:customStyle="1" w:styleId="CharChar2DiagramaDiagrama">
    <w:name w:val="Char Char2 Diagrama Diagrama"/>
    <w:basedOn w:val="Normal"/>
    <w:uiPriority w:val="99"/>
    <w:rsid w:val="00E9602C"/>
    <w:pPr>
      <w:spacing w:after="160" w:line="240" w:lineRule="exact"/>
    </w:pPr>
    <w:rPr>
      <w:rFonts w:ascii="Tahoma" w:hAnsi="Tahoma"/>
      <w:sz w:val="20"/>
      <w:szCs w:val="20"/>
      <w:lang w:val="en-US"/>
    </w:rPr>
  </w:style>
  <w:style w:type="paragraph" w:customStyle="1" w:styleId="DiagramaDiagramaCharCharDiagramaCharCharDiagrama1CharCharDiagramaDiagramaDiagrama1">
    <w:name w:val="Diagrama Diagrama Char Char Diagrama Char Char Diagrama1 Char Char Diagrama Diagrama Diagrama1"/>
    <w:basedOn w:val="Normal"/>
    <w:uiPriority w:val="99"/>
    <w:rsid w:val="00E9602C"/>
    <w:pPr>
      <w:spacing w:after="160" w:line="240" w:lineRule="exact"/>
    </w:pPr>
    <w:rPr>
      <w:rFonts w:ascii="Tahoma" w:hAnsi="Tahoma"/>
      <w:sz w:val="20"/>
      <w:szCs w:val="20"/>
      <w:lang w:val="en-US"/>
    </w:rPr>
  </w:style>
  <w:style w:type="paragraph" w:customStyle="1" w:styleId="CharChar1DiagramaDiagramaCharCharDiagramaDiagramaCharCharDiagramaCharChar4DiagramaDiagramaDiagrama1">
    <w:name w:val="Char Char1 Diagrama Diagrama Char Char Diagrama Diagrama Char Char Diagrama Char Char4 Diagrama Diagrama Diagrama1"/>
    <w:basedOn w:val="Normal"/>
    <w:uiPriority w:val="99"/>
    <w:rsid w:val="00E9602C"/>
    <w:pPr>
      <w:spacing w:after="160" w:line="240" w:lineRule="exact"/>
    </w:pPr>
    <w:rPr>
      <w:rFonts w:ascii="Tahoma" w:hAnsi="Tahoma"/>
      <w:sz w:val="20"/>
      <w:szCs w:val="20"/>
      <w:lang w:val="en-US"/>
    </w:rPr>
  </w:style>
  <w:style w:type="paragraph" w:customStyle="1" w:styleId="Diagrama1DiagramaDiagrama1">
    <w:name w:val="Diagrama1 Diagrama Diagrama1"/>
    <w:basedOn w:val="Normal"/>
    <w:uiPriority w:val="99"/>
    <w:rsid w:val="00E9602C"/>
    <w:pPr>
      <w:spacing w:after="160" w:line="240" w:lineRule="exact"/>
      <w:ind w:firstLine="720"/>
      <w:jc w:val="both"/>
    </w:pPr>
    <w:rPr>
      <w:rFonts w:ascii="Tahoma" w:hAnsi="Tahoma"/>
      <w:sz w:val="20"/>
      <w:szCs w:val="20"/>
      <w:lang w:val="en-US"/>
    </w:rPr>
  </w:style>
  <w:style w:type="paragraph" w:customStyle="1" w:styleId="Default">
    <w:name w:val="Default"/>
    <w:uiPriority w:val="99"/>
    <w:rsid w:val="00E9602C"/>
    <w:pPr>
      <w:autoSpaceDE w:val="0"/>
      <w:autoSpaceDN w:val="0"/>
      <w:adjustRightInd w:val="0"/>
    </w:pPr>
    <w:rPr>
      <w:rFonts w:ascii="EYInterstate" w:hAnsi="EYInterstate" w:cs="EYInterstate"/>
      <w:color w:val="000000"/>
      <w:sz w:val="24"/>
      <w:szCs w:val="24"/>
      <w:lang w:val="en-US"/>
    </w:rPr>
  </w:style>
  <w:style w:type="paragraph" w:customStyle="1" w:styleId="Lentelestekstas">
    <w:name w:val="Lenteles_tekstas"/>
    <w:basedOn w:val="Normal"/>
    <w:next w:val="CommentText"/>
    <w:uiPriority w:val="99"/>
    <w:rsid w:val="00E9602C"/>
    <w:pPr>
      <w:overflowPunct w:val="0"/>
      <w:autoSpaceDE w:val="0"/>
      <w:autoSpaceDN w:val="0"/>
      <w:adjustRightInd w:val="0"/>
      <w:spacing w:before="60" w:after="0" w:line="240" w:lineRule="atLeast"/>
      <w:jc w:val="both"/>
    </w:pPr>
    <w:rPr>
      <w:rFonts w:ascii="Times New Roman" w:hAnsi="Times New Roman"/>
      <w:noProof/>
      <w:sz w:val="18"/>
      <w:szCs w:val="20"/>
      <w:lang w:val="lt-LT"/>
    </w:rPr>
  </w:style>
  <w:style w:type="character" w:customStyle="1" w:styleId="st">
    <w:name w:val="st"/>
    <w:uiPriority w:val="99"/>
    <w:rsid w:val="00E9602C"/>
  </w:style>
  <w:style w:type="character" w:customStyle="1" w:styleId="xclaimempty">
    <w:name w:val="xclaimempty"/>
    <w:basedOn w:val="DefaultParagraphFont"/>
    <w:uiPriority w:val="99"/>
    <w:rsid w:val="00E9602C"/>
    <w:rPr>
      <w:rFonts w:cs="Times New Roman"/>
    </w:rPr>
  </w:style>
  <w:style w:type="paragraph" w:customStyle="1" w:styleId="NoSpacing1">
    <w:name w:val="No Spacing1"/>
    <w:uiPriority w:val="99"/>
    <w:rsid w:val="00E9602C"/>
    <w:pPr>
      <w:overflowPunct w:val="0"/>
      <w:autoSpaceDE w:val="0"/>
      <w:autoSpaceDN w:val="0"/>
      <w:adjustRightInd w:val="0"/>
      <w:textAlignment w:val="baseline"/>
    </w:pPr>
    <w:rPr>
      <w:rFonts w:ascii="Times New Roman" w:hAnsi="Times New Roman"/>
      <w:sz w:val="24"/>
      <w:szCs w:val="20"/>
      <w:lang w:val="lt-LT" w:eastAsia="ko-KR"/>
    </w:rPr>
  </w:style>
  <w:style w:type="paragraph" w:customStyle="1" w:styleId="msolistparagraph0">
    <w:name w:val="msolistparagraph"/>
    <w:basedOn w:val="Normal"/>
    <w:uiPriority w:val="99"/>
    <w:rsid w:val="00E9602C"/>
    <w:pPr>
      <w:spacing w:after="0" w:line="240" w:lineRule="auto"/>
      <w:ind w:left="720"/>
    </w:pPr>
    <w:rPr>
      <w:rFonts w:ascii="Times New Roman" w:hAnsi="Times New Roman"/>
      <w:color w:val="000066"/>
      <w:sz w:val="24"/>
      <w:szCs w:val="24"/>
    </w:rPr>
  </w:style>
  <w:style w:type="paragraph" w:customStyle="1" w:styleId="CharChar1CharChar">
    <w:name w:val="Char Char1 Char Char"/>
    <w:basedOn w:val="Normal"/>
    <w:uiPriority w:val="99"/>
    <w:rsid w:val="00E9602C"/>
    <w:pPr>
      <w:spacing w:after="160" w:line="240" w:lineRule="exact"/>
    </w:pPr>
    <w:rPr>
      <w:rFonts w:ascii="Tahoma" w:hAnsi="Tahoma"/>
      <w:sz w:val="20"/>
      <w:szCs w:val="20"/>
      <w:lang w:val="en-US"/>
    </w:rPr>
  </w:style>
  <w:style w:type="character" w:customStyle="1" w:styleId="hps">
    <w:name w:val="hps"/>
    <w:basedOn w:val="DefaultParagraphFont"/>
    <w:uiPriority w:val="99"/>
    <w:rsid w:val="00E9602C"/>
    <w:rPr>
      <w:rFonts w:cs="Times New Roman"/>
    </w:rPr>
  </w:style>
  <w:style w:type="character" w:customStyle="1" w:styleId="atn">
    <w:name w:val="atn"/>
    <w:basedOn w:val="DefaultParagraphFont"/>
    <w:uiPriority w:val="99"/>
    <w:rsid w:val="00E9602C"/>
    <w:rPr>
      <w:rFonts w:cs="Times New Roman"/>
    </w:rPr>
  </w:style>
  <w:style w:type="paragraph" w:customStyle="1" w:styleId="Style4">
    <w:name w:val="Style4"/>
    <w:basedOn w:val="CharChar"/>
    <w:link w:val="Style4Char"/>
    <w:uiPriority w:val="99"/>
    <w:rsid w:val="00E9602C"/>
    <w:pPr>
      <w:jc w:val="both"/>
    </w:pPr>
    <w:rPr>
      <w:rFonts w:ascii="Trebuchet MS" w:hAnsi="Trebuchet MS"/>
      <w:b/>
      <w:lang w:val="en-GB"/>
    </w:rPr>
  </w:style>
  <w:style w:type="character" w:customStyle="1" w:styleId="Style4Char">
    <w:name w:val="Style4 Char"/>
    <w:link w:val="Style4"/>
    <w:uiPriority w:val="99"/>
    <w:locked/>
    <w:rsid w:val="00E9602C"/>
    <w:rPr>
      <w:rFonts w:ascii="Trebuchet MS" w:hAnsi="Trebuchet MS"/>
      <w:b/>
      <w:sz w:val="20"/>
      <w:lang w:val="en-GB"/>
    </w:rPr>
  </w:style>
  <w:style w:type="paragraph" w:customStyle="1" w:styleId="result-title">
    <w:name w:val="result-title"/>
    <w:basedOn w:val="Normal"/>
    <w:uiPriority w:val="99"/>
    <w:rsid w:val="00E9602C"/>
    <w:pPr>
      <w:spacing w:before="120" w:after="120" w:line="240" w:lineRule="auto"/>
    </w:pPr>
    <w:rPr>
      <w:rFonts w:ascii="Times New Roman" w:hAnsi="Times New Roman"/>
      <w:sz w:val="24"/>
      <w:szCs w:val="24"/>
      <w:lang w:val="en-US"/>
    </w:rPr>
  </w:style>
  <w:style w:type="character" w:customStyle="1" w:styleId="apple-style-span">
    <w:name w:val="apple-style-span"/>
    <w:basedOn w:val="DefaultParagraphFont"/>
    <w:uiPriority w:val="99"/>
    <w:rsid w:val="00E9602C"/>
    <w:rPr>
      <w:rFonts w:cs="Times New Roman"/>
    </w:rPr>
  </w:style>
  <w:style w:type="paragraph" w:customStyle="1" w:styleId="t-9-8">
    <w:name w:val="t-9-8"/>
    <w:basedOn w:val="Normal"/>
    <w:uiPriority w:val="99"/>
    <w:rsid w:val="00E9602C"/>
    <w:pPr>
      <w:spacing w:before="100" w:beforeAutospacing="1" w:after="100" w:afterAutospacing="1" w:line="240" w:lineRule="auto"/>
    </w:pPr>
    <w:rPr>
      <w:rFonts w:ascii="Times New Roman" w:hAnsi="Times New Roman"/>
      <w:sz w:val="24"/>
      <w:szCs w:val="24"/>
    </w:rPr>
  </w:style>
  <w:style w:type="character" w:customStyle="1" w:styleId="kurziv">
    <w:name w:val="kurziv"/>
    <w:uiPriority w:val="99"/>
    <w:rsid w:val="00E9602C"/>
  </w:style>
  <w:style w:type="character" w:customStyle="1" w:styleId="summarymark">
    <w:name w:val="summarymark"/>
    <w:basedOn w:val="DefaultParagraphFont"/>
    <w:uiPriority w:val="99"/>
    <w:rsid w:val="00E9602C"/>
    <w:rPr>
      <w:rFonts w:cs="Times New Roman"/>
    </w:rPr>
  </w:style>
  <w:style w:type="paragraph" w:customStyle="1" w:styleId="tekst">
    <w:name w:val="tekst"/>
    <w:uiPriority w:val="99"/>
    <w:rsid w:val="00E9602C"/>
    <w:pPr>
      <w:spacing w:after="200" w:line="276" w:lineRule="auto"/>
      <w:jc w:val="both"/>
    </w:pPr>
    <w:rPr>
      <w:rFonts w:ascii="Helvetica" w:eastAsia="ヒラギノ角ゴ Pro W3" w:hAnsi="Helvetica"/>
      <w:color w:val="000000"/>
      <w:szCs w:val="20"/>
      <w:lang w:val="en-US"/>
    </w:rPr>
  </w:style>
  <w:style w:type="paragraph" w:customStyle="1" w:styleId="FootnoteTextAA">
    <w:name w:val="Footnote Text A A"/>
    <w:uiPriority w:val="99"/>
    <w:rsid w:val="00E9602C"/>
    <w:pPr>
      <w:spacing w:after="200" w:line="276" w:lineRule="auto"/>
    </w:pPr>
    <w:rPr>
      <w:rFonts w:ascii="Times New Roman" w:eastAsia="ヒラギノ角ゴ Pro W3" w:hAnsi="Times New Roman"/>
      <w:color w:val="000000"/>
      <w:sz w:val="20"/>
      <w:szCs w:val="20"/>
      <w:lang w:val="en-US"/>
    </w:rPr>
  </w:style>
  <w:style w:type="paragraph" w:customStyle="1" w:styleId="Balkandidetext">
    <w:name w:val="Balkandide_text"/>
    <w:basedOn w:val="Normal"/>
    <w:uiPriority w:val="99"/>
    <w:rsid w:val="00E9602C"/>
    <w:pPr>
      <w:suppressAutoHyphens/>
      <w:spacing w:after="120" w:line="240" w:lineRule="auto"/>
      <w:jc w:val="both"/>
    </w:pPr>
    <w:rPr>
      <w:rFonts w:ascii="Times New Roman" w:hAnsi="Times New Roman"/>
      <w:sz w:val="24"/>
      <w:szCs w:val="24"/>
      <w:lang w:val="en-GB" w:eastAsia="ar-SA"/>
    </w:rPr>
  </w:style>
  <w:style w:type="character" w:customStyle="1" w:styleId="apple-converted-space">
    <w:name w:val="apple-converted-space"/>
    <w:basedOn w:val="DefaultParagraphFont"/>
    <w:uiPriority w:val="99"/>
    <w:rsid w:val="00E9602C"/>
    <w:rPr>
      <w:rFonts w:cs="Times New Roman"/>
    </w:rPr>
  </w:style>
  <w:style w:type="character" w:customStyle="1" w:styleId="st1">
    <w:name w:val="st1"/>
    <w:basedOn w:val="DefaultParagraphFont"/>
    <w:uiPriority w:val="99"/>
    <w:rsid w:val="00E9602C"/>
    <w:rPr>
      <w:rFonts w:cs="Times New Roman"/>
    </w:rPr>
  </w:style>
  <w:style w:type="character" w:customStyle="1" w:styleId="shorttext">
    <w:name w:val="short_text"/>
    <w:basedOn w:val="DefaultParagraphFont"/>
    <w:uiPriority w:val="99"/>
    <w:rsid w:val="00E9602C"/>
    <w:rPr>
      <w:rFonts w:cs="Times New Roman"/>
    </w:rPr>
  </w:style>
  <w:style w:type="table" w:customStyle="1" w:styleId="LightShading-Accent11">
    <w:name w:val="Light Shading - Accent 11"/>
    <w:uiPriority w:val="99"/>
    <w:rsid w:val="005A65F5"/>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ghtList-Accent11">
    <w:name w:val="Light List - Accent 11"/>
    <w:uiPriority w:val="99"/>
    <w:rsid w:val="005D5936"/>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Standard">
    <w:name w:val="Standard"/>
    <w:uiPriority w:val="99"/>
    <w:rsid w:val="005D5936"/>
    <w:pPr>
      <w:suppressAutoHyphens/>
      <w:autoSpaceDN w:val="0"/>
      <w:textAlignment w:val="baseline"/>
    </w:pPr>
    <w:rPr>
      <w:rFonts w:ascii="Times New Roman" w:hAnsi="Times New Roman"/>
      <w:kern w:val="3"/>
      <w:sz w:val="24"/>
      <w:szCs w:val="24"/>
      <w:lang w:eastAsia="zh-CN"/>
    </w:rPr>
  </w:style>
  <w:style w:type="paragraph" w:styleId="TOCHeading">
    <w:name w:val="TOC Heading"/>
    <w:basedOn w:val="Heading1"/>
    <w:next w:val="Normal"/>
    <w:uiPriority w:val="99"/>
    <w:qFormat/>
    <w:rsid w:val="00524D5A"/>
    <w:pPr>
      <w:keepLines/>
      <w:spacing w:before="480" w:after="0" w:line="276" w:lineRule="auto"/>
      <w:outlineLvl w:val="9"/>
    </w:pPr>
    <w:rPr>
      <w:rFonts w:ascii="Cambria" w:hAnsi="Cambria"/>
      <w:color w:val="365F91"/>
      <w:kern w:val="0"/>
      <w:szCs w:val="28"/>
      <w:lang w:val="en-US" w:eastAsia="en-US"/>
    </w:rPr>
  </w:style>
  <w:style w:type="character" w:customStyle="1" w:styleId="HEADING---Level1Char">
    <w:name w:val="HEADING --- Level 1 Char"/>
    <w:basedOn w:val="DefaultParagraphFont"/>
    <w:link w:val="HEADING---Level1"/>
    <w:uiPriority w:val="99"/>
    <w:locked/>
    <w:rsid w:val="00412D98"/>
    <w:rPr>
      <w:rFonts w:ascii="Arial" w:hAnsi="Arial" w:cs="Times New Roman"/>
      <w:b/>
      <w:bCs/>
      <w:caps/>
      <w:snapToGrid w:val="0"/>
      <w:color w:val="000000"/>
      <w:sz w:val="24"/>
      <w:szCs w:val="24"/>
      <w:lang w:val="lt-LT"/>
    </w:rPr>
  </w:style>
  <w:style w:type="character" w:customStyle="1" w:styleId="HEADING---Level2Char">
    <w:name w:val="HEADING --- Level 2 Char"/>
    <w:basedOn w:val="HEADING---Level1Char"/>
    <w:link w:val="HEADING---Level2"/>
    <w:uiPriority w:val="99"/>
    <w:locked/>
    <w:rsid w:val="00412D98"/>
    <w:rPr>
      <w:rFonts w:ascii="Arial" w:hAnsi="Arial" w:cs="Times New Roman"/>
      <w:b/>
      <w:bCs/>
      <w:caps/>
      <w:snapToGrid w:val="0"/>
      <w:color w:val="000000"/>
      <w:sz w:val="24"/>
      <w:szCs w:val="24"/>
      <w:lang w:val="lt-LT"/>
    </w:rPr>
  </w:style>
  <w:style w:type="character" w:customStyle="1" w:styleId="HEADING---Level3Char">
    <w:name w:val="HEADING --- Level 3 Char"/>
    <w:basedOn w:val="HEADING---Level2Char"/>
    <w:link w:val="HEADING---Level3"/>
    <w:uiPriority w:val="99"/>
    <w:locked/>
    <w:rsid w:val="00412D98"/>
    <w:rPr>
      <w:rFonts w:ascii="Arial" w:hAnsi="Arial" w:cs="Times New Roman"/>
      <w:b/>
      <w:bCs/>
      <w:caps/>
      <w:snapToGrid w:val="0"/>
      <w:color w:val="000000"/>
      <w:sz w:val="24"/>
      <w:szCs w:val="24"/>
      <w:lang w:val="lt-LT"/>
    </w:rPr>
  </w:style>
  <w:style w:type="character" w:styleId="IntenseEmphasis">
    <w:name w:val="Intense Emphasis"/>
    <w:basedOn w:val="DefaultParagraphFont"/>
    <w:uiPriority w:val="99"/>
    <w:qFormat/>
    <w:rsid w:val="00412D98"/>
    <w:rPr>
      <w:rFonts w:cs="Times New Roman"/>
      <w:b/>
      <w:bCs/>
      <w:i/>
      <w:iCs/>
      <w:color w:val="4F81BD"/>
    </w:rPr>
  </w:style>
  <w:style w:type="paragraph" w:styleId="IntenseQuote">
    <w:name w:val="Intense Quote"/>
    <w:basedOn w:val="Normal"/>
    <w:next w:val="Normal"/>
    <w:link w:val="IntenseQuoteChar"/>
    <w:uiPriority w:val="99"/>
    <w:qFormat/>
    <w:rsid w:val="00412D98"/>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412D98"/>
    <w:rPr>
      <w:rFonts w:cs="Times New Roman"/>
      <w:b/>
      <w:bCs/>
      <w:i/>
      <w:iCs/>
      <w:color w:val="4F81BD"/>
    </w:rPr>
  </w:style>
  <w:style w:type="character" w:styleId="CommentReference">
    <w:name w:val="annotation reference"/>
    <w:basedOn w:val="DefaultParagraphFont"/>
    <w:uiPriority w:val="99"/>
    <w:semiHidden/>
    <w:rsid w:val="004A51FF"/>
    <w:rPr>
      <w:rFonts w:cs="Times New Roman"/>
      <w:sz w:val="16"/>
      <w:szCs w:val="16"/>
    </w:rPr>
  </w:style>
  <w:style w:type="table" w:customStyle="1" w:styleId="LightShading-Accent111">
    <w:name w:val="Light Shading - Accent 111"/>
    <w:uiPriority w:val="99"/>
    <w:rsid w:val="00923D77"/>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Grid1-Accent1">
    <w:name w:val="Medium Grid 1 Accent 1"/>
    <w:basedOn w:val="TableNormal"/>
    <w:uiPriority w:val="99"/>
    <w:rsid w:val="00923D77"/>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character" w:customStyle="1" w:styleId="Bodytext0">
    <w:name w:val="Body text_"/>
    <w:link w:val="Tijeloteksta7"/>
    <w:uiPriority w:val="99"/>
    <w:locked/>
    <w:rsid w:val="00EA7E32"/>
    <w:rPr>
      <w:rFonts w:ascii="Arial" w:hAnsi="Arial"/>
      <w:spacing w:val="2"/>
      <w:sz w:val="18"/>
      <w:shd w:val="clear" w:color="auto" w:fill="FFFFFF"/>
    </w:rPr>
  </w:style>
  <w:style w:type="character" w:customStyle="1" w:styleId="Tijeloteksta3">
    <w:name w:val="Tijelo teksta3"/>
    <w:uiPriority w:val="99"/>
    <w:rsid w:val="00EA7E32"/>
    <w:rPr>
      <w:rFonts w:ascii="Arial" w:hAnsi="Arial"/>
      <w:color w:val="000000"/>
      <w:spacing w:val="2"/>
      <w:w w:val="100"/>
      <w:position w:val="0"/>
      <w:sz w:val="18"/>
      <w:shd w:val="clear" w:color="auto" w:fill="FFFFFF"/>
      <w:lang w:val="en-US"/>
    </w:rPr>
  </w:style>
  <w:style w:type="paragraph" w:customStyle="1" w:styleId="Tijeloteksta7">
    <w:name w:val="Tijelo teksta7"/>
    <w:basedOn w:val="Normal"/>
    <w:link w:val="Bodytext0"/>
    <w:uiPriority w:val="99"/>
    <w:rsid w:val="00EA7E32"/>
    <w:pPr>
      <w:widowControl w:val="0"/>
      <w:shd w:val="clear" w:color="auto" w:fill="FFFFFF"/>
      <w:spacing w:after="0" w:line="240" w:lineRule="atLeast"/>
      <w:ind w:hanging="360"/>
    </w:pPr>
    <w:rPr>
      <w:rFonts w:ascii="Arial" w:hAnsi="Arial"/>
      <w:spacing w:val="2"/>
      <w:sz w:val="18"/>
      <w:szCs w:val="20"/>
    </w:rPr>
  </w:style>
  <w:style w:type="table" w:customStyle="1" w:styleId="LightList-Accent111">
    <w:name w:val="Light List - Accent 111"/>
    <w:uiPriority w:val="61"/>
    <w:rsid w:val="00DB39D7"/>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
    <w:name w:val="Light List"/>
    <w:basedOn w:val="TableNormal"/>
    <w:uiPriority w:val="99"/>
    <w:rsid w:val="00925F04"/>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99"/>
    <w:rsid w:val="00925F04"/>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MediumShading2-Accent1">
    <w:name w:val="Medium Shading 2 Accent 1"/>
    <w:basedOn w:val="TableNormal"/>
    <w:uiPriority w:val="99"/>
    <w:rsid w:val="00925F04"/>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111">
    <w:name w:val="Light List - Accent 1111"/>
    <w:basedOn w:val="TableNormal"/>
    <w:uiPriority w:val="61"/>
    <w:rsid w:val="00843ED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semiHidden/>
    <w:unhideWhenUsed/>
    <w:locked/>
    <w:rsid w:val="00887D9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87D90"/>
    <w:rPr>
      <w:sz w:val="20"/>
      <w:szCs w:val="20"/>
    </w:rPr>
  </w:style>
  <w:style w:type="character" w:styleId="EndnoteReference">
    <w:name w:val="endnote reference"/>
    <w:basedOn w:val="DefaultParagraphFont"/>
    <w:uiPriority w:val="99"/>
    <w:semiHidden/>
    <w:unhideWhenUsed/>
    <w:locked/>
    <w:rsid w:val="00887D9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040167">
      <w:bodyDiv w:val="1"/>
      <w:marLeft w:val="0"/>
      <w:marRight w:val="0"/>
      <w:marTop w:val="0"/>
      <w:marBottom w:val="0"/>
      <w:divBdr>
        <w:top w:val="none" w:sz="0" w:space="0" w:color="auto"/>
        <w:left w:val="none" w:sz="0" w:space="0" w:color="auto"/>
        <w:bottom w:val="none" w:sz="0" w:space="0" w:color="auto"/>
        <w:right w:val="none" w:sz="0" w:space="0" w:color="auto"/>
      </w:divBdr>
    </w:div>
    <w:div w:id="871694973">
      <w:bodyDiv w:val="1"/>
      <w:marLeft w:val="0"/>
      <w:marRight w:val="0"/>
      <w:marTop w:val="0"/>
      <w:marBottom w:val="0"/>
      <w:divBdr>
        <w:top w:val="none" w:sz="0" w:space="0" w:color="auto"/>
        <w:left w:val="none" w:sz="0" w:space="0" w:color="auto"/>
        <w:bottom w:val="none" w:sz="0" w:space="0" w:color="auto"/>
        <w:right w:val="none" w:sz="0" w:space="0" w:color="auto"/>
      </w:divBdr>
    </w:div>
    <w:div w:id="885025003">
      <w:marLeft w:val="0"/>
      <w:marRight w:val="0"/>
      <w:marTop w:val="0"/>
      <w:marBottom w:val="0"/>
      <w:divBdr>
        <w:top w:val="none" w:sz="0" w:space="0" w:color="auto"/>
        <w:left w:val="none" w:sz="0" w:space="0" w:color="auto"/>
        <w:bottom w:val="none" w:sz="0" w:space="0" w:color="auto"/>
        <w:right w:val="none" w:sz="0" w:space="0" w:color="auto"/>
      </w:divBdr>
      <w:divsChild>
        <w:div w:id="885025024">
          <w:marLeft w:val="547"/>
          <w:marRight w:val="0"/>
          <w:marTop w:val="0"/>
          <w:marBottom w:val="0"/>
          <w:divBdr>
            <w:top w:val="none" w:sz="0" w:space="0" w:color="auto"/>
            <w:left w:val="none" w:sz="0" w:space="0" w:color="auto"/>
            <w:bottom w:val="none" w:sz="0" w:space="0" w:color="auto"/>
            <w:right w:val="none" w:sz="0" w:space="0" w:color="auto"/>
          </w:divBdr>
        </w:div>
      </w:divsChild>
    </w:div>
    <w:div w:id="885025004">
      <w:marLeft w:val="0"/>
      <w:marRight w:val="0"/>
      <w:marTop w:val="0"/>
      <w:marBottom w:val="0"/>
      <w:divBdr>
        <w:top w:val="none" w:sz="0" w:space="0" w:color="auto"/>
        <w:left w:val="none" w:sz="0" w:space="0" w:color="auto"/>
        <w:bottom w:val="none" w:sz="0" w:space="0" w:color="auto"/>
        <w:right w:val="none" w:sz="0" w:space="0" w:color="auto"/>
      </w:divBdr>
      <w:divsChild>
        <w:div w:id="885025016">
          <w:marLeft w:val="0"/>
          <w:marRight w:val="0"/>
          <w:marTop w:val="0"/>
          <w:marBottom w:val="0"/>
          <w:divBdr>
            <w:top w:val="none" w:sz="0" w:space="0" w:color="auto"/>
            <w:left w:val="none" w:sz="0" w:space="0" w:color="auto"/>
            <w:bottom w:val="none" w:sz="0" w:space="0" w:color="auto"/>
            <w:right w:val="none" w:sz="0" w:space="0" w:color="auto"/>
          </w:divBdr>
          <w:divsChild>
            <w:div w:id="885025005">
              <w:marLeft w:val="0"/>
              <w:marRight w:val="0"/>
              <w:marTop w:val="0"/>
              <w:marBottom w:val="0"/>
              <w:divBdr>
                <w:top w:val="none" w:sz="0" w:space="0" w:color="auto"/>
                <w:left w:val="none" w:sz="0" w:space="0" w:color="auto"/>
                <w:bottom w:val="none" w:sz="0" w:space="0" w:color="auto"/>
                <w:right w:val="none" w:sz="0" w:space="0" w:color="auto"/>
              </w:divBdr>
              <w:divsChild>
                <w:div w:id="885025002">
                  <w:marLeft w:val="0"/>
                  <w:marRight w:val="0"/>
                  <w:marTop w:val="0"/>
                  <w:marBottom w:val="0"/>
                  <w:divBdr>
                    <w:top w:val="none" w:sz="0" w:space="0" w:color="auto"/>
                    <w:left w:val="none" w:sz="0" w:space="0" w:color="auto"/>
                    <w:bottom w:val="none" w:sz="0" w:space="0" w:color="auto"/>
                    <w:right w:val="none" w:sz="0" w:space="0" w:color="auto"/>
                  </w:divBdr>
                  <w:divsChild>
                    <w:div w:id="885025021">
                      <w:marLeft w:val="0"/>
                      <w:marRight w:val="0"/>
                      <w:marTop w:val="0"/>
                      <w:marBottom w:val="0"/>
                      <w:divBdr>
                        <w:top w:val="none" w:sz="0" w:space="0" w:color="auto"/>
                        <w:left w:val="none" w:sz="0" w:space="0" w:color="auto"/>
                        <w:bottom w:val="none" w:sz="0" w:space="0" w:color="auto"/>
                        <w:right w:val="none" w:sz="0" w:space="0" w:color="auto"/>
                      </w:divBdr>
                      <w:divsChild>
                        <w:div w:id="8850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025008">
      <w:marLeft w:val="0"/>
      <w:marRight w:val="0"/>
      <w:marTop w:val="0"/>
      <w:marBottom w:val="0"/>
      <w:divBdr>
        <w:top w:val="none" w:sz="0" w:space="0" w:color="auto"/>
        <w:left w:val="none" w:sz="0" w:space="0" w:color="auto"/>
        <w:bottom w:val="none" w:sz="0" w:space="0" w:color="auto"/>
        <w:right w:val="none" w:sz="0" w:space="0" w:color="auto"/>
      </w:divBdr>
    </w:div>
    <w:div w:id="885025009">
      <w:marLeft w:val="0"/>
      <w:marRight w:val="0"/>
      <w:marTop w:val="0"/>
      <w:marBottom w:val="0"/>
      <w:divBdr>
        <w:top w:val="none" w:sz="0" w:space="0" w:color="auto"/>
        <w:left w:val="none" w:sz="0" w:space="0" w:color="auto"/>
        <w:bottom w:val="none" w:sz="0" w:space="0" w:color="auto"/>
        <w:right w:val="none" w:sz="0" w:space="0" w:color="auto"/>
      </w:divBdr>
    </w:div>
    <w:div w:id="885025010">
      <w:marLeft w:val="0"/>
      <w:marRight w:val="0"/>
      <w:marTop w:val="0"/>
      <w:marBottom w:val="0"/>
      <w:divBdr>
        <w:top w:val="none" w:sz="0" w:space="0" w:color="auto"/>
        <w:left w:val="none" w:sz="0" w:space="0" w:color="auto"/>
        <w:bottom w:val="none" w:sz="0" w:space="0" w:color="auto"/>
        <w:right w:val="none" w:sz="0" w:space="0" w:color="auto"/>
      </w:divBdr>
      <w:divsChild>
        <w:div w:id="885025006">
          <w:marLeft w:val="0"/>
          <w:marRight w:val="0"/>
          <w:marTop w:val="100"/>
          <w:marBottom w:val="100"/>
          <w:divBdr>
            <w:top w:val="none" w:sz="0" w:space="0" w:color="auto"/>
            <w:left w:val="none" w:sz="0" w:space="0" w:color="auto"/>
            <w:bottom w:val="none" w:sz="0" w:space="0" w:color="auto"/>
            <w:right w:val="none" w:sz="0" w:space="0" w:color="auto"/>
          </w:divBdr>
          <w:divsChild>
            <w:div w:id="885025015">
              <w:marLeft w:val="0"/>
              <w:marRight w:val="0"/>
              <w:marTop w:val="605"/>
              <w:marBottom w:val="605"/>
              <w:divBdr>
                <w:top w:val="none" w:sz="0" w:space="0" w:color="auto"/>
                <w:left w:val="none" w:sz="0" w:space="0" w:color="auto"/>
                <w:bottom w:val="none" w:sz="0" w:space="0" w:color="auto"/>
                <w:right w:val="none" w:sz="0" w:space="0" w:color="auto"/>
              </w:divBdr>
              <w:divsChild>
                <w:div w:id="885025019">
                  <w:marLeft w:val="0"/>
                  <w:marRight w:val="0"/>
                  <w:marTop w:val="100"/>
                  <w:marBottom w:val="100"/>
                  <w:divBdr>
                    <w:top w:val="none" w:sz="0" w:space="0" w:color="auto"/>
                    <w:left w:val="none" w:sz="0" w:space="0" w:color="auto"/>
                    <w:bottom w:val="none" w:sz="0" w:space="0" w:color="auto"/>
                    <w:right w:val="none" w:sz="0" w:space="0" w:color="auto"/>
                  </w:divBdr>
                  <w:divsChild>
                    <w:div w:id="88502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025011">
      <w:marLeft w:val="0"/>
      <w:marRight w:val="0"/>
      <w:marTop w:val="0"/>
      <w:marBottom w:val="0"/>
      <w:divBdr>
        <w:top w:val="none" w:sz="0" w:space="0" w:color="auto"/>
        <w:left w:val="none" w:sz="0" w:space="0" w:color="auto"/>
        <w:bottom w:val="none" w:sz="0" w:space="0" w:color="auto"/>
        <w:right w:val="none" w:sz="0" w:space="0" w:color="auto"/>
      </w:divBdr>
    </w:div>
    <w:div w:id="885025012">
      <w:marLeft w:val="0"/>
      <w:marRight w:val="0"/>
      <w:marTop w:val="0"/>
      <w:marBottom w:val="0"/>
      <w:divBdr>
        <w:top w:val="none" w:sz="0" w:space="0" w:color="auto"/>
        <w:left w:val="none" w:sz="0" w:space="0" w:color="auto"/>
        <w:bottom w:val="none" w:sz="0" w:space="0" w:color="auto"/>
        <w:right w:val="none" w:sz="0" w:space="0" w:color="auto"/>
      </w:divBdr>
    </w:div>
    <w:div w:id="885025013">
      <w:marLeft w:val="0"/>
      <w:marRight w:val="0"/>
      <w:marTop w:val="0"/>
      <w:marBottom w:val="0"/>
      <w:divBdr>
        <w:top w:val="none" w:sz="0" w:space="0" w:color="auto"/>
        <w:left w:val="none" w:sz="0" w:space="0" w:color="auto"/>
        <w:bottom w:val="none" w:sz="0" w:space="0" w:color="auto"/>
        <w:right w:val="none" w:sz="0" w:space="0" w:color="auto"/>
      </w:divBdr>
    </w:div>
    <w:div w:id="885025014">
      <w:marLeft w:val="0"/>
      <w:marRight w:val="0"/>
      <w:marTop w:val="0"/>
      <w:marBottom w:val="0"/>
      <w:divBdr>
        <w:top w:val="none" w:sz="0" w:space="0" w:color="auto"/>
        <w:left w:val="none" w:sz="0" w:space="0" w:color="auto"/>
        <w:bottom w:val="none" w:sz="0" w:space="0" w:color="auto"/>
        <w:right w:val="none" w:sz="0" w:space="0" w:color="auto"/>
      </w:divBdr>
    </w:div>
    <w:div w:id="885025017">
      <w:marLeft w:val="0"/>
      <w:marRight w:val="0"/>
      <w:marTop w:val="0"/>
      <w:marBottom w:val="0"/>
      <w:divBdr>
        <w:top w:val="none" w:sz="0" w:space="0" w:color="auto"/>
        <w:left w:val="none" w:sz="0" w:space="0" w:color="auto"/>
        <w:bottom w:val="none" w:sz="0" w:space="0" w:color="auto"/>
        <w:right w:val="none" w:sz="0" w:space="0" w:color="auto"/>
      </w:divBdr>
    </w:div>
    <w:div w:id="885025022">
      <w:marLeft w:val="0"/>
      <w:marRight w:val="0"/>
      <w:marTop w:val="0"/>
      <w:marBottom w:val="0"/>
      <w:divBdr>
        <w:top w:val="none" w:sz="0" w:space="0" w:color="auto"/>
        <w:left w:val="none" w:sz="0" w:space="0" w:color="auto"/>
        <w:bottom w:val="none" w:sz="0" w:space="0" w:color="auto"/>
        <w:right w:val="none" w:sz="0" w:space="0" w:color="auto"/>
      </w:divBdr>
      <w:divsChild>
        <w:div w:id="885025018">
          <w:marLeft w:val="547"/>
          <w:marRight w:val="0"/>
          <w:marTop w:val="0"/>
          <w:marBottom w:val="0"/>
          <w:divBdr>
            <w:top w:val="none" w:sz="0" w:space="0" w:color="auto"/>
            <w:left w:val="none" w:sz="0" w:space="0" w:color="auto"/>
            <w:bottom w:val="none" w:sz="0" w:space="0" w:color="auto"/>
            <w:right w:val="none" w:sz="0" w:space="0" w:color="auto"/>
          </w:divBdr>
        </w:div>
        <w:div w:id="885025020">
          <w:marLeft w:val="547"/>
          <w:marRight w:val="0"/>
          <w:marTop w:val="0"/>
          <w:marBottom w:val="0"/>
          <w:divBdr>
            <w:top w:val="none" w:sz="0" w:space="0" w:color="auto"/>
            <w:left w:val="none" w:sz="0" w:space="0" w:color="auto"/>
            <w:bottom w:val="none" w:sz="0" w:space="0" w:color="auto"/>
            <w:right w:val="none" w:sz="0" w:space="0" w:color="auto"/>
          </w:divBdr>
        </w:div>
      </w:divsChild>
    </w:div>
    <w:div w:id="1000890372">
      <w:bodyDiv w:val="1"/>
      <w:marLeft w:val="0"/>
      <w:marRight w:val="0"/>
      <w:marTop w:val="0"/>
      <w:marBottom w:val="0"/>
      <w:divBdr>
        <w:top w:val="none" w:sz="0" w:space="0" w:color="auto"/>
        <w:left w:val="none" w:sz="0" w:space="0" w:color="auto"/>
        <w:bottom w:val="none" w:sz="0" w:space="0" w:color="auto"/>
        <w:right w:val="none" w:sz="0" w:space="0" w:color="auto"/>
      </w:divBdr>
    </w:div>
    <w:div w:id="1150515215">
      <w:bodyDiv w:val="1"/>
      <w:marLeft w:val="0"/>
      <w:marRight w:val="0"/>
      <w:marTop w:val="0"/>
      <w:marBottom w:val="0"/>
      <w:divBdr>
        <w:top w:val="none" w:sz="0" w:space="0" w:color="auto"/>
        <w:left w:val="none" w:sz="0" w:space="0" w:color="auto"/>
        <w:bottom w:val="none" w:sz="0" w:space="0" w:color="auto"/>
        <w:right w:val="none" w:sz="0" w:space="0" w:color="auto"/>
      </w:divBdr>
    </w:div>
    <w:div w:id="1254238443">
      <w:bodyDiv w:val="1"/>
      <w:marLeft w:val="0"/>
      <w:marRight w:val="0"/>
      <w:marTop w:val="0"/>
      <w:marBottom w:val="0"/>
      <w:divBdr>
        <w:top w:val="none" w:sz="0" w:space="0" w:color="auto"/>
        <w:left w:val="none" w:sz="0" w:space="0" w:color="auto"/>
        <w:bottom w:val="none" w:sz="0" w:space="0" w:color="auto"/>
        <w:right w:val="none" w:sz="0" w:space="0" w:color="auto"/>
      </w:divBdr>
    </w:div>
    <w:div w:id="1573006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diagramQuickStyle" Target="diagrams/quickStyle5.xml"/><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diagramQuickStyle" Target="diagrams/quickStyle4.xm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diagramLayout" Target="diagrams/layout4.xml"/><Relationship Id="rId38" Type="http://schemas.openxmlformats.org/officeDocument/2006/relationships/diagramLayout" Target="diagrams/layout5.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diagramColors" Target="diagrams/colors1.xml"/><Relationship Id="rId29" Type="http://schemas.openxmlformats.org/officeDocument/2006/relationships/diagramQuickStyle" Target="diagrams/quickStyle3.xml"/><Relationship Id="rId41" Type="http://schemas.microsoft.com/office/2007/relationships/diagramDrawing" Target="diagrams/drawing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diagramQuickStyle" Target="diagrams/quickStyle2.xml"/><Relationship Id="rId32" Type="http://schemas.openxmlformats.org/officeDocument/2006/relationships/diagramData" Target="diagrams/data4.xml"/><Relationship Id="rId37" Type="http://schemas.openxmlformats.org/officeDocument/2006/relationships/diagramData" Target="diagrams/data5.xml"/><Relationship Id="rId40" Type="http://schemas.openxmlformats.org/officeDocument/2006/relationships/diagramColors" Target="diagrams/colors5.xml"/><Relationship Id="rId45"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microsoft.com/office/2007/relationships/diagramDrawing" Target="diagrams/drawing4.xml"/><Relationship Id="rId10" Type="http://schemas.openxmlformats.org/officeDocument/2006/relationships/chart" Target="charts/chart1.xml"/><Relationship Id="rId19" Type="http://schemas.openxmlformats.org/officeDocument/2006/relationships/diagramQuickStyle" Target="diagrams/quickStyle1.xml"/><Relationship Id="rId31" Type="http://schemas.microsoft.com/office/2007/relationships/diagramDrawing" Target="diagrams/drawing3.xml"/><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Colors" Target="diagrams/colors4.xml"/><Relationship Id="rId43"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zakon.hr/cms.htm?id=327" TargetMode="External"/><Relationship Id="rId2" Type="http://schemas.openxmlformats.org/officeDocument/2006/relationships/hyperlink" Target="http://www.zakon.hr/cms.htm?id=326" TargetMode="External"/><Relationship Id="rId1" Type="http://schemas.openxmlformats.org/officeDocument/2006/relationships/hyperlink" Target="http://www.zakon.hr/cms.htm?id=325" TargetMode="External"/><Relationship Id="rId6" Type="http://schemas.openxmlformats.org/officeDocument/2006/relationships/hyperlink" Target="http://www.zakon.hr/cms.htm?id=475" TargetMode="External"/><Relationship Id="rId5" Type="http://schemas.openxmlformats.org/officeDocument/2006/relationships/hyperlink" Target="http://www.zakon.hr/cms.htm?id=474" TargetMode="External"/><Relationship Id="rId4" Type="http://schemas.openxmlformats.org/officeDocument/2006/relationships/hyperlink" Target="http://www.zakon.hr/cms.htm?id=32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Podaci!$A$2</c:f>
              <c:strCache>
                <c:ptCount val="1"/>
                <c:pt idx="0">
                  <c:v>Bugarska</c:v>
                </c:pt>
              </c:strCache>
            </c:strRef>
          </c:tx>
          <c:cat>
            <c:strRef>
              <c:f>Podaci!$B$1:$I$1</c:f>
              <c:strCache>
                <c:ptCount val="8"/>
                <c:pt idx="0">
                  <c:v>2005</c:v>
                </c:pt>
                <c:pt idx="1">
                  <c:v>2006</c:v>
                </c:pt>
                <c:pt idx="2">
                  <c:v>2007</c:v>
                </c:pt>
                <c:pt idx="3">
                  <c:v>2008</c:v>
                </c:pt>
                <c:pt idx="4">
                  <c:v>2009</c:v>
                </c:pt>
                <c:pt idx="5">
                  <c:v>2010</c:v>
                </c:pt>
                <c:pt idx="6">
                  <c:v>2011</c:v>
                </c:pt>
                <c:pt idx="7">
                  <c:v>2012</c:v>
                </c:pt>
              </c:strCache>
            </c:strRef>
          </c:cat>
          <c:val>
            <c:numRef>
              <c:f>Podaci!$B$2:$I$2</c:f>
              <c:numCache>
                <c:formatCode>0_ ;\-0\ </c:formatCode>
                <c:ptCount val="8"/>
                <c:pt idx="0">
                  <c:v>3919.9659254837588</c:v>
                </c:pt>
                <c:pt idx="1">
                  <c:v>7804.8939898963918</c:v>
                </c:pt>
                <c:pt idx="2">
                  <c:v>12388.85877821849</c:v>
                </c:pt>
                <c:pt idx="3">
                  <c:v>9855.10674918519</c:v>
                </c:pt>
                <c:pt idx="4">
                  <c:v>3385.353472910067</c:v>
                </c:pt>
                <c:pt idx="5">
                  <c:v>1524.6998523266827</c:v>
                </c:pt>
                <c:pt idx="6">
                  <c:v>1827.4601972306359</c:v>
                </c:pt>
                <c:pt idx="7">
                  <c:v>1899.3892726333888</c:v>
                </c:pt>
              </c:numCache>
            </c:numRef>
          </c:val>
          <c:smooth val="0"/>
        </c:ser>
        <c:ser>
          <c:idx val="1"/>
          <c:order val="1"/>
          <c:tx>
            <c:strRef>
              <c:f>Podaci!$A$3</c:f>
              <c:strCache>
                <c:ptCount val="1"/>
                <c:pt idx="0">
                  <c:v>Češka</c:v>
                </c:pt>
              </c:strCache>
            </c:strRef>
          </c:tx>
          <c:cat>
            <c:strRef>
              <c:f>Podaci!$B$1:$I$1</c:f>
              <c:strCache>
                <c:ptCount val="8"/>
                <c:pt idx="0">
                  <c:v>2005</c:v>
                </c:pt>
                <c:pt idx="1">
                  <c:v>2006</c:v>
                </c:pt>
                <c:pt idx="2">
                  <c:v>2007</c:v>
                </c:pt>
                <c:pt idx="3">
                  <c:v>2008</c:v>
                </c:pt>
                <c:pt idx="4">
                  <c:v>2009</c:v>
                </c:pt>
                <c:pt idx="5">
                  <c:v>2010</c:v>
                </c:pt>
                <c:pt idx="6">
                  <c:v>2011</c:v>
                </c:pt>
                <c:pt idx="7">
                  <c:v>2012</c:v>
                </c:pt>
              </c:strCache>
            </c:strRef>
          </c:cat>
          <c:val>
            <c:numRef>
              <c:f>Podaci!$B$3:$I$3</c:f>
              <c:numCache>
                <c:formatCode>0_ ;\-0\ </c:formatCode>
                <c:ptCount val="8"/>
                <c:pt idx="0">
                  <c:v>11653.247013448869</c:v>
                </c:pt>
                <c:pt idx="1">
                  <c:v>5462.625466905065</c:v>
                </c:pt>
                <c:pt idx="2">
                  <c:v>10443.817539433405</c:v>
                </c:pt>
                <c:pt idx="3">
                  <c:v>6451.0029229660804</c:v>
                </c:pt>
                <c:pt idx="4">
                  <c:v>2926.8148235421199</c:v>
                </c:pt>
                <c:pt idx="5">
                  <c:v>6140.5831932685105</c:v>
                </c:pt>
                <c:pt idx="6">
                  <c:v>2317.5537836448002</c:v>
                </c:pt>
                <c:pt idx="7">
                  <c:v>10592.486272506711</c:v>
                </c:pt>
              </c:numCache>
            </c:numRef>
          </c:val>
          <c:smooth val="0"/>
        </c:ser>
        <c:ser>
          <c:idx val="2"/>
          <c:order val="2"/>
          <c:tx>
            <c:strRef>
              <c:f>Podaci!$A$4</c:f>
              <c:strCache>
                <c:ptCount val="1"/>
                <c:pt idx="0">
                  <c:v>Mađarska</c:v>
                </c:pt>
              </c:strCache>
            </c:strRef>
          </c:tx>
          <c:cat>
            <c:strRef>
              <c:f>Podaci!$B$1:$I$1</c:f>
              <c:strCache>
                <c:ptCount val="8"/>
                <c:pt idx="0">
                  <c:v>2005</c:v>
                </c:pt>
                <c:pt idx="1">
                  <c:v>2006</c:v>
                </c:pt>
                <c:pt idx="2">
                  <c:v>2007</c:v>
                </c:pt>
                <c:pt idx="3">
                  <c:v>2008</c:v>
                </c:pt>
                <c:pt idx="4">
                  <c:v>2009</c:v>
                </c:pt>
                <c:pt idx="5">
                  <c:v>2010</c:v>
                </c:pt>
                <c:pt idx="6">
                  <c:v>2011</c:v>
                </c:pt>
                <c:pt idx="7">
                  <c:v>2012</c:v>
                </c:pt>
              </c:strCache>
            </c:strRef>
          </c:cat>
          <c:val>
            <c:numRef>
              <c:f>Podaci!$B$4:$I$4</c:f>
              <c:numCache>
                <c:formatCode>0_ ;\-0\ </c:formatCode>
                <c:ptCount val="8"/>
                <c:pt idx="0">
                  <c:v>7708.9592247797973</c:v>
                </c:pt>
                <c:pt idx="1">
                  <c:v>6817.5445363372783</c:v>
                </c:pt>
                <c:pt idx="2">
                  <c:v>3950.835121388041</c:v>
                </c:pt>
                <c:pt idx="3">
                  <c:v>6325.4435301751173</c:v>
                </c:pt>
                <c:pt idx="4">
                  <c:v>1994.6067374844281</c:v>
                </c:pt>
                <c:pt idx="5">
                  <c:v>2162.7930883240811</c:v>
                </c:pt>
                <c:pt idx="6">
                  <c:v>5757.1380824543139</c:v>
                </c:pt>
                <c:pt idx="7">
                  <c:v>13468.963906518647</c:v>
                </c:pt>
              </c:numCache>
            </c:numRef>
          </c:val>
          <c:smooth val="0"/>
        </c:ser>
        <c:ser>
          <c:idx val="3"/>
          <c:order val="3"/>
          <c:tx>
            <c:strRef>
              <c:f>Podaci!$A$5</c:f>
              <c:strCache>
                <c:ptCount val="1"/>
                <c:pt idx="0">
                  <c:v>Rumunjska</c:v>
                </c:pt>
              </c:strCache>
            </c:strRef>
          </c:tx>
          <c:cat>
            <c:strRef>
              <c:f>Podaci!$B$1:$I$1</c:f>
              <c:strCache>
                <c:ptCount val="8"/>
                <c:pt idx="0">
                  <c:v>2005</c:v>
                </c:pt>
                <c:pt idx="1">
                  <c:v>2006</c:v>
                </c:pt>
                <c:pt idx="2">
                  <c:v>2007</c:v>
                </c:pt>
                <c:pt idx="3">
                  <c:v>2008</c:v>
                </c:pt>
                <c:pt idx="4">
                  <c:v>2009</c:v>
                </c:pt>
                <c:pt idx="5">
                  <c:v>2010</c:v>
                </c:pt>
                <c:pt idx="6">
                  <c:v>2011</c:v>
                </c:pt>
                <c:pt idx="7">
                  <c:v>2012</c:v>
                </c:pt>
              </c:strCache>
            </c:strRef>
          </c:cat>
          <c:val>
            <c:numRef>
              <c:f>Podaci!$B$5:$I$5</c:f>
              <c:numCache>
                <c:formatCode>0_ ;\-0\ </c:formatCode>
                <c:ptCount val="8"/>
                <c:pt idx="0">
                  <c:v>6482.8632542406613</c:v>
                </c:pt>
                <c:pt idx="1">
                  <c:v>11366.872360096897</c:v>
                </c:pt>
                <c:pt idx="2">
                  <c:v>9921.4658969284228</c:v>
                </c:pt>
                <c:pt idx="3">
                  <c:v>13908.521624491887</c:v>
                </c:pt>
                <c:pt idx="4">
                  <c:v>4844.1118410542331</c:v>
                </c:pt>
                <c:pt idx="5">
                  <c:v>2940.2221059671938</c:v>
                </c:pt>
                <c:pt idx="6">
                  <c:v>2523.0936046875345</c:v>
                </c:pt>
                <c:pt idx="7">
                  <c:v>2242.0833258383095</c:v>
                </c:pt>
              </c:numCache>
            </c:numRef>
          </c:val>
          <c:smooth val="0"/>
        </c:ser>
        <c:ser>
          <c:idx val="4"/>
          <c:order val="4"/>
          <c:tx>
            <c:strRef>
              <c:f>Podaci!$A$6</c:f>
              <c:strCache>
                <c:ptCount val="1"/>
                <c:pt idx="0">
                  <c:v>Slovačka</c:v>
                </c:pt>
              </c:strCache>
            </c:strRef>
          </c:tx>
          <c:cat>
            <c:strRef>
              <c:f>Podaci!$B$1:$I$1</c:f>
              <c:strCache>
                <c:ptCount val="8"/>
                <c:pt idx="0">
                  <c:v>2005</c:v>
                </c:pt>
                <c:pt idx="1">
                  <c:v>2006</c:v>
                </c:pt>
                <c:pt idx="2">
                  <c:v>2007</c:v>
                </c:pt>
                <c:pt idx="3">
                  <c:v>2008</c:v>
                </c:pt>
                <c:pt idx="4">
                  <c:v>2009</c:v>
                </c:pt>
                <c:pt idx="5">
                  <c:v>2010</c:v>
                </c:pt>
                <c:pt idx="6">
                  <c:v>2011</c:v>
                </c:pt>
                <c:pt idx="7">
                  <c:v>2012</c:v>
                </c:pt>
              </c:strCache>
            </c:strRef>
          </c:cat>
          <c:val>
            <c:numRef>
              <c:f>Podaci!$B$6:$I$6</c:f>
              <c:numCache>
                <c:formatCode>0_ ;\-0\ </c:formatCode>
                <c:ptCount val="8"/>
                <c:pt idx="0">
                  <c:v>3109.6378649952744</c:v>
                </c:pt>
                <c:pt idx="1">
                  <c:v>5803.0862795916973</c:v>
                </c:pt>
                <c:pt idx="2">
                  <c:v>4017.2452021384051</c:v>
                </c:pt>
                <c:pt idx="3">
                  <c:v>4868.0235836964894</c:v>
                </c:pt>
                <c:pt idx="4">
                  <c:v>-6.0791033600382312</c:v>
                </c:pt>
                <c:pt idx="5">
                  <c:v>1769.7607427371879</c:v>
                </c:pt>
                <c:pt idx="6">
                  <c:v>2142.8918962125827</c:v>
                </c:pt>
                <c:pt idx="7">
                  <c:v>2825.9231087481053</c:v>
                </c:pt>
              </c:numCache>
            </c:numRef>
          </c:val>
          <c:smooth val="0"/>
        </c:ser>
        <c:ser>
          <c:idx val="5"/>
          <c:order val="5"/>
          <c:tx>
            <c:strRef>
              <c:f>Podaci!$A$7</c:f>
              <c:strCache>
                <c:ptCount val="1"/>
                <c:pt idx="0">
                  <c:v>Slovenija</c:v>
                </c:pt>
              </c:strCache>
            </c:strRef>
          </c:tx>
          <c:cat>
            <c:strRef>
              <c:f>Podaci!$B$1:$I$1</c:f>
              <c:strCache>
                <c:ptCount val="8"/>
                <c:pt idx="0">
                  <c:v>2005</c:v>
                </c:pt>
                <c:pt idx="1">
                  <c:v>2006</c:v>
                </c:pt>
                <c:pt idx="2">
                  <c:v>2007</c:v>
                </c:pt>
                <c:pt idx="3">
                  <c:v>2008</c:v>
                </c:pt>
                <c:pt idx="4">
                  <c:v>2009</c:v>
                </c:pt>
                <c:pt idx="5">
                  <c:v>2010</c:v>
                </c:pt>
                <c:pt idx="6">
                  <c:v>2011</c:v>
                </c:pt>
                <c:pt idx="7">
                  <c:v>2012</c:v>
                </c:pt>
              </c:strCache>
            </c:strRef>
          </c:cat>
          <c:val>
            <c:numRef>
              <c:f>Podaci!$B$7:$I$7</c:f>
              <c:numCache>
                <c:formatCode>0_ ;\-0\ </c:formatCode>
                <c:ptCount val="8"/>
                <c:pt idx="0">
                  <c:v>587.56963788300766</c:v>
                </c:pt>
                <c:pt idx="1">
                  <c:v>643.92623136935651</c:v>
                </c:pt>
                <c:pt idx="2">
                  <c:v>1514.2929877723307</c:v>
                </c:pt>
                <c:pt idx="3">
                  <c:v>1947.4859926026302</c:v>
                </c:pt>
                <c:pt idx="4">
                  <c:v>-652.50339310099559</c:v>
                </c:pt>
                <c:pt idx="5">
                  <c:v>358.89338807620709</c:v>
                </c:pt>
                <c:pt idx="6">
                  <c:v>999.23123117236969</c:v>
                </c:pt>
                <c:pt idx="7">
                  <c:v>144.7900700763463</c:v>
                </c:pt>
              </c:numCache>
            </c:numRef>
          </c:val>
          <c:smooth val="0"/>
        </c:ser>
        <c:ser>
          <c:idx val="6"/>
          <c:order val="6"/>
          <c:tx>
            <c:strRef>
              <c:f>Podaci!$A$8</c:f>
              <c:strCache>
                <c:ptCount val="1"/>
                <c:pt idx="0">
                  <c:v>Hrvatska</c:v>
                </c:pt>
              </c:strCache>
            </c:strRef>
          </c:tx>
          <c:cat>
            <c:strRef>
              <c:f>Podaci!$B$1:$I$1</c:f>
              <c:strCache>
                <c:ptCount val="8"/>
                <c:pt idx="0">
                  <c:v>2005</c:v>
                </c:pt>
                <c:pt idx="1">
                  <c:v>2006</c:v>
                </c:pt>
                <c:pt idx="2">
                  <c:v>2007</c:v>
                </c:pt>
                <c:pt idx="3">
                  <c:v>2008</c:v>
                </c:pt>
                <c:pt idx="4">
                  <c:v>2009</c:v>
                </c:pt>
                <c:pt idx="5">
                  <c:v>2010</c:v>
                </c:pt>
                <c:pt idx="6">
                  <c:v>2011</c:v>
                </c:pt>
                <c:pt idx="7">
                  <c:v>2012</c:v>
                </c:pt>
              </c:strCache>
            </c:strRef>
          </c:cat>
          <c:val>
            <c:numRef>
              <c:f>Podaci!$B$8:$I$8</c:f>
              <c:numCache>
                <c:formatCode>0_ ;\-0\ </c:formatCode>
                <c:ptCount val="8"/>
                <c:pt idx="0">
                  <c:v>1825.4066557230285</c:v>
                </c:pt>
                <c:pt idx="1">
                  <c:v>3468.3613062180998</c:v>
                </c:pt>
                <c:pt idx="2">
                  <c:v>5041.0381064220583</c:v>
                </c:pt>
                <c:pt idx="3">
                  <c:v>6219.5466363936021</c:v>
                </c:pt>
                <c:pt idx="4">
                  <c:v>3339.0878288737963</c:v>
                </c:pt>
                <c:pt idx="5">
                  <c:v>432.19410763596898</c:v>
                </c:pt>
                <c:pt idx="6">
                  <c:v>1501.6521745174484</c:v>
                </c:pt>
                <c:pt idx="7">
                  <c:v>1250.5672663543596</c:v>
                </c:pt>
              </c:numCache>
            </c:numRef>
          </c:val>
          <c:smooth val="0"/>
        </c:ser>
        <c:dLbls>
          <c:showLegendKey val="0"/>
          <c:showVal val="0"/>
          <c:showCatName val="0"/>
          <c:showSerName val="0"/>
          <c:showPercent val="0"/>
          <c:showBubbleSize val="0"/>
        </c:dLbls>
        <c:marker val="1"/>
        <c:smooth val="0"/>
        <c:axId val="78085504"/>
        <c:axId val="78095488"/>
      </c:lineChart>
      <c:catAx>
        <c:axId val="78085504"/>
        <c:scaling>
          <c:orientation val="minMax"/>
        </c:scaling>
        <c:delete val="0"/>
        <c:axPos val="b"/>
        <c:numFmt formatCode="General" sourceLinked="1"/>
        <c:majorTickMark val="out"/>
        <c:minorTickMark val="none"/>
        <c:tickLblPos val="nextTo"/>
        <c:crossAx val="78095488"/>
        <c:crosses val="autoZero"/>
        <c:auto val="1"/>
        <c:lblAlgn val="ctr"/>
        <c:lblOffset val="100"/>
        <c:noMultiLvlLbl val="0"/>
      </c:catAx>
      <c:valAx>
        <c:axId val="78095488"/>
        <c:scaling>
          <c:orientation val="minMax"/>
        </c:scaling>
        <c:delete val="0"/>
        <c:axPos val="l"/>
        <c:majorGridlines/>
        <c:numFmt formatCode="0_ ;\-0\ " sourceLinked="1"/>
        <c:majorTickMark val="out"/>
        <c:minorTickMark val="none"/>
        <c:tickLblPos val="nextTo"/>
        <c:crossAx val="78085504"/>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effectLst>
              <a:outerShdw blurRad="50800" dist="38100" dir="2700000" algn="tl" rotWithShape="0">
                <a:prstClr val="black">
                  <a:alpha val="40000"/>
                </a:prstClr>
              </a:outerShdw>
            </a:effectLst>
          </c:spPr>
          <c:invertIfNegative val="0"/>
          <c:dPt>
            <c:idx val="0"/>
            <c:invertIfNegative val="0"/>
            <c:bubble3D val="0"/>
            <c:spPr>
              <a:solidFill>
                <a:srgbClr val="0070C0"/>
              </a:solidFill>
              <a:effectLst>
                <a:outerShdw blurRad="50800" dist="38100" dir="2700000" algn="tl" rotWithShape="0">
                  <a:prstClr val="black">
                    <a:alpha val="40000"/>
                  </a:prstClr>
                </a:outerShdw>
              </a:effectLst>
            </c:spPr>
          </c:dPt>
          <c:dPt>
            <c:idx val="1"/>
            <c:invertIfNegative val="0"/>
            <c:bubble3D val="0"/>
            <c:spPr>
              <a:solidFill>
                <a:srgbClr val="0070C0"/>
              </a:solidFill>
              <a:effectLst>
                <a:outerShdw blurRad="50800" dist="38100" dir="2700000" algn="tl" rotWithShape="0">
                  <a:prstClr val="black">
                    <a:alpha val="40000"/>
                  </a:prstClr>
                </a:outerShdw>
              </a:effectLst>
            </c:spPr>
          </c:dPt>
          <c:dPt>
            <c:idx val="2"/>
            <c:invertIfNegative val="0"/>
            <c:bubble3D val="0"/>
            <c:spPr>
              <a:solidFill>
                <a:srgbClr val="0070C0"/>
              </a:solidFill>
              <a:effectLst>
                <a:outerShdw blurRad="50800" dist="38100" dir="2700000" algn="tl" rotWithShape="0">
                  <a:prstClr val="black">
                    <a:alpha val="40000"/>
                  </a:prstClr>
                </a:outerShdw>
              </a:effectLst>
            </c:spPr>
          </c:dPt>
          <c:dPt>
            <c:idx val="3"/>
            <c:invertIfNegative val="0"/>
            <c:bubble3D val="0"/>
            <c:spPr>
              <a:solidFill>
                <a:srgbClr val="0070C0"/>
              </a:solidFill>
              <a:effectLst>
                <a:outerShdw blurRad="50800" dist="38100" dir="2700000" algn="tl" rotWithShape="0">
                  <a:prstClr val="black">
                    <a:alpha val="40000"/>
                  </a:prstClr>
                </a:outerShdw>
              </a:effectLst>
            </c:spPr>
          </c:dPt>
          <c:dPt>
            <c:idx val="4"/>
            <c:invertIfNegative val="0"/>
            <c:bubble3D val="0"/>
            <c:spPr>
              <a:solidFill>
                <a:srgbClr val="00B050"/>
              </a:solidFill>
              <a:ln>
                <a:solidFill>
                  <a:srgbClr val="00B050"/>
                </a:solidFill>
              </a:ln>
              <a:effectLst>
                <a:outerShdw blurRad="50800" dist="38100" dir="2700000" algn="tl" rotWithShape="0">
                  <a:prstClr val="black">
                    <a:alpha val="40000"/>
                  </a:prstClr>
                </a:outerShdw>
              </a:effectLst>
            </c:spPr>
          </c:dPt>
          <c:dPt>
            <c:idx val="5"/>
            <c:invertIfNegative val="0"/>
            <c:bubble3D val="0"/>
            <c:spPr>
              <a:solidFill>
                <a:srgbClr val="0070C0"/>
              </a:solidFill>
              <a:effectLst>
                <a:outerShdw blurRad="50800" dist="38100" dir="2700000" algn="tl" rotWithShape="0">
                  <a:prstClr val="black">
                    <a:alpha val="40000"/>
                  </a:prstClr>
                </a:outerShdw>
              </a:effectLst>
            </c:spPr>
          </c:dPt>
          <c:dPt>
            <c:idx val="6"/>
            <c:invertIfNegative val="0"/>
            <c:bubble3D val="0"/>
            <c:spPr>
              <a:solidFill>
                <a:srgbClr val="0070C0"/>
              </a:solidFill>
              <a:effectLst>
                <a:outerShdw blurRad="50800" dist="38100" dir="2700000" algn="tl" rotWithShape="0">
                  <a:prstClr val="black">
                    <a:alpha val="40000"/>
                  </a:prstClr>
                </a:outerShdw>
              </a:effectLst>
            </c:spPr>
          </c:dPt>
          <c:cat>
            <c:strRef>
              <c:f>'Grafikon3-ukupno po stan.'!$A$2:$A$8</c:f>
              <c:strCache>
                <c:ptCount val="7"/>
                <c:pt idx="0">
                  <c:v>Slovenija</c:v>
                </c:pt>
                <c:pt idx="1">
                  <c:v>Rumunjska</c:v>
                </c:pt>
                <c:pt idx="2">
                  <c:v>Slovačka</c:v>
                </c:pt>
                <c:pt idx="3">
                  <c:v>Mađarska</c:v>
                </c:pt>
                <c:pt idx="4">
                  <c:v>Hrvatska</c:v>
                </c:pt>
                <c:pt idx="5">
                  <c:v>Češka</c:v>
                </c:pt>
                <c:pt idx="6">
                  <c:v>Bugarska</c:v>
                </c:pt>
              </c:strCache>
            </c:strRef>
          </c:cat>
          <c:val>
            <c:numRef>
              <c:f>'Grafikon3-ukupno po stan.'!$B$2:$B$8</c:f>
              <c:numCache>
                <c:formatCode>General</c:formatCode>
                <c:ptCount val="7"/>
                <c:pt idx="0">
                  <c:v>2463.8605092672242</c:v>
                </c:pt>
                <c:pt idx="1">
                  <c:v>2518.7753838042354</c:v>
                </c:pt>
                <c:pt idx="2">
                  <c:v>4492.7636583808935</c:v>
                </c:pt>
                <c:pt idx="3">
                  <c:v>4794.6551470111144</c:v>
                </c:pt>
                <c:pt idx="4">
                  <c:v>5197.7148833644915</c:v>
                </c:pt>
                <c:pt idx="5">
                  <c:v>5337.2860834809917</c:v>
                </c:pt>
                <c:pt idx="6">
                  <c:v>5606.0168734058743</c:v>
                </c:pt>
              </c:numCache>
            </c:numRef>
          </c:val>
        </c:ser>
        <c:dLbls>
          <c:showLegendKey val="0"/>
          <c:showVal val="0"/>
          <c:showCatName val="0"/>
          <c:showSerName val="0"/>
          <c:showPercent val="0"/>
          <c:showBubbleSize val="0"/>
        </c:dLbls>
        <c:gapWidth val="150"/>
        <c:axId val="75746688"/>
        <c:axId val="80114816"/>
      </c:barChart>
      <c:catAx>
        <c:axId val="75746688"/>
        <c:scaling>
          <c:orientation val="minMax"/>
        </c:scaling>
        <c:delete val="0"/>
        <c:axPos val="l"/>
        <c:numFmt formatCode="General" sourceLinked="1"/>
        <c:majorTickMark val="out"/>
        <c:minorTickMark val="none"/>
        <c:tickLblPos val="nextTo"/>
        <c:crossAx val="80114816"/>
        <c:crosses val="autoZero"/>
        <c:auto val="1"/>
        <c:lblAlgn val="ctr"/>
        <c:lblOffset val="100"/>
        <c:noMultiLvlLbl val="0"/>
      </c:catAx>
      <c:valAx>
        <c:axId val="80114816"/>
        <c:scaling>
          <c:orientation val="minMax"/>
        </c:scaling>
        <c:delete val="0"/>
        <c:axPos val="b"/>
        <c:majorGridlines/>
        <c:numFmt formatCode="General" sourceLinked="1"/>
        <c:majorTickMark val="out"/>
        <c:minorTickMark val="none"/>
        <c:tickLblPos val="nextTo"/>
        <c:crossAx val="75746688"/>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najnovije!$B$2</c:f>
              <c:strCache>
                <c:ptCount val="1"/>
                <c:pt idx="0">
                  <c:v>2005.</c:v>
                </c:pt>
              </c:strCache>
            </c:strRef>
          </c:tx>
          <c:invertIfNegative val="0"/>
          <c:cat>
            <c:strRef>
              <c:f>najnovije!$C$1:$I$1</c:f>
              <c:strCache>
                <c:ptCount val="7"/>
                <c:pt idx="0">
                  <c:v>Bugarska</c:v>
                </c:pt>
                <c:pt idx="1">
                  <c:v>Češka</c:v>
                </c:pt>
                <c:pt idx="2">
                  <c:v>Mađarska</c:v>
                </c:pt>
                <c:pt idx="3">
                  <c:v>Rumunjska</c:v>
                </c:pt>
                <c:pt idx="4">
                  <c:v>Slovačka</c:v>
                </c:pt>
                <c:pt idx="5">
                  <c:v>Slovenija</c:v>
                </c:pt>
                <c:pt idx="6">
                  <c:v>Hrvatska</c:v>
                </c:pt>
              </c:strCache>
            </c:strRef>
          </c:cat>
          <c:val>
            <c:numRef>
              <c:f>najnovije!$C$2:$I$2</c:f>
              <c:numCache>
                <c:formatCode>General</c:formatCode>
                <c:ptCount val="7"/>
                <c:pt idx="0">
                  <c:v>4387</c:v>
                </c:pt>
                <c:pt idx="1">
                  <c:v>5098</c:v>
                </c:pt>
                <c:pt idx="2">
                  <c:v>7850</c:v>
                </c:pt>
                <c:pt idx="3">
                  <c:v>11469</c:v>
                </c:pt>
                <c:pt idx="4">
                  <c:v>9108</c:v>
                </c:pt>
                <c:pt idx="5">
                  <c:v>476</c:v>
                </c:pt>
                <c:pt idx="6">
                  <c:v>1080</c:v>
                </c:pt>
              </c:numCache>
            </c:numRef>
          </c:val>
        </c:ser>
        <c:ser>
          <c:idx val="1"/>
          <c:order val="1"/>
          <c:tx>
            <c:strRef>
              <c:f>najnovije!$B$3</c:f>
              <c:strCache>
                <c:ptCount val="1"/>
                <c:pt idx="0">
                  <c:v>2006.</c:v>
                </c:pt>
              </c:strCache>
            </c:strRef>
          </c:tx>
          <c:invertIfNegative val="0"/>
          <c:cat>
            <c:strRef>
              <c:f>najnovije!$C$1:$I$1</c:f>
              <c:strCache>
                <c:ptCount val="7"/>
                <c:pt idx="0">
                  <c:v>Bugarska</c:v>
                </c:pt>
                <c:pt idx="1">
                  <c:v>Češka</c:v>
                </c:pt>
                <c:pt idx="2">
                  <c:v>Mađarska</c:v>
                </c:pt>
                <c:pt idx="3">
                  <c:v>Rumunjska</c:v>
                </c:pt>
                <c:pt idx="4">
                  <c:v>Slovačka</c:v>
                </c:pt>
                <c:pt idx="5">
                  <c:v>Slovenija</c:v>
                </c:pt>
                <c:pt idx="6">
                  <c:v>Hrvatska</c:v>
                </c:pt>
              </c:strCache>
            </c:strRef>
          </c:cat>
          <c:val>
            <c:numRef>
              <c:f>najnovije!$C$3:$I$3</c:f>
              <c:numCache>
                <c:formatCode>General</c:formatCode>
                <c:ptCount val="7"/>
                <c:pt idx="0">
                  <c:v>19326</c:v>
                </c:pt>
                <c:pt idx="1">
                  <c:v>7644</c:v>
                </c:pt>
                <c:pt idx="2">
                  <c:v>8784</c:v>
                </c:pt>
                <c:pt idx="3">
                  <c:v>19139</c:v>
                </c:pt>
                <c:pt idx="4">
                  <c:v>11557</c:v>
                </c:pt>
                <c:pt idx="5">
                  <c:v>657</c:v>
                </c:pt>
                <c:pt idx="6">
                  <c:v>600</c:v>
                </c:pt>
              </c:numCache>
            </c:numRef>
          </c:val>
        </c:ser>
        <c:ser>
          <c:idx val="2"/>
          <c:order val="2"/>
          <c:tx>
            <c:strRef>
              <c:f>najnovije!$B$4</c:f>
              <c:strCache>
                <c:ptCount val="1"/>
                <c:pt idx="0">
                  <c:v>2007.</c:v>
                </c:pt>
              </c:strCache>
            </c:strRef>
          </c:tx>
          <c:invertIfNegative val="0"/>
          <c:cat>
            <c:strRef>
              <c:f>najnovije!$C$1:$I$1</c:f>
              <c:strCache>
                <c:ptCount val="7"/>
                <c:pt idx="0">
                  <c:v>Bugarska</c:v>
                </c:pt>
                <c:pt idx="1">
                  <c:v>Češka</c:v>
                </c:pt>
                <c:pt idx="2">
                  <c:v>Mađarska</c:v>
                </c:pt>
                <c:pt idx="3">
                  <c:v>Rumunjska</c:v>
                </c:pt>
                <c:pt idx="4">
                  <c:v>Slovačka</c:v>
                </c:pt>
                <c:pt idx="5">
                  <c:v>Slovenija</c:v>
                </c:pt>
                <c:pt idx="6">
                  <c:v>Hrvatska</c:v>
                </c:pt>
              </c:strCache>
            </c:strRef>
          </c:cat>
          <c:val>
            <c:numRef>
              <c:f>najnovije!$C$4:$I$4</c:f>
              <c:numCache>
                <c:formatCode>General</c:formatCode>
                <c:ptCount val="7"/>
                <c:pt idx="0">
                  <c:v>7695</c:v>
                </c:pt>
                <c:pt idx="1">
                  <c:v>7491</c:v>
                </c:pt>
                <c:pt idx="2">
                  <c:v>9550</c:v>
                </c:pt>
                <c:pt idx="3">
                  <c:v>21942</c:v>
                </c:pt>
                <c:pt idx="4">
                  <c:v>5485</c:v>
                </c:pt>
                <c:pt idx="5">
                  <c:v>1037</c:v>
                </c:pt>
                <c:pt idx="6">
                  <c:v>1795</c:v>
                </c:pt>
              </c:numCache>
            </c:numRef>
          </c:val>
        </c:ser>
        <c:ser>
          <c:idx val="3"/>
          <c:order val="3"/>
          <c:tx>
            <c:strRef>
              <c:f>najnovije!$B$5</c:f>
              <c:strCache>
                <c:ptCount val="1"/>
                <c:pt idx="0">
                  <c:v>2008.</c:v>
                </c:pt>
              </c:strCache>
            </c:strRef>
          </c:tx>
          <c:invertIfNegative val="0"/>
          <c:cat>
            <c:strRef>
              <c:f>najnovije!$C$1:$I$1</c:f>
              <c:strCache>
                <c:ptCount val="7"/>
                <c:pt idx="0">
                  <c:v>Bugarska</c:v>
                </c:pt>
                <c:pt idx="1">
                  <c:v>Češka</c:v>
                </c:pt>
                <c:pt idx="2">
                  <c:v>Mađarska</c:v>
                </c:pt>
                <c:pt idx="3">
                  <c:v>Rumunjska</c:v>
                </c:pt>
                <c:pt idx="4">
                  <c:v>Slovačka</c:v>
                </c:pt>
                <c:pt idx="5">
                  <c:v>Slovenija</c:v>
                </c:pt>
                <c:pt idx="6">
                  <c:v>Hrvatska</c:v>
                </c:pt>
              </c:strCache>
            </c:strRef>
          </c:cat>
          <c:val>
            <c:numRef>
              <c:f>najnovije!$C$5:$I$5</c:f>
              <c:numCache>
                <c:formatCode>General</c:formatCode>
                <c:ptCount val="7"/>
                <c:pt idx="0">
                  <c:v>11422</c:v>
                </c:pt>
                <c:pt idx="1">
                  <c:v>5684</c:v>
                </c:pt>
                <c:pt idx="2">
                  <c:v>9031</c:v>
                </c:pt>
                <c:pt idx="3">
                  <c:v>31458</c:v>
                </c:pt>
                <c:pt idx="4">
                  <c:v>3350</c:v>
                </c:pt>
                <c:pt idx="5">
                  <c:v>612</c:v>
                </c:pt>
                <c:pt idx="6">
                  <c:v>3194</c:v>
                </c:pt>
              </c:numCache>
            </c:numRef>
          </c:val>
        </c:ser>
        <c:ser>
          <c:idx val="4"/>
          <c:order val="4"/>
          <c:tx>
            <c:strRef>
              <c:f>najnovije!$B$6</c:f>
              <c:strCache>
                <c:ptCount val="1"/>
                <c:pt idx="0">
                  <c:v>2009.</c:v>
                </c:pt>
              </c:strCache>
            </c:strRef>
          </c:tx>
          <c:invertIfNegative val="0"/>
          <c:cat>
            <c:strRef>
              <c:f>najnovije!$C$1:$I$1</c:f>
              <c:strCache>
                <c:ptCount val="7"/>
                <c:pt idx="0">
                  <c:v>Bugarska</c:v>
                </c:pt>
                <c:pt idx="1">
                  <c:v>Češka</c:v>
                </c:pt>
                <c:pt idx="2">
                  <c:v>Mađarska</c:v>
                </c:pt>
                <c:pt idx="3">
                  <c:v>Rumunjska</c:v>
                </c:pt>
                <c:pt idx="4">
                  <c:v>Slovačka</c:v>
                </c:pt>
                <c:pt idx="5">
                  <c:v>Slovenija</c:v>
                </c:pt>
                <c:pt idx="6">
                  <c:v>Hrvatska</c:v>
                </c:pt>
              </c:strCache>
            </c:strRef>
          </c:cat>
          <c:val>
            <c:numRef>
              <c:f>najnovije!$C$6:$I$6</c:f>
              <c:numCache>
                <c:formatCode>General</c:formatCode>
                <c:ptCount val="7"/>
                <c:pt idx="0">
                  <c:v>4780</c:v>
                </c:pt>
                <c:pt idx="1">
                  <c:v>4575</c:v>
                </c:pt>
                <c:pt idx="2">
                  <c:v>3739</c:v>
                </c:pt>
                <c:pt idx="3">
                  <c:v>15019</c:v>
                </c:pt>
                <c:pt idx="4">
                  <c:v>5382</c:v>
                </c:pt>
                <c:pt idx="5">
                  <c:v>282</c:v>
                </c:pt>
                <c:pt idx="6">
                  <c:v>1707</c:v>
                </c:pt>
              </c:numCache>
            </c:numRef>
          </c:val>
        </c:ser>
        <c:ser>
          <c:idx val="5"/>
          <c:order val="5"/>
          <c:tx>
            <c:strRef>
              <c:f>najnovije!$B$7</c:f>
              <c:strCache>
                <c:ptCount val="1"/>
                <c:pt idx="0">
                  <c:v>2010.</c:v>
                </c:pt>
              </c:strCache>
            </c:strRef>
          </c:tx>
          <c:invertIfNegative val="0"/>
          <c:cat>
            <c:strRef>
              <c:f>najnovije!$C$1:$I$1</c:f>
              <c:strCache>
                <c:ptCount val="7"/>
                <c:pt idx="0">
                  <c:v>Bugarska</c:v>
                </c:pt>
                <c:pt idx="1">
                  <c:v>Češka</c:v>
                </c:pt>
                <c:pt idx="2">
                  <c:v>Mađarska</c:v>
                </c:pt>
                <c:pt idx="3">
                  <c:v>Rumunjska</c:v>
                </c:pt>
                <c:pt idx="4">
                  <c:v>Slovačka</c:v>
                </c:pt>
                <c:pt idx="5">
                  <c:v>Slovenija</c:v>
                </c:pt>
                <c:pt idx="6">
                  <c:v>Hrvatska</c:v>
                </c:pt>
              </c:strCache>
            </c:strRef>
          </c:cat>
          <c:val>
            <c:numRef>
              <c:f>najnovije!$C$7:$I$7</c:f>
              <c:numCache>
                <c:formatCode>General</c:formatCode>
                <c:ptCount val="7"/>
                <c:pt idx="0">
                  <c:v>4780</c:v>
                </c:pt>
                <c:pt idx="1">
                  <c:v>7733</c:v>
                </c:pt>
                <c:pt idx="2">
                  <c:v>7541</c:v>
                </c:pt>
                <c:pt idx="3">
                  <c:v>7764</c:v>
                </c:pt>
                <c:pt idx="4">
                  <c:v>4239</c:v>
                </c:pt>
                <c:pt idx="5">
                  <c:v>748</c:v>
                </c:pt>
                <c:pt idx="6">
                  <c:v>2397</c:v>
                </c:pt>
              </c:numCache>
            </c:numRef>
          </c:val>
        </c:ser>
        <c:ser>
          <c:idx val="6"/>
          <c:order val="6"/>
          <c:tx>
            <c:strRef>
              <c:f>najnovije!$B$8</c:f>
              <c:strCache>
                <c:ptCount val="1"/>
                <c:pt idx="0">
                  <c:v>2011.</c:v>
                </c:pt>
              </c:strCache>
            </c:strRef>
          </c:tx>
          <c:invertIfNegative val="0"/>
          <c:cat>
            <c:strRef>
              <c:f>najnovije!$C$1:$I$1</c:f>
              <c:strCache>
                <c:ptCount val="7"/>
                <c:pt idx="0">
                  <c:v>Bugarska</c:v>
                </c:pt>
                <c:pt idx="1">
                  <c:v>Češka</c:v>
                </c:pt>
                <c:pt idx="2">
                  <c:v>Mađarska</c:v>
                </c:pt>
                <c:pt idx="3">
                  <c:v>Rumunjska</c:v>
                </c:pt>
                <c:pt idx="4">
                  <c:v>Slovačka</c:v>
                </c:pt>
                <c:pt idx="5">
                  <c:v>Slovenija</c:v>
                </c:pt>
                <c:pt idx="6">
                  <c:v>Hrvatska</c:v>
                </c:pt>
              </c:strCache>
            </c:strRef>
          </c:cat>
          <c:val>
            <c:numRef>
              <c:f>najnovije!$C$8:$I$8</c:f>
              <c:numCache>
                <c:formatCode>General</c:formatCode>
                <c:ptCount val="7"/>
                <c:pt idx="0">
                  <c:v>5300</c:v>
                </c:pt>
                <c:pt idx="1">
                  <c:v>4909</c:v>
                </c:pt>
                <c:pt idx="2">
                  <c:v>3213</c:v>
                </c:pt>
                <c:pt idx="3">
                  <c:v>16156</c:v>
                </c:pt>
                <c:pt idx="4">
                  <c:v>5664</c:v>
                </c:pt>
                <c:pt idx="5">
                  <c:v>692</c:v>
                </c:pt>
                <c:pt idx="6">
                  <c:v>1798</c:v>
                </c:pt>
              </c:numCache>
            </c:numRef>
          </c:val>
        </c:ser>
        <c:ser>
          <c:idx val="7"/>
          <c:order val="7"/>
          <c:tx>
            <c:strRef>
              <c:f>najnovije!$B$9</c:f>
              <c:strCache>
                <c:ptCount val="1"/>
                <c:pt idx="0">
                  <c:v>2012.</c:v>
                </c:pt>
              </c:strCache>
            </c:strRef>
          </c:tx>
          <c:invertIfNegative val="0"/>
          <c:cat>
            <c:strRef>
              <c:f>najnovije!$C$1:$I$1</c:f>
              <c:strCache>
                <c:ptCount val="7"/>
                <c:pt idx="0">
                  <c:v>Bugarska</c:v>
                </c:pt>
                <c:pt idx="1">
                  <c:v>Češka</c:v>
                </c:pt>
                <c:pt idx="2">
                  <c:v>Mađarska</c:v>
                </c:pt>
                <c:pt idx="3">
                  <c:v>Rumunjska</c:v>
                </c:pt>
                <c:pt idx="4">
                  <c:v>Slovačka</c:v>
                </c:pt>
                <c:pt idx="5">
                  <c:v>Slovenija</c:v>
                </c:pt>
                <c:pt idx="6">
                  <c:v>Hrvatska</c:v>
                </c:pt>
              </c:strCache>
            </c:strRef>
          </c:cat>
          <c:val>
            <c:numRef>
              <c:f>najnovije!$C$9:$I$9</c:f>
              <c:numCache>
                <c:formatCode>General</c:formatCode>
                <c:ptCount val="7"/>
                <c:pt idx="0">
                  <c:v>2756</c:v>
                </c:pt>
                <c:pt idx="1">
                  <c:v>2706</c:v>
                </c:pt>
                <c:pt idx="2">
                  <c:v>2502</c:v>
                </c:pt>
                <c:pt idx="3">
                  <c:v>9888</c:v>
                </c:pt>
                <c:pt idx="4">
                  <c:v>1420</c:v>
                </c:pt>
                <c:pt idx="5">
                  <c:v>469</c:v>
                </c:pt>
                <c:pt idx="6">
                  <c:v>1141</c:v>
                </c:pt>
              </c:numCache>
            </c:numRef>
          </c:val>
        </c:ser>
        <c:dLbls>
          <c:showLegendKey val="0"/>
          <c:showVal val="0"/>
          <c:showCatName val="0"/>
          <c:showSerName val="0"/>
          <c:showPercent val="0"/>
          <c:showBubbleSize val="0"/>
        </c:dLbls>
        <c:gapWidth val="150"/>
        <c:axId val="130037632"/>
        <c:axId val="130039168"/>
      </c:barChart>
      <c:catAx>
        <c:axId val="130037632"/>
        <c:scaling>
          <c:orientation val="minMax"/>
        </c:scaling>
        <c:delete val="0"/>
        <c:axPos val="b"/>
        <c:numFmt formatCode="General" sourceLinked="1"/>
        <c:majorTickMark val="out"/>
        <c:minorTickMark val="none"/>
        <c:tickLblPos val="nextTo"/>
        <c:crossAx val="130039168"/>
        <c:crosses val="autoZero"/>
        <c:auto val="1"/>
        <c:lblAlgn val="ctr"/>
        <c:lblOffset val="100"/>
        <c:noMultiLvlLbl val="0"/>
      </c:catAx>
      <c:valAx>
        <c:axId val="130039168"/>
        <c:scaling>
          <c:orientation val="minMax"/>
        </c:scaling>
        <c:delete val="0"/>
        <c:axPos val="l"/>
        <c:majorGridlines/>
        <c:numFmt formatCode="General" sourceLinked="1"/>
        <c:majorTickMark val="out"/>
        <c:minorTickMark val="none"/>
        <c:tickLblPos val="nextTo"/>
        <c:crossAx val="130037632"/>
        <c:crosses val="autoZero"/>
        <c:crossBetween val="between"/>
      </c:valAx>
    </c:plotArea>
    <c:legend>
      <c:legendPos val="r"/>
      <c:layout>
        <c:manualLayout>
          <c:xMode val="edge"/>
          <c:yMode val="edge"/>
          <c:x val="0.9097075806700633"/>
          <c:y val="0.29653543307086633"/>
          <c:w val="7.9625752663269947E-2"/>
          <c:h val="0.40692913385826773"/>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cat>
            <c:strRef>
              <c:f>hrvatski!$O$6:$O$10</c:f>
              <c:strCache>
                <c:ptCount val="5"/>
                <c:pt idx="0">
                  <c:v>NJEMAČKA</c:v>
                </c:pt>
                <c:pt idx="1">
                  <c:v>FRANCUSKA</c:v>
                </c:pt>
                <c:pt idx="2">
                  <c:v>MAĐARSKA</c:v>
                </c:pt>
                <c:pt idx="3">
                  <c:v>NIZOZEMSKA</c:v>
                </c:pt>
                <c:pt idx="4">
                  <c:v>AUSTRIJA</c:v>
                </c:pt>
              </c:strCache>
            </c:strRef>
          </c:cat>
          <c:val>
            <c:numRef>
              <c:f>hrvatski!$P$6:$P$10</c:f>
              <c:numCache>
                <c:formatCode>#,##0.0\ _k_n</c:formatCode>
                <c:ptCount val="5"/>
                <c:pt idx="0">
                  <c:v>1199.4000000000001</c:v>
                </c:pt>
                <c:pt idx="1">
                  <c:v>1217.9000000000001</c:v>
                </c:pt>
                <c:pt idx="2">
                  <c:v>1724</c:v>
                </c:pt>
                <c:pt idx="3">
                  <c:v>2786.4</c:v>
                </c:pt>
                <c:pt idx="4">
                  <c:v>4466</c:v>
                </c:pt>
              </c:numCache>
            </c:numRef>
          </c:val>
        </c:ser>
        <c:dLbls>
          <c:showLegendKey val="0"/>
          <c:showVal val="0"/>
          <c:showCatName val="0"/>
          <c:showSerName val="0"/>
          <c:showPercent val="0"/>
          <c:showBubbleSize val="0"/>
        </c:dLbls>
        <c:gapWidth val="150"/>
        <c:shape val="box"/>
        <c:axId val="130055552"/>
        <c:axId val="130081920"/>
        <c:axId val="0"/>
      </c:bar3DChart>
      <c:catAx>
        <c:axId val="130055552"/>
        <c:scaling>
          <c:orientation val="minMax"/>
        </c:scaling>
        <c:delete val="0"/>
        <c:axPos val="l"/>
        <c:majorTickMark val="out"/>
        <c:minorTickMark val="none"/>
        <c:tickLblPos val="nextTo"/>
        <c:crossAx val="130081920"/>
        <c:crosses val="autoZero"/>
        <c:auto val="1"/>
        <c:lblAlgn val="ctr"/>
        <c:lblOffset val="100"/>
        <c:noMultiLvlLbl val="0"/>
      </c:catAx>
      <c:valAx>
        <c:axId val="130081920"/>
        <c:scaling>
          <c:orientation val="minMax"/>
        </c:scaling>
        <c:delete val="0"/>
        <c:axPos val="b"/>
        <c:majorGridlines/>
        <c:numFmt formatCode="#,##0.0\ _k_n" sourceLinked="1"/>
        <c:majorTickMark val="out"/>
        <c:minorTickMark val="none"/>
        <c:tickLblPos val="nextTo"/>
        <c:crossAx val="13005555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GB" sz="1400"/>
              <a:t>Struktura izravnih stranih investicija</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2977461421099205E-2"/>
          <c:y val="0.235095463961637"/>
          <c:w val="0.51373240282791166"/>
          <c:h val="0.66136573387332709"/>
        </c:manualLayout>
      </c:layout>
      <c:pie3DChart>
        <c:varyColors val="1"/>
        <c:ser>
          <c:idx val="0"/>
          <c:order val="0"/>
          <c:explosion val="25"/>
          <c:dLbls>
            <c:showLegendKey val="0"/>
            <c:showVal val="0"/>
            <c:showCatName val="0"/>
            <c:showSerName val="0"/>
            <c:showPercent val="1"/>
            <c:showBubbleSize val="0"/>
            <c:showLeaderLines val="1"/>
          </c:dLbls>
          <c:cat>
            <c:strRef>
              <c:f>hrvatski!$O$30:$O$35</c:f>
              <c:strCache>
                <c:ptCount val="6"/>
                <c:pt idx="0">
                  <c:v>FINANCIJSKO POSREDOVANJE, OSIM OSIGURAVAJUĆIH I MIROVINSKIH FONDOVA</c:v>
                </c:pt>
                <c:pt idx="1">
                  <c:v>TRGOVINA NA VELIKO I POSREDOVANJE U TRGOVINI</c:v>
                </c:pt>
                <c:pt idx="2">
                  <c:v>POSLOVANJE NEKRETNINAMA</c:v>
                </c:pt>
                <c:pt idx="3">
                  <c:v>OSTALE POSLOVNE DJELATNOSTI</c:v>
                </c:pt>
                <c:pt idx="4">
                  <c:v>PROIZVODNJA KOKSA, NAFTNIH DERIVATA I NUKLEARNOG GORIVA</c:v>
                </c:pt>
                <c:pt idx="5">
                  <c:v>TRGOVINA NA MALO; POPRAVAK PREDMETA ZA KUĆANSTVO</c:v>
                </c:pt>
              </c:strCache>
            </c:strRef>
          </c:cat>
          <c:val>
            <c:numRef>
              <c:f>hrvatski!$P$30:$P$35</c:f>
              <c:numCache>
                <c:formatCode>#,##0.0</c:formatCode>
                <c:ptCount val="6"/>
                <c:pt idx="0">
                  <c:v>5763.6606984750597</c:v>
                </c:pt>
                <c:pt idx="1">
                  <c:v>2251.7840919022892</c:v>
                </c:pt>
                <c:pt idx="2">
                  <c:v>1608.9503769938024</c:v>
                </c:pt>
                <c:pt idx="3">
                  <c:v>1408.8872921868281</c:v>
                </c:pt>
                <c:pt idx="4">
                  <c:v>1090.9337464387072</c:v>
                </c:pt>
                <c:pt idx="5">
                  <c:v>964.5502690019423</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3414634146341464"/>
          <c:y val="0.1413910239351294"/>
          <c:w val="0.33983739837398375"/>
          <c:h val="0.84354717260365197"/>
        </c:manualLayout>
      </c:layout>
      <c:overlay val="0"/>
      <c:spPr>
        <a:ln>
          <a:solidFill>
            <a:schemeClr val="accent1">
              <a:alpha val="94000"/>
            </a:schemeClr>
          </a:solidFill>
        </a:ln>
      </c:sp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0330994556088961"/>
          <c:y val="0.15472187670061416"/>
          <c:w val="0.87450145131253454"/>
          <c:h val="0.43666496373874125"/>
        </c:manualLayout>
      </c:layout>
      <c:bar3DChart>
        <c:barDir val="col"/>
        <c:grouping val="clustered"/>
        <c:varyColors val="0"/>
        <c:ser>
          <c:idx val="0"/>
          <c:order val="0"/>
          <c:invertIfNegative val="0"/>
          <c:cat>
            <c:strRef>
              <c:f>'FDI - po županijama'!$L$23:$L$27</c:f>
              <c:strCache>
                <c:ptCount val="5"/>
                <c:pt idx="0">
                  <c:v>GRAD ZAGREB</c:v>
                </c:pt>
                <c:pt idx="1">
                  <c:v>PRIMORSKO-GORANSKA</c:v>
                </c:pt>
                <c:pt idx="2">
                  <c:v>SPLITSKO-DALMATINSKA</c:v>
                </c:pt>
                <c:pt idx="3">
                  <c:v>ISTARSKA</c:v>
                </c:pt>
                <c:pt idx="4">
                  <c:v>ZAGREBAČKA</c:v>
                </c:pt>
              </c:strCache>
            </c:strRef>
          </c:cat>
          <c:val>
            <c:numRef>
              <c:f>'FDI - po županijama'!$M$23:$M$27</c:f>
              <c:numCache>
                <c:formatCode>#,##0.0</c:formatCode>
                <c:ptCount val="5"/>
                <c:pt idx="0">
                  <c:v>10119.736645977817</c:v>
                </c:pt>
                <c:pt idx="1">
                  <c:v>1115.8506181053071</c:v>
                </c:pt>
                <c:pt idx="2">
                  <c:v>717.98653923353663</c:v>
                </c:pt>
                <c:pt idx="3">
                  <c:v>525.1309526979295</c:v>
                </c:pt>
                <c:pt idx="4">
                  <c:v>503.01597507195351</c:v>
                </c:pt>
              </c:numCache>
            </c:numRef>
          </c:val>
        </c:ser>
        <c:dLbls>
          <c:showLegendKey val="0"/>
          <c:showVal val="0"/>
          <c:showCatName val="0"/>
          <c:showSerName val="0"/>
          <c:showPercent val="0"/>
          <c:showBubbleSize val="0"/>
        </c:dLbls>
        <c:gapWidth val="150"/>
        <c:shape val="box"/>
        <c:axId val="135699840"/>
        <c:axId val="202146944"/>
        <c:axId val="0"/>
      </c:bar3DChart>
      <c:catAx>
        <c:axId val="135699840"/>
        <c:scaling>
          <c:orientation val="minMax"/>
        </c:scaling>
        <c:delete val="0"/>
        <c:axPos val="b"/>
        <c:majorTickMark val="out"/>
        <c:minorTickMark val="none"/>
        <c:tickLblPos val="nextTo"/>
        <c:crossAx val="202146944"/>
        <c:crosses val="autoZero"/>
        <c:auto val="1"/>
        <c:lblAlgn val="ctr"/>
        <c:lblOffset val="100"/>
        <c:noMultiLvlLbl val="0"/>
      </c:catAx>
      <c:valAx>
        <c:axId val="202146944"/>
        <c:scaling>
          <c:orientation val="minMax"/>
        </c:scaling>
        <c:delete val="0"/>
        <c:axPos val="l"/>
        <c:numFmt formatCode="#,##0.0" sourceLinked="1"/>
        <c:majorTickMark val="out"/>
        <c:minorTickMark val="none"/>
        <c:tickLblPos val="nextTo"/>
        <c:crossAx val="135699840"/>
        <c:crosses val="autoZero"/>
        <c:crossBetween val="between"/>
      </c:valAx>
    </c:plotArea>
    <c:plotVisOnly val="1"/>
    <c:dispBlanksAs val="gap"/>
    <c:showDLblsOverMax val="0"/>
  </c:chart>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invertIfNegative val="0"/>
          <c:dPt>
            <c:idx val="7"/>
            <c:invertIfNegative val="0"/>
            <c:bubble3D val="0"/>
            <c:spPr>
              <a:solidFill>
                <a:srgbClr val="00B050"/>
              </a:solidFill>
            </c:spPr>
          </c:dPt>
          <c:cat>
            <c:strRef>
              <c:f>Sheet1!$A$1:$A$12</c:f>
              <c:strCache>
                <c:ptCount val="12"/>
                <c:pt idx="0">
                  <c:v>SLOVENIJA</c:v>
                </c:pt>
                <c:pt idx="1">
                  <c:v>ČEŠKA</c:v>
                </c:pt>
                <c:pt idx="2">
                  <c:v>PORTUGAL</c:v>
                </c:pt>
                <c:pt idx="3">
                  <c:v>SLOVAČKA</c:v>
                </c:pt>
                <c:pt idx="4">
                  <c:v>MAĐARSKA</c:v>
                </c:pt>
                <c:pt idx="5">
                  <c:v>ESTONIJA</c:v>
                </c:pt>
                <c:pt idx="6">
                  <c:v>POLJSKA</c:v>
                </c:pt>
                <c:pt idx="7">
                  <c:v>HRVATSKA</c:v>
                </c:pt>
                <c:pt idx="8">
                  <c:v>LITVA</c:v>
                </c:pt>
                <c:pt idx="9">
                  <c:v>LATVIJA</c:v>
                </c:pt>
                <c:pt idx="10">
                  <c:v>RUMUNJSKA</c:v>
                </c:pt>
                <c:pt idx="11">
                  <c:v>BUGARSKA</c:v>
                </c:pt>
              </c:strCache>
            </c:strRef>
          </c:cat>
          <c:val>
            <c:numRef>
              <c:f>Sheet1!$B$1:$B$12</c:f>
              <c:numCache>
                <c:formatCode>General</c:formatCode>
                <c:ptCount val="12"/>
                <c:pt idx="0">
                  <c:v>85</c:v>
                </c:pt>
                <c:pt idx="1">
                  <c:v>80</c:v>
                </c:pt>
                <c:pt idx="2">
                  <c:v>80</c:v>
                </c:pt>
                <c:pt idx="3">
                  <c:v>74</c:v>
                </c:pt>
                <c:pt idx="4">
                  <c:v>65</c:v>
                </c:pt>
                <c:pt idx="5">
                  <c:v>64</c:v>
                </c:pt>
                <c:pt idx="6">
                  <c:v>63</c:v>
                </c:pt>
                <c:pt idx="7">
                  <c:v>61</c:v>
                </c:pt>
                <c:pt idx="8">
                  <c:v>57</c:v>
                </c:pt>
                <c:pt idx="9">
                  <c:v>51</c:v>
                </c:pt>
                <c:pt idx="10">
                  <c:v>46</c:v>
                </c:pt>
                <c:pt idx="11">
                  <c:v>44</c:v>
                </c:pt>
              </c:numCache>
            </c:numRef>
          </c:val>
        </c:ser>
        <c:dLbls>
          <c:showLegendKey val="0"/>
          <c:showVal val="0"/>
          <c:showCatName val="0"/>
          <c:showSerName val="0"/>
          <c:showPercent val="0"/>
          <c:showBubbleSize val="0"/>
        </c:dLbls>
        <c:gapWidth val="55"/>
        <c:overlap val="100"/>
        <c:axId val="202224768"/>
        <c:axId val="202226304"/>
      </c:barChart>
      <c:catAx>
        <c:axId val="202224768"/>
        <c:scaling>
          <c:orientation val="minMax"/>
        </c:scaling>
        <c:delete val="0"/>
        <c:axPos val="l"/>
        <c:majorTickMark val="none"/>
        <c:minorTickMark val="none"/>
        <c:tickLblPos val="nextTo"/>
        <c:crossAx val="202226304"/>
        <c:crosses val="autoZero"/>
        <c:auto val="1"/>
        <c:lblAlgn val="ctr"/>
        <c:lblOffset val="100"/>
        <c:noMultiLvlLbl val="0"/>
      </c:catAx>
      <c:valAx>
        <c:axId val="202226304"/>
        <c:scaling>
          <c:orientation val="minMax"/>
        </c:scaling>
        <c:delete val="0"/>
        <c:axPos val="b"/>
        <c:majorGridlines/>
        <c:numFmt formatCode="General" sourceLinked="1"/>
        <c:majorTickMark val="none"/>
        <c:minorTickMark val="none"/>
        <c:tickLblPos val="nextTo"/>
        <c:crossAx val="202224768"/>
        <c:crosses val="autoZero"/>
        <c:crossBetween val="between"/>
      </c:valAx>
    </c:plotArea>
    <c:plotVisOnly val="1"/>
    <c:dispBlanksAs val="gap"/>
    <c:showDLblsOverMax val="0"/>
  </c:chart>
  <c:externalData r:id="rId2">
    <c:autoUpdate val="0"/>
  </c:externalData>
</c:chartSpace>
</file>

<file path=word/diagrams/_rels/data2.xml.rels><?xml version="1.0" encoding="UTF-8" standalone="yes"?>
<Relationships xmlns="http://schemas.openxmlformats.org/package/2006/relationships"><Relationship Id="rId1" Type="http://schemas.openxmlformats.org/officeDocument/2006/relationships/image" Target="../media/image2.jpeg"/></Relationships>
</file>

<file path=word/diagrams/_rels/data3.xml.rels><?xml version="1.0" encoding="UTF-8" standalone="yes"?>
<Relationships xmlns="http://schemas.openxmlformats.org/package/2006/relationships"><Relationship Id="rId1" Type="http://schemas.openxmlformats.org/officeDocument/2006/relationships/image" Target="../media/image3.jpeg"/></Relationships>
</file>

<file path=word/diagrams/_rels/data4.xml.rels><?xml version="1.0" encoding="UTF-8" standalone="yes"?>
<Relationships xmlns="http://schemas.openxmlformats.org/package/2006/relationships"><Relationship Id="rId1" Type="http://schemas.openxmlformats.org/officeDocument/2006/relationships/image" Target="../media/image4.jpeg"/></Relationships>
</file>

<file path=word/diagrams/_rels/data5.xml.rels><?xml version="1.0" encoding="UTF-8" standalone="yes"?>
<Relationships xmlns="http://schemas.openxmlformats.org/package/2006/relationships"><Relationship Id="rId1" Type="http://schemas.openxmlformats.org/officeDocument/2006/relationships/image" Target="../media/image4.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2.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3.jpeg"/></Relationships>
</file>

<file path=word/diagrams/_rels/drawing4.xml.rels><?xml version="1.0" encoding="UTF-8" standalone="yes"?>
<Relationships xmlns="http://schemas.openxmlformats.org/package/2006/relationships"><Relationship Id="rId1" Type="http://schemas.openxmlformats.org/officeDocument/2006/relationships/image" Target="../media/image4.jpeg"/></Relationships>
</file>

<file path=word/diagrams/_rels/drawing5.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4">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5">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6B5DE0-5360-44EE-8D1B-F93750DB7CAA}" type="doc">
      <dgm:prSet loTypeId="urn:microsoft.com/office/officeart/2005/8/layout/hList3" loCatId="list" qsTypeId="urn:microsoft.com/office/officeart/2005/8/quickstyle/simple3" qsCatId="simple" csTypeId="urn:microsoft.com/office/officeart/2005/8/colors/accent1_2#1" csCatId="accent1" phldr="1"/>
      <dgm:spPr/>
      <dgm:t>
        <a:bodyPr/>
        <a:lstStyle/>
        <a:p>
          <a:endParaRPr lang="hr-HR"/>
        </a:p>
      </dgm:t>
    </dgm:pt>
    <dgm:pt modelId="{92167BC7-8756-41B8-82A3-20820ABFEB91}">
      <dgm:prSet phldrT="[Text]" custT="1"/>
      <dgm:spPr/>
      <dgm:t>
        <a:bodyPr/>
        <a:lstStyle/>
        <a:p>
          <a:r>
            <a:rPr lang="hr-HR" sz="1100" b="1"/>
            <a:t>Prioritetno područje  2</a:t>
          </a:r>
          <a:r>
            <a:rPr lang="hr-HR" sz="1100"/>
            <a:t>.</a:t>
          </a:r>
        </a:p>
        <a:p>
          <a:r>
            <a:rPr lang="hr-HR" sz="1100"/>
            <a:t> Promocija Republike Hrvatske kao atraktivne investicijske destinacije</a:t>
          </a:r>
        </a:p>
      </dgm:t>
    </dgm:pt>
    <dgm:pt modelId="{4A9FEF84-9975-42FF-AE70-33E269957BDA}" type="parTrans" cxnId="{909FD754-7C20-4F76-B512-C6B5530F099A}">
      <dgm:prSet/>
      <dgm:spPr/>
      <dgm:t>
        <a:bodyPr/>
        <a:lstStyle/>
        <a:p>
          <a:endParaRPr lang="hr-HR"/>
        </a:p>
      </dgm:t>
    </dgm:pt>
    <dgm:pt modelId="{F1482409-49B3-48B4-AE8A-5A1619A392C3}" type="sibTrans" cxnId="{909FD754-7C20-4F76-B512-C6B5530F099A}">
      <dgm:prSet/>
      <dgm:spPr/>
      <dgm:t>
        <a:bodyPr/>
        <a:lstStyle/>
        <a:p>
          <a:endParaRPr lang="hr-HR"/>
        </a:p>
      </dgm:t>
    </dgm:pt>
    <dgm:pt modelId="{04C20491-9397-4970-B32C-244878CF801B}">
      <dgm:prSet phldrT="[Text]" custT="1"/>
      <dgm:spPr/>
      <dgm:t>
        <a:bodyPr/>
        <a:lstStyle/>
        <a:p>
          <a:r>
            <a:rPr lang="hr-HR" sz="1100" b="1"/>
            <a:t>Prioritetno područje 3.</a:t>
          </a:r>
        </a:p>
        <a:p>
          <a:r>
            <a:rPr lang="hr-HR" sz="1100"/>
            <a:t> Ciljano privlačenje investicija</a:t>
          </a:r>
        </a:p>
      </dgm:t>
    </dgm:pt>
    <dgm:pt modelId="{57CACF2B-D096-46D5-9CB8-A48343F42B56}" type="parTrans" cxnId="{C3796DB3-29BC-4E2B-951B-12D586886299}">
      <dgm:prSet/>
      <dgm:spPr/>
      <dgm:t>
        <a:bodyPr/>
        <a:lstStyle/>
        <a:p>
          <a:endParaRPr lang="hr-HR"/>
        </a:p>
      </dgm:t>
    </dgm:pt>
    <dgm:pt modelId="{D6826DA3-98B9-4760-A1C3-CCFB2D3BF883}" type="sibTrans" cxnId="{C3796DB3-29BC-4E2B-951B-12D586886299}">
      <dgm:prSet/>
      <dgm:spPr/>
      <dgm:t>
        <a:bodyPr/>
        <a:lstStyle/>
        <a:p>
          <a:endParaRPr lang="hr-HR"/>
        </a:p>
      </dgm:t>
    </dgm:pt>
    <dgm:pt modelId="{3EB50045-F1FB-48E7-A152-A76E0E564565}">
      <dgm:prSet phldrT="[Text]" custT="1"/>
      <dgm:spPr/>
      <dgm:t>
        <a:bodyPr/>
        <a:lstStyle/>
        <a:p>
          <a:r>
            <a:rPr lang="hr-HR" sz="1100" b="1"/>
            <a:t>Prioritetno područje  4. </a:t>
          </a:r>
        </a:p>
        <a:p>
          <a:r>
            <a:rPr lang="hr-HR" sz="1100"/>
            <a:t>Pružanje  podrške  realizaciji investicijskih projekata </a:t>
          </a:r>
        </a:p>
      </dgm:t>
    </dgm:pt>
    <dgm:pt modelId="{85489AA4-8564-487B-B373-CFE10BCA3927}" type="parTrans" cxnId="{F4DC549C-FF0D-4EE2-A8F8-C05F6AF3C3FF}">
      <dgm:prSet/>
      <dgm:spPr/>
      <dgm:t>
        <a:bodyPr/>
        <a:lstStyle/>
        <a:p>
          <a:endParaRPr lang="hr-HR"/>
        </a:p>
      </dgm:t>
    </dgm:pt>
    <dgm:pt modelId="{421D3E4E-2ADA-4C96-B0AD-CCDBD380A18D}" type="sibTrans" cxnId="{F4DC549C-FF0D-4EE2-A8F8-C05F6AF3C3FF}">
      <dgm:prSet/>
      <dgm:spPr/>
      <dgm:t>
        <a:bodyPr/>
        <a:lstStyle/>
        <a:p>
          <a:endParaRPr lang="hr-HR"/>
        </a:p>
      </dgm:t>
    </dgm:pt>
    <dgm:pt modelId="{03FED8C5-F2E2-462D-BB80-6C70B34991D5}">
      <dgm:prSet phldrT="[Text]" custT="1"/>
      <dgm:spPr/>
      <dgm:t>
        <a:bodyPr/>
        <a:lstStyle/>
        <a:p>
          <a:r>
            <a:rPr lang="hr-HR" sz="1200" b="1"/>
            <a:t>Opći cilj: Potaknuti gospodarski rast i konkurentnost Republike Hrvatske kroz povećanje priljeva domaćih i stranih investicija</a:t>
          </a:r>
        </a:p>
      </dgm:t>
    </dgm:pt>
    <dgm:pt modelId="{3D939E48-F6BF-4F04-BB13-0EAA028E04B3}" type="sibTrans" cxnId="{EE7F11AD-89C0-41BF-BAC6-0FA176DE97D0}">
      <dgm:prSet/>
      <dgm:spPr/>
      <dgm:t>
        <a:bodyPr/>
        <a:lstStyle/>
        <a:p>
          <a:endParaRPr lang="hr-HR"/>
        </a:p>
      </dgm:t>
    </dgm:pt>
    <dgm:pt modelId="{7A92F0F6-6BD2-4E51-B338-5276F6556724}" type="parTrans" cxnId="{EE7F11AD-89C0-41BF-BAC6-0FA176DE97D0}">
      <dgm:prSet/>
      <dgm:spPr/>
      <dgm:t>
        <a:bodyPr/>
        <a:lstStyle/>
        <a:p>
          <a:endParaRPr lang="hr-HR"/>
        </a:p>
      </dgm:t>
    </dgm:pt>
    <dgm:pt modelId="{CB409B99-5FC2-40A4-BF2B-AA8A6C269BB0}">
      <dgm:prSet phldrT="[Text]" custT="1"/>
      <dgm:spPr/>
      <dgm:t>
        <a:bodyPr/>
        <a:lstStyle/>
        <a:p>
          <a:r>
            <a:rPr lang="hr-HR" sz="1100" b="1"/>
            <a:t>Prioritetno područje 1.</a:t>
          </a:r>
        </a:p>
        <a:p>
          <a:r>
            <a:rPr lang="hr-HR" sz="1100"/>
            <a:t>Unaprjeđenje investicijskog okruženja</a:t>
          </a:r>
        </a:p>
      </dgm:t>
    </dgm:pt>
    <dgm:pt modelId="{C7D65DFE-1979-4276-B59E-5E8DB6A323B4}" type="sibTrans" cxnId="{1C8E0E77-2C62-4326-A0F7-8F79F7B15023}">
      <dgm:prSet/>
      <dgm:spPr/>
      <dgm:t>
        <a:bodyPr/>
        <a:lstStyle/>
        <a:p>
          <a:endParaRPr lang="hr-HR"/>
        </a:p>
      </dgm:t>
    </dgm:pt>
    <dgm:pt modelId="{31EC0F26-9E2C-4B24-9B9F-854EA288C4F8}" type="parTrans" cxnId="{1C8E0E77-2C62-4326-A0F7-8F79F7B15023}">
      <dgm:prSet/>
      <dgm:spPr/>
      <dgm:t>
        <a:bodyPr/>
        <a:lstStyle/>
        <a:p>
          <a:endParaRPr lang="hr-HR"/>
        </a:p>
      </dgm:t>
    </dgm:pt>
    <dgm:pt modelId="{988A7D8A-2445-4727-8185-E40364107732}" type="pres">
      <dgm:prSet presAssocID="{556B5DE0-5360-44EE-8D1B-F93750DB7CAA}" presName="composite" presStyleCnt="0">
        <dgm:presLayoutVars>
          <dgm:chMax val="1"/>
          <dgm:dir/>
          <dgm:resizeHandles val="exact"/>
        </dgm:presLayoutVars>
      </dgm:prSet>
      <dgm:spPr/>
      <dgm:t>
        <a:bodyPr/>
        <a:lstStyle/>
        <a:p>
          <a:endParaRPr lang="hr-HR"/>
        </a:p>
      </dgm:t>
    </dgm:pt>
    <dgm:pt modelId="{E3D7519B-2595-4923-BD3D-928DD09650F5}" type="pres">
      <dgm:prSet presAssocID="{03FED8C5-F2E2-462D-BB80-6C70B34991D5}" presName="roof" presStyleLbl="dkBgShp" presStyleIdx="0" presStyleCnt="2"/>
      <dgm:spPr/>
      <dgm:t>
        <a:bodyPr/>
        <a:lstStyle/>
        <a:p>
          <a:endParaRPr lang="hr-HR"/>
        </a:p>
      </dgm:t>
    </dgm:pt>
    <dgm:pt modelId="{BCA7A1C9-5172-4DFA-97AC-2D79E831788C}" type="pres">
      <dgm:prSet presAssocID="{03FED8C5-F2E2-462D-BB80-6C70B34991D5}" presName="pillars" presStyleCnt="0"/>
      <dgm:spPr/>
      <dgm:t>
        <a:bodyPr/>
        <a:lstStyle/>
        <a:p>
          <a:endParaRPr lang="hr-HR"/>
        </a:p>
      </dgm:t>
    </dgm:pt>
    <dgm:pt modelId="{781BA461-D82B-4AB9-8800-A86570E7E776}" type="pres">
      <dgm:prSet presAssocID="{03FED8C5-F2E2-462D-BB80-6C70B34991D5}" presName="pillar1" presStyleLbl="node1" presStyleIdx="0" presStyleCnt="4">
        <dgm:presLayoutVars>
          <dgm:bulletEnabled val="1"/>
        </dgm:presLayoutVars>
      </dgm:prSet>
      <dgm:spPr/>
      <dgm:t>
        <a:bodyPr/>
        <a:lstStyle/>
        <a:p>
          <a:endParaRPr lang="hr-HR"/>
        </a:p>
      </dgm:t>
    </dgm:pt>
    <dgm:pt modelId="{D2093C48-E2D1-470D-A63B-BFC948B45229}" type="pres">
      <dgm:prSet presAssocID="{92167BC7-8756-41B8-82A3-20820ABFEB91}" presName="pillarX" presStyleLbl="node1" presStyleIdx="1" presStyleCnt="4">
        <dgm:presLayoutVars>
          <dgm:bulletEnabled val="1"/>
        </dgm:presLayoutVars>
      </dgm:prSet>
      <dgm:spPr/>
      <dgm:t>
        <a:bodyPr/>
        <a:lstStyle/>
        <a:p>
          <a:endParaRPr lang="hr-HR"/>
        </a:p>
      </dgm:t>
    </dgm:pt>
    <dgm:pt modelId="{08BCBD10-BF91-4E0A-9C0B-11EDEACF949C}" type="pres">
      <dgm:prSet presAssocID="{04C20491-9397-4970-B32C-244878CF801B}" presName="pillarX" presStyleLbl="node1" presStyleIdx="2" presStyleCnt="4">
        <dgm:presLayoutVars>
          <dgm:bulletEnabled val="1"/>
        </dgm:presLayoutVars>
      </dgm:prSet>
      <dgm:spPr/>
      <dgm:t>
        <a:bodyPr/>
        <a:lstStyle/>
        <a:p>
          <a:endParaRPr lang="hr-HR"/>
        </a:p>
      </dgm:t>
    </dgm:pt>
    <dgm:pt modelId="{278B6BB9-8DDA-4706-9EDE-34D773796A8A}" type="pres">
      <dgm:prSet presAssocID="{3EB50045-F1FB-48E7-A152-A76E0E564565}" presName="pillarX" presStyleLbl="node1" presStyleIdx="3" presStyleCnt="4">
        <dgm:presLayoutVars>
          <dgm:bulletEnabled val="1"/>
        </dgm:presLayoutVars>
      </dgm:prSet>
      <dgm:spPr/>
      <dgm:t>
        <a:bodyPr/>
        <a:lstStyle/>
        <a:p>
          <a:endParaRPr lang="hr-HR"/>
        </a:p>
      </dgm:t>
    </dgm:pt>
    <dgm:pt modelId="{E4397A45-6960-48B6-BEC3-A3D343746950}" type="pres">
      <dgm:prSet presAssocID="{03FED8C5-F2E2-462D-BB80-6C70B34991D5}" presName="base" presStyleLbl="dkBgShp" presStyleIdx="1" presStyleCnt="2"/>
      <dgm:spPr/>
      <dgm:t>
        <a:bodyPr/>
        <a:lstStyle/>
        <a:p>
          <a:endParaRPr lang="hr-HR"/>
        </a:p>
      </dgm:t>
    </dgm:pt>
  </dgm:ptLst>
  <dgm:cxnLst>
    <dgm:cxn modelId="{77BBB51D-8932-4F6B-BBA4-00CAC2C9B3F0}" type="presOf" srcId="{03FED8C5-F2E2-462D-BB80-6C70B34991D5}" destId="{E3D7519B-2595-4923-BD3D-928DD09650F5}" srcOrd="0" destOrd="0" presId="urn:microsoft.com/office/officeart/2005/8/layout/hList3"/>
    <dgm:cxn modelId="{E829A72C-4905-4A0E-A63F-3AFCEF46D472}" type="presOf" srcId="{92167BC7-8756-41B8-82A3-20820ABFEB91}" destId="{D2093C48-E2D1-470D-A63B-BFC948B45229}" srcOrd="0" destOrd="0" presId="urn:microsoft.com/office/officeart/2005/8/layout/hList3"/>
    <dgm:cxn modelId="{C3796DB3-29BC-4E2B-951B-12D586886299}" srcId="{03FED8C5-F2E2-462D-BB80-6C70B34991D5}" destId="{04C20491-9397-4970-B32C-244878CF801B}" srcOrd="2" destOrd="0" parTransId="{57CACF2B-D096-46D5-9CB8-A48343F42B56}" sibTransId="{D6826DA3-98B9-4760-A1C3-CCFB2D3BF883}"/>
    <dgm:cxn modelId="{909FD754-7C20-4F76-B512-C6B5530F099A}" srcId="{03FED8C5-F2E2-462D-BB80-6C70B34991D5}" destId="{92167BC7-8756-41B8-82A3-20820ABFEB91}" srcOrd="1" destOrd="0" parTransId="{4A9FEF84-9975-42FF-AE70-33E269957BDA}" sibTransId="{F1482409-49B3-48B4-AE8A-5A1619A392C3}"/>
    <dgm:cxn modelId="{48051022-AA61-410A-A4D3-629DF2FAC725}" type="presOf" srcId="{04C20491-9397-4970-B32C-244878CF801B}" destId="{08BCBD10-BF91-4E0A-9C0B-11EDEACF949C}" srcOrd="0" destOrd="0" presId="urn:microsoft.com/office/officeart/2005/8/layout/hList3"/>
    <dgm:cxn modelId="{1C8E0E77-2C62-4326-A0F7-8F79F7B15023}" srcId="{03FED8C5-F2E2-462D-BB80-6C70B34991D5}" destId="{CB409B99-5FC2-40A4-BF2B-AA8A6C269BB0}" srcOrd="0" destOrd="0" parTransId="{31EC0F26-9E2C-4B24-9B9F-854EA288C4F8}" sibTransId="{C7D65DFE-1979-4276-B59E-5E8DB6A323B4}"/>
    <dgm:cxn modelId="{EE7F11AD-89C0-41BF-BAC6-0FA176DE97D0}" srcId="{556B5DE0-5360-44EE-8D1B-F93750DB7CAA}" destId="{03FED8C5-F2E2-462D-BB80-6C70B34991D5}" srcOrd="0" destOrd="0" parTransId="{7A92F0F6-6BD2-4E51-B338-5276F6556724}" sibTransId="{3D939E48-F6BF-4F04-BB13-0EAA028E04B3}"/>
    <dgm:cxn modelId="{5F0B0CA6-1953-4107-B282-5C4CAA3C9BB4}" type="presOf" srcId="{3EB50045-F1FB-48E7-A152-A76E0E564565}" destId="{278B6BB9-8DDA-4706-9EDE-34D773796A8A}" srcOrd="0" destOrd="0" presId="urn:microsoft.com/office/officeart/2005/8/layout/hList3"/>
    <dgm:cxn modelId="{F4DC549C-FF0D-4EE2-A8F8-C05F6AF3C3FF}" srcId="{03FED8C5-F2E2-462D-BB80-6C70B34991D5}" destId="{3EB50045-F1FB-48E7-A152-A76E0E564565}" srcOrd="3" destOrd="0" parTransId="{85489AA4-8564-487B-B373-CFE10BCA3927}" sibTransId="{421D3E4E-2ADA-4C96-B0AD-CCDBD380A18D}"/>
    <dgm:cxn modelId="{ADAA9AA0-0AA8-423F-8008-EE34D259E98A}" type="presOf" srcId="{556B5DE0-5360-44EE-8D1B-F93750DB7CAA}" destId="{988A7D8A-2445-4727-8185-E40364107732}" srcOrd="0" destOrd="0" presId="urn:microsoft.com/office/officeart/2005/8/layout/hList3"/>
    <dgm:cxn modelId="{20ADC7AC-6B88-40DE-A608-3E50EEB960E7}" type="presOf" srcId="{CB409B99-5FC2-40A4-BF2B-AA8A6C269BB0}" destId="{781BA461-D82B-4AB9-8800-A86570E7E776}" srcOrd="0" destOrd="0" presId="urn:microsoft.com/office/officeart/2005/8/layout/hList3"/>
    <dgm:cxn modelId="{22146BB9-FE2D-43F7-8BD6-2E26E3E4D9C2}" type="presParOf" srcId="{988A7D8A-2445-4727-8185-E40364107732}" destId="{E3D7519B-2595-4923-BD3D-928DD09650F5}" srcOrd="0" destOrd="0" presId="urn:microsoft.com/office/officeart/2005/8/layout/hList3"/>
    <dgm:cxn modelId="{AD116697-7BB8-497B-9E38-45C97636FEE6}" type="presParOf" srcId="{988A7D8A-2445-4727-8185-E40364107732}" destId="{BCA7A1C9-5172-4DFA-97AC-2D79E831788C}" srcOrd="1" destOrd="0" presId="urn:microsoft.com/office/officeart/2005/8/layout/hList3"/>
    <dgm:cxn modelId="{E19FD5DB-FD9A-4364-AFA7-8844801B5A8B}" type="presParOf" srcId="{BCA7A1C9-5172-4DFA-97AC-2D79E831788C}" destId="{781BA461-D82B-4AB9-8800-A86570E7E776}" srcOrd="0" destOrd="0" presId="urn:microsoft.com/office/officeart/2005/8/layout/hList3"/>
    <dgm:cxn modelId="{8A959DC8-4C01-4256-9922-972031BF462E}" type="presParOf" srcId="{BCA7A1C9-5172-4DFA-97AC-2D79E831788C}" destId="{D2093C48-E2D1-470D-A63B-BFC948B45229}" srcOrd="1" destOrd="0" presId="urn:microsoft.com/office/officeart/2005/8/layout/hList3"/>
    <dgm:cxn modelId="{A592F69F-3488-4905-B4AD-C6E4ABE03501}" type="presParOf" srcId="{BCA7A1C9-5172-4DFA-97AC-2D79E831788C}" destId="{08BCBD10-BF91-4E0A-9C0B-11EDEACF949C}" srcOrd="2" destOrd="0" presId="urn:microsoft.com/office/officeart/2005/8/layout/hList3"/>
    <dgm:cxn modelId="{643DF8FA-76D0-4BAE-9756-5082E82E79C1}" type="presParOf" srcId="{BCA7A1C9-5172-4DFA-97AC-2D79E831788C}" destId="{278B6BB9-8DDA-4706-9EDE-34D773796A8A}" srcOrd="3" destOrd="0" presId="urn:microsoft.com/office/officeart/2005/8/layout/hList3"/>
    <dgm:cxn modelId="{52109592-56FD-4CC6-B620-6D4F157F30D4}" type="presParOf" srcId="{988A7D8A-2445-4727-8185-E40364107732}" destId="{E4397A45-6960-48B6-BEC3-A3D343746950}" srcOrd="2" destOrd="0" presId="urn:microsoft.com/office/officeart/2005/8/layout/hList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4A54281-EC37-42E2-98BC-3095902D5664}" type="doc">
      <dgm:prSet loTypeId="urn:microsoft.com/office/officeart/2005/8/layout/vList3#1" loCatId="list" qsTypeId="urn:microsoft.com/office/officeart/2005/8/quickstyle/simple1#1" qsCatId="simple" csTypeId="urn:microsoft.com/office/officeart/2005/8/colors/accent1_2#2" csCatId="accent1" phldr="1"/>
      <dgm:spPr/>
    </dgm:pt>
    <dgm:pt modelId="{F691AB7A-03C6-4A97-9C06-273CBE16F843}">
      <dgm:prSet phldrT="[Text]" custT="1"/>
      <dgm:spPr/>
      <dgm:t>
        <a:bodyPr/>
        <a:lstStyle/>
        <a:p>
          <a:r>
            <a:rPr lang="hr-HR" sz="1000"/>
            <a:t>Unaprjeđenje zakonodavnog i institucionalnog okvira i uklanjanje administrativnih barijera  za investicije</a:t>
          </a:r>
        </a:p>
      </dgm:t>
    </dgm:pt>
    <dgm:pt modelId="{DB1DC9A7-15D0-4A8A-AC4E-85A7DD826056}" type="parTrans" cxnId="{30649CF6-C3EB-4FD8-9068-53CF8446795F}">
      <dgm:prSet/>
      <dgm:spPr/>
      <dgm:t>
        <a:bodyPr/>
        <a:lstStyle/>
        <a:p>
          <a:endParaRPr lang="hr-HR"/>
        </a:p>
      </dgm:t>
    </dgm:pt>
    <dgm:pt modelId="{EA9F670F-95D1-4E5F-A45B-6B05994C5862}" type="sibTrans" cxnId="{30649CF6-C3EB-4FD8-9068-53CF8446795F}">
      <dgm:prSet/>
      <dgm:spPr/>
      <dgm:t>
        <a:bodyPr/>
        <a:lstStyle/>
        <a:p>
          <a:endParaRPr lang="hr-HR"/>
        </a:p>
      </dgm:t>
    </dgm:pt>
    <dgm:pt modelId="{3EC22E9D-F777-4EAC-A7B8-2C87FD311B78}">
      <dgm:prSet phldrT="[Text]" custT="1"/>
      <dgm:spPr/>
      <dgm:t>
        <a:bodyPr/>
        <a:lstStyle/>
        <a:p>
          <a:r>
            <a:rPr lang="hr-HR" sz="1000"/>
            <a:t>Prilagodba obrazovnog sustava i tržišta rada potrebama investitora</a:t>
          </a:r>
        </a:p>
      </dgm:t>
    </dgm:pt>
    <dgm:pt modelId="{52243DC5-3349-419B-A043-7DF347F52CD7}" type="parTrans" cxnId="{296D5CCE-3BA9-4627-BA00-D28207B7FDB3}">
      <dgm:prSet/>
      <dgm:spPr/>
      <dgm:t>
        <a:bodyPr/>
        <a:lstStyle/>
        <a:p>
          <a:endParaRPr lang="hr-HR"/>
        </a:p>
      </dgm:t>
    </dgm:pt>
    <dgm:pt modelId="{FCA4CE49-30FC-4951-8824-3408DE835E06}" type="sibTrans" cxnId="{296D5CCE-3BA9-4627-BA00-D28207B7FDB3}">
      <dgm:prSet/>
      <dgm:spPr/>
      <dgm:t>
        <a:bodyPr/>
        <a:lstStyle/>
        <a:p>
          <a:endParaRPr lang="hr-HR"/>
        </a:p>
      </dgm:t>
    </dgm:pt>
    <dgm:pt modelId="{45A072E0-8A6E-4D1D-9F02-4DA036CA0436}">
      <dgm:prSet phldrT="[Text]" custT="1"/>
      <dgm:spPr/>
      <dgm:t>
        <a:bodyPr/>
        <a:lstStyle/>
        <a:p>
          <a:r>
            <a:rPr lang="hr-HR" sz="1000"/>
            <a:t>Stvaranje poticajnog okruženja za investicije u istraživanje, razvoj, inovacije i KET tehnologije</a:t>
          </a:r>
        </a:p>
      </dgm:t>
    </dgm:pt>
    <dgm:pt modelId="{88AEA5F5-A081-42AE-BB55-A4B0AA6340E0}" type="parTrans" cxnId="{142C308E-F813-482C-9E42-90D2FA58053F}">
      <dgm:prSet/>
      <dgm:spPr/>
      <dgm:t>
        <a:bodyPr/>
        <a:lstStyle/>
        <a:p>
          <a:endParaRPr lang="hr-HR"/>
        </a:p>
      </dgm:t>
    </dgm:pt>
    <dgm:pt modelId="{F6611908-48FD-4B06-9473-8882DB5BA175}" type="sibTrans" cxnId="{142C308E-F813-482C-9E42-90D2FA58053F}">
      <dgm:prSet/>
      <dgm:spPr/>
      <dgm:t>
        <a:bodyPr/>
        <a:lstStyle/>
        <a:p>
          <a:endParaRPr lang="hr-HR"/>
        </a:p>
      </dgm:t>
    </dgm:pt>
    <dgm:pt modelId="{57378522-124C-42FC-8175-F2213F26CC7A}">
      <dgm:prSet phldrT="[Text]" custT="1"/>
      <dgm:spPr/>
      <dgm:t>
        <a:bodyPr/>
        <a:lstStyle/>
        <a:p>
          <a:r>
            <a:rPr lang="hr-HR" sz="1000"/>
            <a:t>Jačanje investicijskog potencijala sektora malog i srednjeg poduzetništva  i uključivanje u globalne lance vrijednosti</a:t>
          </a:r>
        </a:p>
      </dgm:t>
    </dgm:pt>
    <dgm:pt modelId="{5405E216-7A93-4600-98A1-A07705EDD86D}" type="parTrans" cxnId="{32E33832-21D0-4108-BC89-E0987242D2B7}">
      <dgm:prSet/>
      <dgm:spPr/>
      <dgm:t>
        <a:bodyPr/>
        <a:lstStyle/>
        <a:p>
          <a:endParaRPr lang="hr-HR"/>
        </a:p>
      </dgm:t>
    </dgm:pt>
    <dgm:pt modelId="{2D786D8B-E2D0-4CC5-929E-5B5E86F53D5B}" type="sibTrans" cxnId="{32E33832-21D0-4108-BC89-E0987242D2B7}">
      <dgm:prSet/>
      <dgm:spPr/>
      <dgm:t>
        <a:bodyPr/>
        <a:lstStyle/>
        <a:p>
          <a:endParaRPr lang="hr-HR"/>
        </a:p>
      </dgm:t>
    </dgm:pt>
    <dgm:pt modelId="{EFA726DB-BC4A-42FC-939C-6227A8FA0C5C}">
      <dgm:prSet phldrT="[Text]" custT="1"/>
      <dgm:spPr/>
      <dgm:t>
        <a:bodyPr/>
        <a:lstStyle/>
        <a:p>
          <a:r>
            <a:rPr lang="hr-HR" sz="1000"/>
            <a:t>Jačanje investicijskog potencijala u sektoru turizma</a:t>
          </a:r>
        </a:p>
      </dgm:t>
    </dgm:pt>
    <dgm:pt modelId="{D30D2B37-8D21-464B-850D-A1626CE1A6DD}" type="parTrans" cxnId="{97A75D7F-BF3E-4250-AAEB-AFEDCFB399AD}">
      <dgm:prSet/>
      <dgm:spPr/>
      <dgm:t>
        <a:bodyPr/>
        <a:lstStyle/>
        <a:p>
          <a:endParaRPr lang="hr-HR"/>
        </a:p>
      </dgm:t>
    </dgm:pt>
    <dgm:pt modelId="{EFBC4E18-E7FE-42D6-89A8-5BA2C6DEF1EC}" type="sibTrans" cxnId="{97A75D7F-BF3E-4250-AAEB-AFEDCFB399AD}">
      <dgm:prSet/>
      <dgm:spPr/>
      <dgm:t>
        <a:bodyPr/>
        <a:lstStyle/>
        <a:p>
          <a:endParaRPr lang="hr-HR"/>
        </a:p>
      </dgm:t>
    </dgm:pt>
    <dgm:pt modelId="{607D6A89-4088-47B8-B134-E48D6D35252F}">
      <dgm:prSet phldrT="[Text]" custT="1"/>
      <dgm:spPr/>
      <dgm:t>
        <a:bodyPr/>
        <a:lstStyle/>
        <a:p>
          <a:r>
            <a:rPr lang="hr-HR" sz="1000"/>
            <a:t>Razvoj i unaprjeđenje regionalne infrastrukture</a:t>
          </a:r>
        </a:p>
      </dgm:t>
    </dgm:pt>
    <dgm:pt modelId="{33DD5CDF-790E-4C82-A281-FA6D493688A8}" type="parTrans" cxnId="{2DD104F3-E3D9-42E4-A750-AA26EE032813}">
      <dgm:prSet/>
      <dgm:spPr/>
      <dgm:t>
        <a:bodyPr/>
        <a:lstStyle/>
        <a:p>
          <a:endParaRPr lang="hr-HR"/>
        </a:p>
      </dgm:t>
    </dgm:pt>
    <dgm:pt modelId="{A50FBEC5-E727-48C3-AC8D-028CE14DC4EF}" type="sibTrans" cxnId="{2DD104F3-E3D9-42E4-A750-AA26EE032813}">
      <dgm:prSet/>
      <dgm:spPr/>
      <dgm:t>
        <a:bodyPr/>
        <a:lstStyle/>
        <a:p>
          <a:endParaRPr lang="hr-HR"/>
        </a:p>
      </dgm:t>
    </dgm:pt>
    <dgm:pt modelId="{03B9D414-56C8-4CA3-9D2C-231D5093AB84}" type="pres">
      <dgm:prSet presAssocID="{94A54281-EC37-42E2-98BC-3095902D5664}" presName="linearFlow" presStyleCnt="0">
        <dgm:presLayoutVars>
          <dgm:dir/>
          <dgm:resizeHandles val="exact"/>
        </dgm:presLayoutVars>
      </dgm:prSet>
      <dgm:spPr/>
    </dgm:pt>
    <dgm:pt modelId="{0DB10D77-5814-4A90-B951-514F3FAA609B}" type="pres">
      <dgm:prSet presAssocID="{F691AB7A-03C6-4A97-9C06-273CBE16F843}" presName="composite" presStyleCnt="0"/>
      <dgm:spPr/>
    </dgm:pt>
    <dgm:pt modelId="{A81FFC87-F213-4831-96B7-2400D793B7A1}" type="pres">
      <dgm:prSet presAssocID="{F691AB7A-03C6-4A97-9C06-273CBE16F843}" presName="imgShp" presStyleLbl="fgImgPlace1" presStyleIdx="0" presStyleCnt="6"/>
      <dgm:spPr>
        <a:blipFill>
          <a:blip xmlns:r="http://schemas.openxmlformats.org/officeDocument/2006/relationships" r:embed="rId1" cstate="print">
            <a:extLst/>
          </a:blip>
          <a:srcRect/>
          <a:stretch>
            <a:fillRect/>
          </a:stretch>
        </a:blipFill>
      </dgm:spPr>
    </dgm:pt>
    <dgm:pt modelId="{1FBE86C2-7CF3-46CB-BB3C-765EE1E556B9}" type="pres">
      <dgm:prSet presAssocID="{F691AB7A-03C6-4A97-9C06-273CBE16F843}" presName="txShp" presStyleLbl="node1" presStyleIdx="0" presStyleCnt="6">
        <dgm:presLayoutVars>
          <dgm:bulletEnabled val="1"/>
        </dgm:presLayoutVars>
      </dgm:prSet>
      <dgm:spPr/>
      <dgm:t>
        <a:bodyPr/>
        <a:lstStyle/>
        <a:p>
          <a:endParaRPr lang="hr-HR"/>
        </a:p>
      </dgm:t>
    </dgm:pt>
    <dgm:pt modelId="{6EE9A2CC-228C-40D2-AC0C-7275019F969B}" type="pres">
      <dgm:prSet presAssocID="{EA9F670F-95D1-4E5F-A45B-6B05994C5862}" presName="spacing" presStyleCnt="0"/>
      <dgm:spPr/>
    </dgm:pt>
    <dgm:pt modelId="{A39C78C5-48A1-4A67-96DB-9FE0B138411E}" type="pres">
      <dgm:prSet presAssocID="{57378522-124C-42FC-8175-F2213F26CC7A}" presName="composite" presStyleCnt="0"/>
      <dgm:spPr/>
    </dgm:pt>
    <dgm:pt modelId="{8756DF1C-62B0-4E6E-A0AF-A0817616FAE9}" type="pres">
      <dgm:prSet presAssocID="{57378522-124C-42FC-8175-F2213F26CC7A}" presName="imgShp" presStyleLbl="fgImgPlace1" presStyleIdx="1" presStyleCnt="6"/>
      <dgm:spPr>
        <a:blipFill>
          <a:blip xmlns:r="http://schemas.openxmlformats.org/officeDocument/2006/relationships" r:embed="rId1" cstate="print">
            <a:extLst/>
          </a:blip>
          <a:srcRect/>
          <a:stretch>
            <a:fillRect/>
          </a:stretch>
        </a:blipFill>
      </dgm:spPr>
    </dgm:pt>
    <dgm:pt modelId="{A884F000-602E-4E28-B8CE-9514A2E89BA6}" type="pres">
      <dgm:prSet presAssocID="{57378522-124C-42FC-8175-F2213F26CC7A}" presName="txShp" presStyleLbl="node1" presStyleIdx="1" presStyleCnt="6">
        <dgm:presLayoutVars>
          <dgm:bulletEnabled val="1"/>
        </dgm:presLayoutVars>
      </dgm:prSet>
      <dgm:spPr/>
      <dgm:t>
        <a:bodyPr/>
        <a:lstStyle/>
        <a:p>
          <a:endParaRPr lang="hr-HR"/>
        </a:p>
      </dgm:t>
    </dgm:pt>
    <dgm:pt modelId="{E73C4758-FECB-45E8-8D09-5DBEE03C8B4B}" type="pres">
      <dgm:prSet presAssocID="{2D786D8B-E2D0-4CC5-929E-5B5E86F53D5B}" presName="spacing" presStyleCnt="0"/>
      <dgm:spPr/>
    </dgm:pt>
    <dgm:pt modelId="{F2B0B721-003C-47EE-B44E-4D7CD0E01474}" type="pres">
      <dgm:prSet presAssocID="{3EC22E9D-F777-4EAC-A7B8-2C87FD311B78}" presName="composite" presStyleCnt="0"/>
      <dgm:spPr/>
    </dgm:pt>
    <dgm:pt modelId="{6CD8ECEC-3E10-446A-B4AF-6359C96C3DFB}" type="pres">
      <dgm:prSet presAssocID="{3EC22E9D-F777-4EAC-A7B8-2C87FD311B78}" presName="imgShp" presStyleLbl="fgImgPlace1" presStyleIdx="2" presStyleCnt="6"/>
      <dgm:spPr>
        <a:blipFill>
          <a:blip xmlns:r="http://schemas.openxmlformats.org/officeDocument/2006/relationships" r:embed="rId1" cstate="print">
            <a:extLst/>
          </a:blip>
          <a:srcRect/>
          <a:stretch>
            <a:fillRect/>
          </a:stretch>
        </a:blipFill>
      </dgm:spPr>
    </dgm:pt>
    <dgm:pt modelId="{CFDE6AA7-6CB2-4D56-91E4-E3ED42D53B33}" type="pres">
      <dgm:prSet presAssocID="{3EC22E9D-F777-4EAC-A7B8-2C87FD311B78}" presName="txShp" presStyleLbl="node1" presStyleIdx="2" presStyleCnt="6">
        <dgm:presLayoutVars>
          <dgm:bulletEnabled val="1"/>
        </dgm:presLayoutVars>
      </dgm:prSet>
      <dgm:spPr/>
      <dgm:t>
        <a:bodyPr/>
        <a:lstStyle/>
        <a:p>
          <a:endParaRPr lang="hr-HR"/>
        </a:p>
      </dgm:t>
    </dgm:pt>
    <dgm:pt modelId="{5735D4C6-809A-481F-AC22-A90DC7E40278}" type="pres">
      <dgm:prSet presAssocID="{FCA4CE49-30FC-4951-8824-3408DE835E06}" presName="spacing" presStyleCnt="0"/>
      <dgm:spPr/>
    </dgm:pt>
    <dgm:pt modelId="{E6CF7B31-AA49-4766-80BD-C101FD31B455}" type="pres">
      <dgm:prSet presAssocID="{45A072E0-8A6E-4D1D-9F02-4DA036CA0436}" presName="composite" presStyleCnt="0"/>
      <dgm:spPr/>
    </dgm:pt>
    <dgm:pt modelId="{BA7C3B1A-9A42-4D21-B2D1-ED0CE0AAB737}" type="pres">
      <dgm:prSet presAssocID="{45A072E0-8A6E-4D1D-9F02-4DA036CA0436}" presName="imgShp" presStyleLbl="fgImgPlace1" presStyleIdx="3" presStyleCnt="6"/>
      <dgm:spPr>
        <a:blipFill>
          <a:blip xmlns:r="http://schemas.openxmlformats.org/officeDocument/2006/relationships" r:embed="rId1" cstate="print">
            <a:extLst/>
          </a:blip>
          <a:srcRect/>
          <a:stretch>
            <a:fillRect/>
          </a:stretch>
        </a:blipFill>
      </dgm:spPr>
    </dgm:pt>
    <dgm:pt modelId="{F4B02CE2-0EA0-48D8-9936-B8521FE2DA3C}" type="pres">
      <dgm:prSet presAssocID="{45A072E0-8A6E-4D1D-9F02-4DA036CA0436}" presName="txShp" presStyleLbl="node1" presStyleIdx="3" presStyleCnt="6">
        <dgm:presLayoutVars>
          <dgm:bulletEnabled val="1"/>
        </dgm:presLayoutVars>
      </dgm:prSet>
      <dgm:spPr/>
      <dgm:t>
        <a:bodyPr/>
        <a:lstStyle/>
        <a:p>
          <a:endParaRPr lang="hr-HR"/>
        </a:p>
      </dgm:t>
    </dgm:pt>
    <dgm:pt modelId="{6D2B9BB9-F679-4AB9-B636-E065E106D7A8}" type="pres">
      <dgm:prSet presAssocID="{F6611908-48FD-4B06-9473-8882DB5BA175}" presName="spacing" presStyleCnt="0"/>
      <dgm:spPr/>
    </dgm:pt>
    <dgm:pt modelId="{76B66662-B73A-45F2-86E3-59719601C0F4}" type="pres">
      <dgm:prSet presAssocID="{EFA726DB-BC4A-42FC-939C-6227A8FA0C5C}" presName="composite" presStyleCnt="0"/>
      <dgm:spPr/>
    </dgm:pt>
    <dgm:pt modelId="{436680C1-C195-4EEB-94E5-4ACC7E0C72B7}" type="pres">
      <dgm:prSet presAssocID="{EFA726DB-BC4A-42FC-939C-6227A8FA0C5C}" presName="imgShp" presStyleLbl="fgImgPlace1" presStyleIdx="4" presStyleCnt="6"/>
      <dgm:spPr>
        <a:blipFill>
          <a:blip xmlns:r="http://schemas.openxmlformats.org/officeDocument/2006/relationships" r:embed="rId1" cstate="print">
            <a:extLst/>
          </a:blip>
          <a:srcRect/>
          <a:stretch>
            <a:fillRect/>
          </a:stretch>
        </a:blipFill>
      </dgm:spPr>
    </dgm:pt>
    <dgm:pt modelId="{7AAEAC69-7E89-47EC-A6BC-80869C3CA647}" type="pres">
      <dgm:prSet presAssocID="{EFA726DB-BC4A-42FC-939C-6227A8FA0C5C}" presName="txShp" presStyleLbl="node1" presStyleIdx="4" presStyleCnt="6">
        <dgm:presLayoutVars>
          <dgm:bulletEnabled val="1"/>
        </dgm:presLayoutVars>
      </dgm:prSet>
      <dgm:spPr/>
      <dgm:t>
        <a:bodyPr/>
        <a:lstStyle/>
        <a:p>
          <a:endParaRPr lang="hr-HR"/>
        </a:p>
      </dgm:t>
    </dgm:pt>
    <dgm:pt modelId="{22A389A1-2F53-4B39-95A3-3D7A9B5BCFDE}" type="pres">
      <dgm:prSet presAssocID="{EFBC4E18-E7FE-42D6-89A8-5BA2C6DEF1EC}" presName="spacing" presStyleCnt="0"/>
      <dgm:spPr/>
    </dgm:pt>
    <dgm:pt modelId="{AE036977-4CFC-4BA6-A6D1-45FE77D857D9}" type="pres">
      <dgm:prSet presAssocID="{607D6A89-4088-47B8-B134-E48D6D35252F}" presName="composite" presStyleCnt="0"/>
      <dgm:spPr/>
    </dgm:pt>
    <dgm:pt modelId="{42748FF2-D549-4B8E-B413-D015383BBB9B}" type="pres">
      <dgm:prSet presAssocID="{607D6A89-4088-47B8-B134-E48D6D35252F}" presName="imgShp" presStyleLbl="fgImgPlace1" presStyleIdx="5" presStyleCnt="6"/>
      <dgm:spPr>
        <a:blipFill>
          <a:blip xmlns:r="http://schemas.openxmlformats.org/officeDocument/2006/relationships" r:embed="rId1" cstate="print">
            <a:extLst/>
          </a:blip>
          <a:srcRect/>
          <a:stretch>
            <a:fillRect/>
          </a:stretch>
        </a:blipFill>
      </dgm:spPr>
    </dgm:pt>
    <dgm:pt modelId="{22415DEE-4565-4A1A-93FA-9E6C66BAC4C2}" type="pres">
      <dgm:prSet presAssocID="{607D6A89-4088-47B8-B134-E48D6D35252F}" presName="txShp" presStyleLbl="node1" presStyleIdx="5" presStyleCnt="6">
        <dgm:presLayoutVars>
          <dgm:bulletEnabled val="1"/>
        </dgm:presLayoutVars>
      </dgm:prSet>
      <dgm:spPr/>
      <dgm:t>
        <a:bodyPr/>
        <a:lstStyle/>
        <a:p>
          <a:endParaRPr lang="hr-HR"/>
        </a:p>
      </dgm:t>
    </dgm:pt>
  </dgm:ptLst>
  <dgm:cxnLst>
    <dgm:cxn modelId="{296D5CCE-3BA9-4627-BA00-D28207B7FDB3}" srcId="{94A54281-EC37-42E2-98BC-3095902D5664}" destId="{3EC22E9D-F777-4EAC-A7B8-2C87FD311B78}" srcOrd="2" destOrd="0" parTransId="{52243DC5-3349-419B-A043-7DF347F52CD7}" sibTransId="{FCA4CE49-30FC-4951-8824-3408DE835E06}"/>
    <dgm:cxn modelId="{97A75D7F-BF3E-4250-AAEB-AFEDCFB399AD}" srcId="{94A54281-EC37-42E2-98BC-3095902D5664}" destId="{EFA726DB-BC4A-42FC-939C-6227A8FA0C5C}" srcOrd="4" destOrd="0" parTransId="{D30D2B37-8D21-464B-850D-A1626CE1A6DD}" sibTransId="{EFBC4E18-E7FE-42D6-89A8-5BA2C6DEF1EC}"/>
    <dgm:cxn modelId="{36E5177F-3D2E-4ECE-AAB2-17CFE0ECA25F}" type="presOf" srcId="{57378522-124C-42FC-8175-F2213F26CC7A}" destId="{A884F000-602E-4E28-B8CE-9514A2E89BA6}" srcOrd="0" destOrd="0" presId="urn:microsoft.com/office/officeart/2005/8/layout/vList3#1"/>
    <dgm:cxn modelId="{A0442C9E-2E7C-49F5-B3A8-D4B77F566C19}" type="presOf" srcId="{607D6A89-4088-47B8-B134-E48D6D35252F}" destId="{22415DEE-4565-4A1A-93FA-9E6C66BAC4C2}" srcOrd="0" destOrd="0" presId="urn:microsoft.com/office/officeart/2005/8/layout/vList3#1"/>
    <dgm:cxn modelId="{A62520B7-A518-4675-A865-ADCC9457689A}" type="presOf" srcId="{94A54281-EC37-42E2-98BC-3095902D5664}" destId="{03B9D414-56C8-4CA3-9D2C-231D5093AB84}" srcOrd="0" destOrd="0" presId="urn:microsoft.com/office/officeart/2005/8/layout/vList3#1"/>
    <dgm:cxn modelId="{32E33832-21D0-4108-BC89-E0987242D2B7}" srcId="{94A54281-EC37-42E2-98BC-3095902D5664}" destId="{57378522-124C-42FC-8175-F2213F26CC7A}" srcOrd="1" destOrd="0" parTransId="{5405E216-7A93-4600-98A1-A07705EDD86D}" sibTransId="{2D786D8B-E2D0-4CC5-929E-5B5E86F53D5B}"/>
    <dgm:cxn modelId="{142C308E-F813-482C-9E42-90D2FA58053F}" srcId="{94A54281-EC37-42E2-98BC-3095902D5664}" destId="{45A072E0-8A6E-4D1D-9F02-4DA036CA0436}" srcOrd="3" destOrd="0" parTransId="{88AEA5F5-A081-42AE-BB55-A4B0AA6340E0}" sibTransId="{F6611908-48FD-4B06-9473-8882DB5BA175}"/>
    <dgm:cxn modelId="{41BA8EFB-8D80-4928-8F48-1FE4386F8B49}" type="presOf" srcId="{F691AB7A-03C6-4A97-9C06-273CBE16F843}" destId="{1FBE86C2-7CF3-46CB-BB3C-765EE1E556B9}" srcOrd="0" destOrd="0" presId="urn:microsoft.com/office/officeart/2005/8/layout/vList3#1"/>
    <dgm:cxn modelId="{2DD104F3-E3D9-42E4-A750-AA26EE032813}" srcId="{94A54281-EC37-42E2-98BC-3095902D5664}" destId="{607D6A89-4088-47B8-B134-E48D6D35252F}" srcOrd="5" destOrd="0" parTransId="{33DD5CDF-790E-4C82-A281-FA6D493688A8}" sibTransId="{A50FBEC5-E727-48C3-AC8D-028CE14DC4EF}"/>
    <dgm:cxn modelId="{0D448148-5DFE-4A9E-B381-85C12607BD31}" type="presOf" srcId="{3EC22E9D-F777-4EAC-A7B8-2C87FD311B78}" destId="{CFDE6AA7-6CB2-4D56-91E4-E3ED42D53B33}" srcOrd="0" destOrd="0" presId="urn:microsoft.com/office/officeart/2005/8/layout/vList3#1"/>
    <dgm:cxn modelId="{7462A0F2-ECB2-427F-85F6-806355A6CEBD}" type="presOf" srcId="{EFA726DB-BC4A-42FC-939C-6227A8FA0C5C}" destId="{7AAEAC69-7E89-47EC-A6BC-80869C3CA647}" srcOrd="0" destOrd="0" presId="urn:microsoft.com/office/officeart/2005/8/layout/vList3#1"/>
    <dgm:cxn modelId="{46FDD939-0357-4CEC-BAC8-BFFF44F68652}" type="presOf" srcId="{45A072E0-8A6E-4D1D-9F02-4DA036CA0436}" destId="{F4B02CE2-0EA0-48D8-9936-B8521FE2DA3C}" srcOrd="0" destOrd="0" presId="urn:microsoft.com/office/officeart/2005/8/layout/vList3#1"/>
    <dgm:cxn modelId="{30649CF6-C3EB-4FD8-9068-53CF8446795F}" srcId="{94A54281-EC37-42E2-98BC-3095902D5664}" destId="{F691AB7A-03C6-4A97-9C06-273CBE16F843}" srcOrd="0" destOrd="0" parTransId="{DB1DC9A7-15D0-4A8A-AC4E-85A7DD826056}" sibTransId="{EA9F670F-95D1-4E5F-A45B-6B05994C5862}"/>
    <dgm:cxn modelId="{97BDA8A3-21D4-48D6-AC13-7CBD48DD98AC}" type="presParOf" srcId="{03B9D414-56C8-4CA3-9D2C-231D5093AB84}" destId="{0DB10D77-5814-4A90-B951-514F3FAA609B}" srcOrd="0" destOrd="0" presId="urn:microsoft.com/office/officeart/2005/8/layout/vList3#1"/>
    <dgm:cxn modelId="{6FABF1D7-1A66-4D0D-9789-9809A22C3659}" type="presParOf" srcId="{0DB10D77-5814-4A90-B951-514F3FAA609B}" destId="{A81FFC87-F213-4831-96B7-2400D793B7A1}" srcOrd="0" destOrd="0" presId="urn:microsoft.com/office/officeart/2005/8/layout/vList3#1"/>
    <dgm:cxn modelId="{9ED58F76-A7BD-422C-8AE9-9104616E606B}" type="presParOf" srcId="{0DB10D77-5814-4A90-B951-514F3FAA609B}" destId="{1FBE86C2-7CF3-46CB-BB3C-765EE1E556B9}" srcOrd="1" destOrd="0" presId="urn:microsoft.com/office/officeart/2005/8/layout/vList3#1"/>
    <dgm:cxn modelId="{518E5AFE-A576-4CFF-82A6-6905C544FF88}" type="presParOf" srcId="{03B9D414-56C8-4CA3-9D2C-231D5093AB84}" destId="{6EE9A2CC-228C-40D2-AC0C-7275019F969B}" srcOrd="1" destOrd="0" presId="urn:microsoft.com/office/officeart/2005/8/layout/vList3#1"/>
    <dgm:cxn modelId="{688B6712-B50B-4F6E-AF81-4060EC24784E}" type="presParOf" srcId="{03B9D414-56C8-4CA3-9D2C-231D5093AB84}" destId="{A39C78C5-48A1-4A67-96DB-9FE0B138411E}" srcOrd="2" destOrd="0" presId="urn:microsoft.com/office/officeart/2005/8/layout/vList3#1"/>
    <dgm:cxn modelId="{B661DC03-BAE5-4853-944B-3DB51366F732}" type="presParOf" srcId="{A39C78C5-48A1-4A67-96DB-9FE0B138411E}" destId="{8756DF1C-62B0-4E6E-A0AF-A0817616FAE9}" srcOrd="0" destOrd="0" presId="urn:microsoft.com/office/officeart/2005/8/layout/vList3#1"/>
    <dgm:cxn modelId="{FD7E031F-50E9-40F0-AEA6-026A9698C9A0}" type="presParOf" srcId="{A39C78C5-48A1-4A67-96DB-9FE0B138411E}" destId="{A884F000-602E-4E28-B8CE-9514A2E89BA6}" srcOrd="1" destOrd="0" presId="urn:microsoft.com/office/officeart/2005/8/layout/vList3#1"/>
    <dgm:cxn modelId="{93875D94-0D04-4238-9532-720553F50173}" type="presParOf" srcId="{03B9D414-56C8-4CA3-9D2C-231D5093AB84}" destId="{E73C4758-FECB-45E8-8D09-5DBEE03C8B4B}" srcOrd="3" destOrd="0" presId="urn:microsoft.com/office/officeart/2005/8/layout/vList3#1"/>
    <dgm:cxn modelId="{D27A5215-D2E3-4146-8C6E-481EE39B40D1}" type="presParOf" srcId="{03B9D414-56C8-4CA3-9D2C-231D5093AB84}" destId="{F2B0B721-003C-47EE-B44E-4D7CD0E01474}" srcOrd="4" destOrd="0" presId="urn:microsoft.com/office/officeart/2005/8/layout/vList3#1"/>
    <dgm:cxn modelId="{7BA60313-155F-4FB1-8B6B-C34BA4640E7A}" type="presParOf" srcId="{F2B0B721-003C-47EE-B44E-4D7CD0E01474}" destId="{6CD8ECEC-3E10-446A-B4AF-6359C96C3DFB}" srcOrd="0" destOrd="0" presId="urn:microsoft.com/office/officeart/2005/8/layout/vList3#1"/>
    <dgm:cxn modelId="{010D3BF0-D6FC-4023-AE5F-CBF57BF48645}" type="presParOf" srcId="{F2B0B721-003C-47EE-B44E-4D7CD0E01474}" destId="{CFDE6AA7-6CB2-4D56-91E4-E3ED42D53B33}" srcOrd="1" destOrd="0" presId="urn:microsoft.com/office/officeart/2005/8/layout/vList3#1"/>
    <dgm:cxn modelId="{69AB1162-1CDA-466B-821A-19C47E608C51}" type="presParOf" srcId="{03B9D414-56C8-4CA3-9D2C-231D5093AB84}" destId="{5735D4C6-809A-481F-AC22-A90DC7E40278}" srcOrd="5" destOrd="0" presId="urn:microsoft.com/office/officeart/2005/8/layout/vList3#1"/>
    <dgm:cxn modelId="{F47029C5-166B-48D8-BDAB-6F79E5315572}" type="presParOf" srcId="{03B9D414-56C8-4CA3-9D2C-231D5093AB84}" destId="{E6CF7B31-AA49-4766-80BD-C101FD31B455}" srcOrd="6" destOrd="0" presId="urn:microsoft.com/office/officeart/2005/8/layout/vList3#1"/>
    <dgm:cxn modelId="{69F20D39-57CE-4146-A941-D5EF0995460F}" type="presParOf" srcId="{E6CF7B31-AA49-4766-80BD-C101FD31B455}" destId="{BA7C3B1A-9A42-4D21-B2D1-ED0CE0AAB737}" srcOrd="0" destOrd="0" presId="urn:microsoft.com/office/officeart/2005/8/layout/vList3#1"/>
    <dgm:cxn modelId="{F0BF04F1-6D1C-4309-AE81-8EB588027BBB}" type="presParOf" srcId="{E6CF7B31-AA49-4766-80BD-C101FD31B455}" destId="{F4B02CE2-0EA0-48D8-9936-B8521FE2DA3C}" srcOrd="1" destOrd="0" presId="urn:microsoft.com/office/officeart/2005/8/layout/vList3#1"/>
    <dgm:cxn modelId="{F09F6FE9-155D-4AD4-B0F7-B16CAB9F3DC2}" type="presParOf" srcId="{03B9D414-56C8-4CA3-9D2C-231D5093AB84}" destId="{6D2B9BB9-F679-4AB9-B636-E065E106D7A8}" srcOrd="7" destOrd="0" presId="urn:microsoft.com/office/officeart/2005/8/layout/vList3#1"/>
    <dgm:cxn modelId="{C11B2013-35BC-42E2-8862-E630FC96985E}" type="presParOf" srcId="{03B9D414-56C8-4CA3-9D2C-231D5093AB84}" destId="{76B66662-B73A-45F2-86E3-59719601C0F4}" srcOrd="8" destOrd="0" presId="urn:microsoft.com/office/officeart/2005/8/layout/vList3#1"/>
    <dgm:cxn modelId="{850A1098-8CAF-4869-8F71-ED287CC83C4F}" type="presParOf" srcId="{76B66662-B73A-45F2-86E3-59719601C0F4}" destId="{436680C1-C195-4EEB-94E5-4ACC7E0C72B7}" srcOrd="0" destOrd="0" presId="urn:microsoft.com/office/officeart/2005/8/layout/vList3#1"/>
    <dgm:cxn modelId="{B9ABF34E-5A13-4A04-95E0-F34F154A5B5F}" type="presParOf" srcId="{76B66662-B73A-45F2-86E3-59719601C0F4}" destId="{7AAEAC69-7E89-47EC-A6BC-80869C3CA647}" srcOrd="1" destOrd="0" presId="urn:microsoft.com/office/officeart/2005/8/layout/vList3#1"/>
    <dgm:cxn modelId="{008D794F-00F1-45D8-B251-26264D2B3D80}" type="presParOf" srcId="{03B9D414-56C8-4CA3-9D2C-231D5093AB84}" destId="{22A389A1-2F53-4B39-95A3-3D7A9B5BCFDE}" srcOrd="9" destOrd="0" presId="urn:microsoft.com/office/officeart/2005/8/layout/vList3#1"/>
    <dgm:cxn modelId="{0F0D1E5B-877A-44A0-A852-13EE484AD8DD}" type="presParOf" srcId="{03B9D414-56C8-4CA3-9D2C-231D5093AB84}" destId="{AE036977-4CFC-4BA6-A6D1-45FE77D857D9}" srcOrd="10" destOrd="0" presId="urn:microsoft.com/office/officeart/2005/8/layout/vList3#1"/>
    <dgm:cxn modelId="{2645C9BF-4B5E-4A82-82E7-D1E31D81C85B}" type="presParOf" srcId="{AE036977-4CFC-4BA6-A6D1-45FE77D857D9}" destId="{42748FF2-D549-4B8E-B413-D015383BBB9B}" srcOrd="0" destOrd="0" presId="urn:microsoft.com/office/officeart/2005/8/layout/vList3#1"/>
    <dgm:cxn modelId="{2F106E47-5939-4471-AC83-5F99529E60FE}" type="presParOf" srcId="{AE036977-4CFC-4BA6-A6D1-45FE77D857D9}" destId="{22415DEE-4565-4A1A-93FA-9E6C66BAC4C2}" srcOrd="1" destOrd="0" presId="urn:microsoft.com/office/officeart/2005/8/layout/vList3#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4A54281-EC37-42E2-98BC-3095902D5664}" type="doc">
      <dgm:prSet loTypeId="urn:microsoft.com/office/officeart/2005/8/layout/vList3#2" loCatId="list" qsTypeId="urn:microsoft.com/office/officeart/2005/8/quickstyle/simple1#2" qsCatId="simple" csTypeId="urn:microsoft.com/office/officeart/2005/8/colors/accent1_2#3" csCatId="accent1" phldr="1"/>
      <dgm:spPr/>
    </dgm:pt>
    <dgm:pt modelId="{F691AB7A-03C6-4A97-9C06-273CBE16F843}">
      <dgm:prSet phldrT="[Text]" custT="1"/>
      <dgm:spPr/>
      <dgm:t>
        <a:bodyPr/>
        <a:lstStyle/>
        <a:p>
          <a:r>
            <a:rPr lang="hr-HR" sz="1000"/>
            <a:t>Izrada i provedba Komunikacijske strategije za poticanje investicija i pripadajućeg Komunikacijskog akcijskog plana</a:t>
          </a:r>
        </a:p>
      </dgm:t>
    </dgm:pt>
    <dgm:pt modelId="{DB1DC9A7-15D0-4A8A-AC4E-85A7DD826056}" type="parTrans" cxnId="{30649CF6-C3EB-4FD8-9068-53CF8446795F}">
      <dgm:prSet/>
      <dgm:spPr/>
      <dgm:t>
        <a:bodyPr/>
        <a:lstStyle/>
        <a:p>
          <a:endParaRPr lang="hr-HR"/>
        </a:p>
      </dgm:t>
    </dgm:pt>
    <dgm:pt modelId="{EA9F670F-95D1-4E5F-A45B-6B05994C5862}" type="sibTrans" cxnId="{30649CF6-C3EB-4FD8-9068-53CF8446795F}">
      <dgm:prSet/>
      <dgm:spPr/>
      <dgm:t>
        <a:bodyPr/>
        <a:lstStyle/>
        <a:p>
          <a:endParaRPr lang="hr-HR"/>
        </a:p>
      </dgm:t>
    </dgm:pt>
    <dgm:pt modelId="{35D95F70-D273-4B67-8EB2-F4DA1FEC2359}">
      <dgm:prSet phldrT="[Text]" custT="1"/>
      <dgm:spPr/>
      <dgm:t>
        <a:bodyPr/>
        <a:lstStyle/>
        <a:p>
          <a:r>
            <a:rPr lang="hr-HR" sz="1000"/>
            <a:t>Izrada hrvatskog "paketa prednosti" i investicijskog profila zemlje po sektorima</a:t>
          </a:r>
        </a:p>
      </dgm:t>
    </dgm:pt>
    <dgm:pt modelId="{17E7999D-8EB2-4EEB-8A8E-4F9163266A2D}" type="parTrans" cxnId="{E8E31A15-B3F4-4B22-A758-B44FC37CC512}">
      <dgm:prSet/>
      <dgm:spPr/>
      <dgm:t>
        <a:bodyPr/>
        <a:lstStyle/>
        <a:p>
          <a:endParaRPr lang="hr-HR"/>
        </a:p>
      </dgm:t>
    </dgm:pt>
    <dgm:pt modelId="{60CA80E2-A0FB-4732-8A63-00D85F2962A9}" type="sibTrans" cxnId="{E8E31A15-B3F4-4B22-A758-B44FC37CC512}">
      <dgm:prSet/>
      <dgm:spPr/>
      <dgm:t>
        <a:bodyPr/>
        <a:lstStyle/>
        <a:p>
          <a:endParaRPr lang="hr-HR"/>
        </a:p>
      </dgm:t>
    </dgm:pt>
    <dgm:pt modelId="{D7B47108-7BEF-4BE5-84EB-14AF1943BC8D}">
      <dgm:prSet phldrT="[Text]" custT="1"/>
      <dgm:spPr/>
      <dgm:t>
        <a:bodyPr/>
        <a:lstStyle/>
        <a:p>
          <a:r>
            <a:rPr lang="hr-HR" sz="1000"/>
            <a:t>Sektorsko brendiranje i brendiranje regija</a:t>
          </a:r>
        </a:p>
      </dgm:t>
    </dgm:pt>
    <dgm:pt modelId="{1AEA6B31-A763-4E6B-9281-68A2609D43EA}" type="parTrans" cxnId="{9DC2A5CF-7680-445B-A34A-30B67E1E02A4}">
      <dgm:prSet/>
      <dgm:spPr/>
      <dgm:t>
        <a:bodyPr/>
        <a:lstStyle/>
        <a:p>
          <a:endParaRPr lang="hr-HR"/>
        </a:p>
      </dgm:t>
    </dgm:pt>
    <dgm:pt modelId="{0BC2A333-0A58-43AF-9977-57514FC28573}" type="sibTrans" cxnId="{9DC2A5CF-7680-445B-A34A-30B67E1E02A4}">
      <dgm:prSet/>
      <dgm:spPr/>
      <dgm:t>
        <a:bodyPr/>
        <a:lstStyle/>
        <a:p>
          <a:endParaRPr lang="hr-HR"/>
        </a:p>
      </dgm:t>
    </dgm:pt>
    <dgm:pt modelId="{C24DC865-DAF7-4A13-A92E-35636EFE8123}">
      <dgm:prSet phldrT="[Text]" custT="1"/>
      <dgm:spPr/>
      <dgm:t>
        <a:bodyPr/>
        <a:lstStyle/>
        <a:p>
          <a:r>
            <a:rPr lang="hr-HR" sz="1000"/>
            <a:t>Jačanje uloge gospodarske diplomacije u privlačenju investicija</a:t>
          </a:r>
        </a:p>
      </dgm:t>
    </dgm:pt>
    <dgm:pt modelId="{AEED1BE7-1AB8-4A3F-BF71-2370BE090C79}" type="parTrans" cxnId="{ABD994AE-869B-40F0-89A7-8B9970B6A5BA}">
      <dgm:prSet/>
      <dgm:spPr/>
      <dgm:t>
        <a:bodyPr/>
        <a:lstStyle/>
        <a:p>
          <a:endParaRPr lang="hr-HR"/>
        </a:p>
      </dgm:t>
    </dgm:pt>
    <dgm:pt modelId="{DAE520E1-4341-4968-9D15-501E7E3B8E70}" type="sibTrans" cxnId="{ABD994AE-869B-40F0-89A7-8B9970B6A5BA}">
      <dgm:prSet/>
      <dgm:spPr/>
      <dgm:t>
        <a:bodyPr/>
        <a:lstStyle/>
        <a:p>
          <a:endParaRPr lang="hr-HR"/>
        </a:p>
      </dgm:t>
    </dgm:pt>
    <dgm:pt modelId="{03B9D414-56C8-4CA3-9D2C-231D5093AB84}" type="pres">
      <dgm:prSet presAssocID="{94A54281-EC37-42E2-98BC-3095902D5664}" presName="linearFlow" presStyleCnt="0">
        <dgm:presLayoutVars>
          <dgm:dir/>
          <dgm:resizeHandles val="exact"/>
        </dgm:presLayoutVars>
      </dgm:prSet>
      <dgm:spPr/>
    </dgm:pt>
    <dgm:pt modelId="{0DB10D77-5814-4A90-B951-514F3FAA609B}" type="pres">
      <dgm:prSet presAssocID="{F691AB7A-03C6-4A97-9C06-273CBE16F843}" presName="composite" presStyleCnt="0"/>
      <dgm:spPr/>
    </dgm:pt>
    <dgm:pt modelId="{A81FFC87-F213-4831-96B7-2400D793B7A1}" type="pres">
      <dgm:prSet presAssocID="{F691AB7A-03C6-4A97-9C06-273CBE16F843}" presName="imgShp" presStyleLbl="fgImgPlace1" presStyleIdx="0" presStyleCnt="4"/>
      <dgm:spPr>
        <a:blipFill>
          <a:blip xmlns:r="http://schemas.openxmlformats.org/officeDocument/2006/relationships" r:embed="rId1" cstate="print">
            <a:extLst/>
          </a:blip>
          <a:srcRect/>
          <a:stretch>
            <a:fillRect/>
          </a:stretch>
        </a:blipFill>
      </dgm:spPr>
    </dgm:pt>
    <dgm:pt modelId="{1FBE86C2-7CF3-46CB-BB3C-765EE1E556B9}" type="pres">
      <dgm:prSet presAssocID="{F691AB7A-03C6-4A97-9C06-273CBE16F843}" presName="txShp" presStyleLbl="node1" presStyleIdx="0" presStyleCnt="4">
        <dgm:presLayoutVars>
          <dgm:bulletEnabled val="1"/>
        </dgm:presLayoutVars>
      </dgm:prSet>
      <dgm:spPr/>
      <dgm:t>
        <a:bodyPr/>
        <a:lstStyle/>
        <a:p>
          <a:endParaRPr lang="hr-HR"/>
        </a:p>
      </dgm:t>
    </dgm:pt>
    <dgm:pt modelId="{6EE9A2CC-228C-40D2-AC0C-7275019F969B}" type="pres">
      <dgm:prSet presAssocID="{EA9F670F-95D1-4E5F-A45B-6B05994C5862}" presName="spacing" presStyleCnt="0"/>
      <dgm:spPr/>
    </dgm:pt>
    <dgm:pt modelId="{215908A3-8B1C-4E99-BCE8-46ACDB3473DD}" type="pres">
      <dgm:prSet presAssocID="{35D95F70-D273-4B67-8EB2-F4DA1FEC2359}" presName="composite" presStyleCnt="0"/>
      <dgm:spPr/>
    </dgm:pt>
    <dgm:pt modelId="{2A3EE109-EAF4-45D8-80DD-3B0BD726241C}" type="pres">
      <dgm:prSet presAssocID="{35D95F70-D273-4B67-8EB2-F4DA1FEC2359}" presName="imgShp" presStyleLbl="fgImgPlace1" presStyleIdx="1" presStyleCnt="4"/>
      <dgm:spPr>
        <a:blipFill>
          <a:blip xmlns:r="http://schemas.openxmlformats.org/officeDocument/2006/relationships" r:embed="rId1" cstate="print">
            <a:extLst/>
          </a:blip>
          <a:srcRect/>
          <a:stretch>
            <a:fillRect/>
          </a:stretch>
        </a:blipFill>
      </dgm:spPr>
    </dgm:pt>
    <dgm:pt modelId="{10352FB5-B77A-49C7-A9D6-EF897741282F}" type="pres">
      <dgm:prSet presAssocID="{35D95F70-D273-4B67-8EB2-F4DA1FEC2359}" presName="txShp" presStyleLbl="node1" presStyleIdx="1" presStyleCnt="4">
        <dgm:presLayoutVars>
          <dgm:bulletEnabled val="1"/>
        </dgm:presLayoutVars>
      </dgm:prSet>
      <dgm:spPr/>
      <dgm:t>
        <a:bodyPr/>
        <a:lstStyle/>
        <a:p>
          <a:endParaRPr lang="hr-HR"/>
        </a:p>
      </dgm:t>
    </dgm:pt>
    <dgm:pt modelId="{226FB283-EDA3-4ECD-B60A-BAB841868F72}" type="pres">
      <dgm:prSet presAssocID="{60CA80E2-A0FB-4732-8A63-00D85F2962A9}" presName="spacing" presStyleCnt="0"/>
      <dgm:spPr/>
    </dgm:pt>
    <dgm:pt modelId="{9ABBFC18-7F55-4A6F-9578-52FBF0943D41}" type="pres">
      <dgm:prSet presAssocID="{D7B47108-7BEF-4BE5-84EB-14AF1943BC8D}" presName="composite" presStyleCnt="0"/>
      <dgm:spPr/>
    </dgm:pt>
    <dgm:pt modelId="{6B281AE5-E1B9-4235-8590-8467357083B9}" type="pres">
      <dgm:prSet presAssocID="{D7B47108-7BEF-4BE5-84EB-14AF1943BC8D}" presName="imgShp" presStyleLbl="fgImgPlace1" presStyleIdx="2" presStyleCnt="4"/>
      <dgm:spPr>
        <a:blipFill>
          <a:blip xmlns:r="http://schemas.openxmlformats.org/officeDocument/2006/relationships" r:embed="rId1" cstate="print">
            <a:extLst/>
          </a:blip>
          <a:srcRect/>
          <a:stretch>
            <a:fillRect/>
          </a:stretch>
        </a:blipFill>
      </dgm:spPr>
    </dgm:pt>
    <dgm:pt modelId="{68D930AD-B1FD-452D-92D5-EBC11D3DF303}" type="pres">
      <dgm:prSet presAssocID="{D7B47108-7BEF-4BE5-84EB-14AF1943BC8D}" presName="txShp" presStyleLbl="node1" presStyleIdx="2" presStyleCnt="4" custLinFactNeighborY="223">
        <dgm:presLayoutVars>
          <dgm:bulletEnabled val="1"/>
        </dgm:presLayoutVars>
      </dgm:prSet>
      <dgm:spPr/>
      <dgm:t>
        <a:bodyPr/>
        <a:lstStyle/>
        <a:p>
          <a:endParaRPr lang="hr-HR"/>
        </a:p>
      </dgm:t>
    </dgm:pt>
    <dgm:pt modelId="{8E074D43-EC9B-46B4-BC04-347A53ACCDE8}" type="pres">
      <dgm:prSet presAssocID="{0BC2A333-0A58-43AF-9977-57514FC28573}" presName="spacing" presStyleCnt="0"/>
      <dgm:spPr/>
    </dgm:pt>
    <dgm:pt modelId="{03FA0506-C99A-409B-910F-6775BA3F52BE}" type="pres">
      <dgm:prSet presAssocID="{C24DC865-DAF7-4A13-A92E-35636EFE8123}" presName="composite" presStyleCnt="0"/>
      <dgm:spPr/>
    </dgm:pt>
    <dgm:pt modelId="{B1CA587A-66C2-4A2B-9E9A-1D6E0C2E8616}" type="pres">
      <dgm:prSet presAssocID="{C24DC865-DAF7-4A13-A92E-35636EFE8123}" presName="imgShp" presStyleLbl="fgImgPlace1" presStyleIdx="3" presStyleCnt="4"/>
      <dgm:spPr>
        <a:blipFill>
          <a:blip xmlns:r="http://schemas.openxmlformats.org/officeDocument/2006/relationships" r:embed="rId1" cstate="print">
            <a:extLst/>
          </a:blip>
          <a:srcRect/>
          <a:stretch>
            <a:fillRect/>
          </a:stretch>
        </a:blipFill>
      </dgm:spPr>
    </dgm:pt>
    <dgm:pt modelId="{5BB31D92-DD8C-41B7-A827-05DE166C1ED2}" type="pres">
      <dgm:prSet presAssocID="{C24DC865-DAF7-4A13-A92E-35636EFE8123}" presName="txShp" presStyleLbl="node1" presStyleIdx="3" presStyleCnt="4">
        <dgm:presLayoutVars>
          <dgm:bulletEnabled val="1"/>
        </dgm:presLayoutVars>
      </dgm:prSet>
      <dgm:spPr/>
      <dgm:t>
        <a:bodyPr/>
        <a:lstStyle/>
        <a:p>
          <a:endParaRPr lang="hr-HR"/>
        </a:p>
      </dgm:t>
    </dgm:pt>
  </dgm:ptLst>
  <dgm:cxnLst>
    <dgm:cxn modelId="{AFBF208F-627D-442C-983C-C9E0AEFCA606}" type="presOf" srcId="{35D95F70-D273-4B67-8EB2-F4DA1FEC2359}" destId="{10352FB5-B77A-49C7-A9D6-EF897741282F}" srcOrd="0" destOrd="0" presId="urn:microsoft.com/office/officeart/2005/8/layout/vList3#2"/>
    <dgm:cxn modelId="{19E1ABA2-5FE1-4559-B5AD-DF13BAA691E3}" type="presOf" srcId="{94A54281-EC37-42E2-98BC-3095902D5664}" destId="{03B9D414-56C8-4CA3-9D2C-231D5093AB84}" srcOrd="0" destOrd="0" presId="urn:microsoft.com/office/officeart/2005/8/layout/vList3#2"/>
    <dgm:cxn modelId="{E8E31A15-B3F4-4B22-A758-B44FC37CC512}" srcId="{94A54281-EC37-42E2-98BC-3095902D5664}" destId="{35D95F70-D273-4B67-8EB2-F4DA1FEC2359}" srcOrd="1" destOrd="0" parTransId="{17E7999D-8EB2-4EEB-8A8E-4F9163266A2D}" sibTransId="{60CA80E2-A0FB-4732-8A63-00D85F2962A9}"/>
    <dgm:cxn modelId="{ABD994AE-869B-40F0-89A7-8B9970B6A5BA}" srcId="{94A54281-EC37-42E2-98BC-3095902D5664}" destId="{C24DC865-DAF7-4A13-A92E-35636EFE8123}" srcOrd="3" destOrd="0" parTransId="{AEED1BE7-1AB8-4A3F-BF71-2370BE090C79}" sibTransId="{DAE520E1-4341-4968-9D15-501E7E3B8E70}"/>
    <dgm:cxn modelId="{B699351E-231D-45C9-8983-4F7E063883AA}" type="presOf" srcId="{C24DC865-DAF7-4A13-A92E-35636EFE8123}" destId="{5BB31D92-DD8C-41B7-A827-05DE166C1ED2}" srcOrd="0" destOrd="0" presId="urn:microsoft.com/office/officeart/2005/8/layout/vList3#2"/>
    <dgm:cxn modelId="{E4424688-E9B1-4444-A658-497B9F916C3A}" type="presOf" srcId="{D7B47108-7BEF-4BE5-84EB-14AF1943BC8D}" destId="{68D930AD-B1FD-452D-92D5-EBC11D3DF303}" srcOrd="0" destOrd="0" presId="urn:microsoft.com/office/officeart/2005/8/layout/vList3#2"/>
    <dgm:cxn modelId="{D950C5CC-B39F-413E-A434-9F5054C27698}" type="presOf" srcId="{F691AB7A-03C6-4A97-9C06-273CBE16F843}" destId="{1FBE86C2-7CF3-46CB-BB3C-765EE1E556B9}" srcOrd="0" destOrd="0" presId="urn:microsoft.com/office/officeart/2005/8/layout/vList3#2"/>
    <dgm:cxn modelId="{30649CF6-C3EB-4FD8-9068-53CF8446795F}" srcId="{94A54281-EC37-42E2-98BC-3095902D5664}" destId="{F691AB7A-03C6-4A97-9C06-273CBE16F843}" srcOrd="0" destOrd="0" parTransId="{DB1DC9A7-15D0-4A8A-AC4E-85A7DD826056}" sibTransId="{EA9F670F-95D1-4E5F-A45B-6B05994C5862}"/>
    <dgm:cxn modelId="{9DC2A5CF-7680-445B-A34A-30B67E1E02A4}" srcId="{94A54281-EC37-42E2-98BC-3095902D5664}" destId="{D7B47108-7BEF-4BE5-84EB-14AF1943BC8D}" srcOrd="2" destOrd="0" parTransId="{1AEA6B31-A763-4E6B-9281-68A2609D43EA}" sibTransId="{0BC2A333-0A58-43AF-9977-57514FC28573}"/>
    <dgm:cxn modelId="{70EC91DE-276F-4F70-AC76-ADFCD97E3E0E}" type="presParOf" srcId="{03B9D414-56C8-4CA3-9D2C-231D5093AB84}" destId="{0DB10D77-5814-4A90-B951-514F3FAA609B}" srcOrd="0" destOrd="0" presId="urn:microsoft.com/office/officeart/2005/8/layout/vList3#2"/>
    <dgm:cxn modelId="{45CC0638-8D20-43EB-944D-9F479D7303B3}" type="presParOf" srcId="{0DB10D77-5814-4A90-B951-514F3FAA609B}" destId="{A81FFC87-F213-4831-96B7-2400D793B7A1}" srcOrd="0" destOrd="0" presId="urn:microsoft.com/office/officeart/2005/8/layout/vList3#2"/>
    <dgm:cxn modelId="{91182BC3-6C92-46D9-990C-D3E8EE81D0A0}" type="presParOf" srcId="{0DB10D77-5814-4A90-B951-514F3FAA609B}" destId="{1FBE86C2-7CF3-46CB-BB3C-765EE1E556B9}" srcOrd="1" destOrd="0" presId="urn:microsoft.com/office/officeart/2005/8/layout/vList3#2"/>
    <dgm:cxn modelId="{395475BF-36FE-4BBD-BA8F-0E979C2CA6F0}" type="presParOf" srcId="{03B9D414-56C8-4CA3-9D2C-231D5093AB84}" destId="{6EE9A2CC-228C-40D2-AC0C-7275019F969B}" srcOrd="1" destOrd="0" presId="urn:microsoft.com/office/officeart/2005/8/layout/vList3#2"/>
    <dgm:cxn modelId="{45DDDDA0-3043-4113-8DD4-B6521BB56791}" type="presParOf" srcId="{03B9D414-56C8-4CA3-9D2C-231D5093AB84}" destId="{215908A3-8B1C-4E99-BCE8-46ACDB3473DD}" srcOrd="2" destOrd="0" presId="urn:microsoft.com/office/officeart/2005/8/layout/vList3#2"/>
    <dgm:cxn modelId="{3452340E-0A24-435E-90CD-9B7D85C803DE}" type="presParOf" srcId="{215908A3-8B1C-4E99-BCE8-46ACDB3473DD}" destId="{2A3EE109-EAF4-45D8-80DD-3B0BD726241C}" srcOrd="0" destOrd="0" presId="urn:microsoft.com/office/officeart/2005/8/layout/vList3#2"/>
    <dgm:cxn modelId="{AA8B50B8-870F-4138-8A9A-4FC9E7DAC97F}" type="presParOf" srcId="{215908A3-8B1C-4E99-BCE8-46ACDB3473DD}" destId="{10352FB5-B77A-49C7-A9D6-EF897741282F}" srcOrd="1" destOrd="0" presId="urn:microsoft.com/office/officeart/2005/8/layout/vList3#2"/>
    <dgm:cxn modelId="{02860CF8-21B0-4427-A784-B122182483F1}" type="presParOf" srcId="{03B9D414-56C8-4CA3-9D2C-231D5093AB84}" destId="{226FB283-EDA3-4ECD-B60A-BAB841868F72}" srcOrd="3" destOrd="0" presId="urn:microsoft.com/office/officeart/2005/8/layout/vList3#2"/>
    <dgm:cxn modelId="{7FE246FF-0BE6-4B3D-9F25-8335E52AEC99}" type="presParOf" srcId="{03B9D414-56C8-4CA3-9D2C-231D5093AB84}" destId="{9ABBFC18-7F55-4A6F-9578-52FBF0943D41}" srcOrd="4" destOrd="0" presId="urn:microsoft.com/office/officeart/2005/8/layout/vList3#2"/>
    <dgm:cxn modelId="{A86D3EC7-9556-4783-8137-E296EFEFD7F0}" type="presParOf" srcId="{9ABBFC18-7F55-4A6F-9578-52FBF0943D41}" destId="{6B281AE5-E1B9-4235-8590-8467357083B9}" srcOrd="0" destOrd="0" presId="urn:microsoft.com/office/officeart/2005/8/layout/vList3#2"/>
    <dgm:cxn modelId="{D0C6BC00-62AF-4800-954D-208516E772AF}" type="presParOf" srcId="{9ABBFC18-7F55-4A6F-9578-52FBF0943D41}" destId="{68D930AD-B1FD-452D-92D5-EBC11D3DF303}" srcOrd="1" destOrd="0" presId="urn:microsoft.com/office/officeart/2005/8/layout/vList3#2"/>
    <dgm:cxn modelId="{6FDF66FA-776D-4C42-AE4D-0BB32E6EE64B}" type="presParOf" srcId="{03B9D414-56C8-4CA3-9D2C-231D5093AB84}" destId="{8E074D43-EC9B-46B4-BC04-347A53ACCDE8}" srcOrd="5" destOrd="0" presId="urn:microsoft.com/office/officeart/2005/8/layout/vList3#2"/>
    <dgm:cxn modelId="{C453D186-79AA-4D6D-8D79-6EBB03BE060A}" type="presParOf" srcId="{03B9D414-56C8-4CA3-9D2C-231D5093AB84}" destId="{03FA0506-C99A-409B-910F-6775BA3F52BE}" srcOrd="6" destOrd="0" presId="urn:microsoft.com/office/officeart/2005/8/layout/vList3#2"/>
    <dgm:cxn modelId="{74A97A41-83A0-411C-9AA2-1099FA7548FC}" type="presParOf" srcId="{03FA0506-C99A-409B-910F-6775BA3F52BE}" destId="{B1CA587A-66C2-4A2B-9E9A-1D6E0C2E8616}" srcOrd="0" destOrd="0" presId="urn:microsoft.com/office/officeart/2005/8/layout/vList3#2"/>
    <dgm:cxn modelId="{F0719195-5DAD-4EFB-9FC7-CF3BC50AA811}" type="presParOf" srcId="{03FA0506-C99A-409B-910F-6775BA3F52BE}" destId="{5BB31D92-DD8C-41B7-A827-05DE166C1ED2}" srcOrd="1" destOrd="0" presId="urn:microsoft.com/office/officeart/2005/8/layout/vList3#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4A54281-EC37-42E2-98BC-3095902D5664}" type="doc">
      <dgm:prSet loTypeId="urn:microsoft.com/office/officeart/2005/8/layout/vList3#3" loCatId="list" qsTypeId="urn:microsoft.com/office/officeart/2005/8/quickstyle/simple1#3" qsCatId="simple" csTypeId="urn:microsoft.com/office/officeart/2005/8/colors/accent1_2#4" csCatId="accent1" phldr="1"/>
      <dgm:spPr/>
    </dgm:pt>
    <dgm:pt modelId="{F691AB7A-03C6-4A97-9C06-273CBE16F843}">
      <dgm:prSet phldrT="[Text]" custT="1"/>
      <dgm:spPr/>
      <dgm:t>
        <a:bodyPr/>
        <a:lstStyle/>
        <a:p>
          <a:r>
            <a:rPr lang="hr-HR" sz="1000" b="1">
              <a:latin typeface="+mn-lt"/>
              <a:cs typeface="Arial" pitchFamily="34" charset="0"/>
            </a:rPr>
            <a:t>Izrada i provedba plana privlačenja </a:t>
          </a:r>
          <a:r>
            <a:rPr lang="hr-HR" sz="1000" b="1" i="1">
              <a:latin typeface="+mn-lt"/>
              <a:cs typeface="Arial" pitchFamily="34" charset="0"/>
            </a:rPr>
            <a:t>greenfield </a:t>
          </a:r>
          <a:r>
            <a:rPr lang="hr-HR" sz="1000" b="1">
              <a:latin typeface="+mn-lt"/>
              <a:cs typeface="Arial" pitchFamily="34" charset="0"/>
            </a:rPr>
            <a:t>investicija u industrije, u izvozno-orijentirane sektore i turizam </a:t>
          </a:r>
        </a:p>
      </dgm:t>
    </dgm:pt>
    <dgm:pt modelId="{DB1DC9A7-15D0-4A8A-AC4E-85A7DD826056}" type="parTrans" cxnId="{30649CF6-C3EB-4FD8-9068-53CF8446795F}">
      <dgm:prSet/>
      <dgm:spPr/>
      <dgm:t>
        <a:bodyPr/>
        <a:lstStyle/>
        <a:p>
          <a:endParaRPr lang="hr-HR"/>
        </a:p>
      </dgm:t>
    </dgm:pt>
    <dgm:pt modelId="{EA9F670F-95D1-4E5F-A45B-6B05994C5862}" type="sibTrans" cxnId="{30649CF6-C3EB-4FD8-9068-53CF8446795F}">
      <dgm:prSet/>
      <dgm:spPr/>
      <dgm:t>
        <a:bodyPr/>
        <a:lstStyle/>
        <a:p>
          <a:endParaRPr lang="hr-HR"/>
        </a:p>
      </dgm:t>
    </dgm:pt>
    <dgm:pt modelId="{35D95F70-D273-4B67-8EB2-F4DA1FEC2359}">
      <dgm:prSet phldrT="[Text]" custT="1"/>
      <dgm:spPr/>
      <dgm:t>
        <a:bodyPr/>
        <a:lstStyle/>
        <a:p>
          <a:r>
            <a:rPr lang="hr-HR" sz="1000" b="1">
              <a:latin typeface="+mn-lt"/>
              <a:cs typeface="Arial" pitchFamily="34" charset="0"/>
            </a:rPr>
            <a:t>Izrada i provedba Plana privlačenja </a:t>
          </a:r>
          <a:r>
            <a:rPr lang="hr-HR" sz="1000" b="1" i="1">
              <a:latin typeface="+mn-lt"/>
              <a:cs typeface="Arial" pitchFamily="34" charset="0"/>
            </a:rPr>
            <a:t>greenfield</a:t>
          </a:r>
          <a:r>
            <a:rPr lang="hr-HR" sz="1000" b="1">
              <a:latin typeface="+mn-lt"/>
              <a:cs typeface="Arial" pitchFamily="34" charset="0"/>
            </a:rPr>
            <a:t> investicija u industrije u nastajanju i visoko-tehnološke sektore</a:t>
          </a:r>
        </a:p>
      </dgm:t>
    </dgm:pt>
    <dgm:pt modelId="{17E7999D-8EB2-4EEB-8A8E-4F9163266A2D}" type="parTrans" cxnId="{E8E31A15-B3F4-4B22-A758-B44FC37CC512}">
      <dgm:prSet/>
      <dgm:spPr/>
      <dgm:t>
        <a:bodyPr/>
        <a:lstStyle/>
        <a:p>
          <a:endParaRPr lang="hr-HR"/>
        </a:p>
      </dgm:t>
    </dgm:pt>
    <dgm:pt modelId="{60CA80E2-A0FB-4732-8A63-00D85F2962A9}" type="sibTrans" cxnId="{E8E31A15-B3F4-4B22-A758-B44FC37CC512}">
      <dgm:prSet/>
      <dgm:spPr/>
      <dgm:t>
        <a:bodyPr/>
        <a:lstStyle/>
        <a:p>
          <a:endParaRPr lang="hr-HR"/>
        </a:p>
      </dgm:t>
    </dgm:pt>
    <dgm:pt modelId="{D7B47108-7BEF-4BE5-84EB-14AF1943BC8D}">
      <dgm:prSet phldrT="[Text]" custT="1"/>
      <dgm:spPr/>
      <dgm:t>
        <a:bodyPr/>
        <a:lstStyle/>
        <a:p>
          <a:r>
            <a:rPr lang="hr-HR" sz="1000" b="1">
              <a:solidFill>
                <a:schemeClr val="bg1"/>
              </a:solidFill>
              <a:latin typeface="+mn-lt"/>
              <a:cs typeface="Arial" pitchFamily="34" charset="0"/>
            </a:rPr>
            <a:t>Izrada i provedba Plana privlačenja </a:t>
          </a:r>
          <a:r>
            <a:rPr lang="hr-HR" sz="1000" b="1" i="1">
              <a:solidFill>
                <a:schemeClr val="bg1"/>
              </a:solidFill>
              <a:latin typeface="+mn-lt"/>
              <a:cs typeface="Arial" pitchFamily="34" charset="0"/>
            </a:rPr>
            <a:t>greenfield</a:t>
          </a:r>
          <a:r>
            <a:rPr lang="hr-HR" sz="1000" b="1">
              <a:solidFill>
                <a:schemeClr val="bg1"/>
              </a:solidFill>
              <a:latin typeface="+mn-lt"/>
              <a:cs typeface="Arial" pitchFamily="34" charset="0"/>
            </a:rPr>
            <a:t> investicija u potpomognuta područja RH</a:t>
          </a:r>
        </a:p>
      </dgm:t>
    </dgm:pt>
    <dgm:pt modelId="{1AEA6B31-A763-4E6B-9281-68A2609D43EA}" type="parTrans" cxnId="{9DC2A5CF-7680-445B-A34A-30B67E1E02A4}">
      <dgm:prSet/>
      <dgm:spPr/>
      <dgm:t>
        <a:bodyPr/>
        <a:lstStyle/>
        <a:p>
          <a:endParaRPr lang="hr-HR"/>
        </a:p>
      </dgm:t>
    </dgm:pt>
    <dgm:pt modelId="{0BC2A333-0A58-43AF-9977-57514FC28573}" type="sibTrans" cxnId="{9DC2A5CF-7680-445B-A34A-30B67E1E02A4}">
      <dgm:prSet/>
      <dgm:spPr/>
      <dgm:t>
        <a:bodyPr/>
        <a:lstStyle/>
        <a:p>
          <a:endParaRPr lang="hr-HR"/>
        </a:p>
      </dgm:t>
    </dgm:pt>
    <dgm:pt modelId="{EF4E48DA-2465-4E39-A691-E1E5D0EBD3C9}">
      <dgm:prSet custT="1"/>
      <dgm:spPr/>
      <dgm:t>
        <a:bodyPr/>
        <a:lstStyle/>
        <a:p>
          <a:r>
            <a:rPr lang="hr-HR" sz="1000" b="1">
              <a:latin typeface="+mn-lt"/>
              <a:cs typeface="Arial" pitchFamily="34" charset="0"/>
            </a:rPr>
            <a:t>Izrada i provedba plana realizacije  </a:t>
          </a:r>
          <a:r>
            <a:rPr lang="hr-HR" sz="1000" b="1" i="1">
              <a:latin typeface="+mn-lt"/>
              <a:cs typeface="Arial" pitchFamily="34" charset="0"/>
            </a:rPr>
            <a:t>brownfield</a:t>
          </a:r>
          <a:r>
            <a:rPr lang="hr-HR" sz="1000" b="1">
              <a:latin typeface="+mn-lt"/>
              <a:cs typeface="Arial" pitchFamily="34" charset="0"/>
            </a:rPr>
            <a:t> investicija putem stavljanja u funkciju državne imovine </a:t>
          </a:r>
        </a:p>
      </dgm:t>
    </dgm:pt>
    <dgm:pt modelId="{EA97C5D5-C525-432D-A6F2-B1D10F7A89D1}" type="parTrans" cxnId="{EF406981-AFB6-4756-800E-C1B09EE25BB4}">
      <dgm:prSet/>
      <dgm:spPr/>
      <dgm:t>
        <a:bodyPr/>
        <a:lstStyle/>
        <a:p>
          <a:endParaRPr lang="hr-HR"/>
        </a:p>
      </dgm:t>
    </dgm:pt>
    <dgm:pt modelId="{BDD38D06-AFC0-47DE-9069-B3E472977D05}" type="sibTrans" cxnId="{EF406981-AFB6-4756-800E-C1B09EE25BB4}">
      <dgm:prSet/>
      <dgm:spPr/>
      <dgm:t>
        <a:bodyPr/>
        <a:lstStyle/>
        <a:p>
          <a:endParaRPr lang="hr-HR"/>
        </a:p>
      </dgm:t>
    </dgm:pt>
    <dgm:pt modelId="{03B9D414-56C8-4CA3-9D2C-231D5093AB84}" type="pres">
      <dgm:prSet presAssocID="{94A54281-EC37-42E2-98BC-3095902D5664}" presName="linearFlow" presStyleCnt="0">
        <dgm:presLayoutVars>
          <dgm:dir/>
          <dgm:resizeHandles val="exact"/>
        </dgm:presLayoutVars>
      </dgm:prSet>
      <dgm:spPr/>
    </dgm:pt>
    <dgm:pt modelId="{0DB10D77-5814-4A90-B951-514F3FAA609B}" type="pres">
      <dgm:prSet presAssocID="{F691AB7A-03C6-4A97-9C06-273CBE16F843}" presName="composite" presStyleCnt="0"/>
      <dgm:spPr/>
    </dgm:pt>
    <dgm:pt modelId="{A81FFC87-F213-4831-96B7-2400D793B7A1}" type="pres">
      <dgm:prSet presAssocID="{F691AB7A-03C6-4A97-9C06-273CBE16F843}" presName="imgShp" presStyleLbl="fgImgPlace1" presStyleIdx="0" presStyleCnt="4" custScaleX="51307" custScaleY="58672"/>
      <dgm:spPr>
        <a:blipFill rotWithShape="0">
          <a:blip xmlns:r="http://schemas.openxmlformats.org/officeDocument/2006/relationships" r:embed="rId1"/>
          <a:stretch>
            <a:fillRect/>
          </a:stretch>
        </a:blipFill>
      </dgm:spPr>
    </dgm:pt>
    <dgm:pt modelId="{1FBE86C2-7CF3-46CB-BB3C-765EE1E556B9}" type="pres">
      <dgm:prSet presAssocID="{F691AB7A-03C6-4A97-9C06-273CBE16F843}" presName="txShp" presStyleLbl="node1" presStyleIdx="0" presStyleCnt="4">
        <dgm:presLayoutVars>
          <dgm:bulletEnabled val="1"/>
        </dgm:presLayoutVars>
      </dgm:prSet>
      <dgm:spPr/>
      <dgm:t>
        <a:bodyPr/>
        <a:lstStyle/>
        <a:p>
          <a:endParaRPr lang="hr-HR"/>
        </a:p>
      </dgm:t>
    </dgm:pt>
    <dgm:pt modelId="{6EE9A2CC-228C-40D2-AC0C-7275019F969B}" type="pres">
      <dgm:prSet presAssocID="{EA9F670F-95D1-4E5F-A45B-6B05994C5862}" presName="spacing" presStyleCnt="0"/>
      <dgm:spPr/>
    </dgm:pt>
    <dgm:pt modelId="{215908A3-8B1C-4E99-BCE8-46ACDB3473DD}" type="pres">
      <dgm:prSet presAssocID="{35D95F70-D273-4B67-8EB2-F4DA1FEC2359}" presName="composite" presStyleCnt="0"/>
      <dgm:spPr/>
    </dgm:pt>
    <dgm:pt modelId="{2A3EE109-EAF4-45D8-80DD-3B0BD726241C}" type="pres">
      <dgm:prSet presAssocID="{35D95F70-D273-4B67-8EB2-F4DA1FEC2359}" presName="imgShp" presStyleLbl="fgImgPlace1" presStyleIdx="1" presStyleCnt="4" custScaleX="53335" custScaleY="61600"/>
      <dgm:spPr>
        <a:blipFill rotWithShape="0">
          <a:blip xmlns:r="http://schemas.openxmlformats.org/officeDocument/2006/relationships" r:embed="rId1"/>
          <a:stretch>
            <a:fillRect/>
          </a:stretch>
        </a:blipFill>
      </dgm:spPr>
    </dgm:pt>
    <dgm:pt modelId="{10352FB5-B77A-49C7-A9D6-EF897741282F}" type="pres">
      <dgm:prSet presAssocID="{35D95F70-D273-4B67-8EB2-F4DA1FEC2359}" presName="txShp" presStyleLbl="node1" presStyleIdx="1" presStyleCnt="4">
        <dgm:presLayoutVars>
          <dgm:bulletEnabled val="1"/>
        </dgm:presLayoutVars>
      </dgm:prSet>
      <dgm:spPr/>
      <dgm:t>
        <a:bodyPr/>
        <a:lstStyle/>
        <a:p>
          <a:endParaRPr lang="hr-HR"/>
        </a:p>
      </dgm:t>
    </dgm:pt>
    <dgm:pt modelId="{226FB283-EDA3-4ECD-B60A-BAB841868F72}" type="pres">
      <dgm:prSet presAssocID="{60CA80E2-A0FB-4732-8A63-00D85F2962A9}" presName="spacing" presStyleCnt="0"/>
      <dgm:spPr/>
    </dgm:pt>
    <dgm:pt modelId="{9ABBFC18-7F55-4A6F-9578-52FBF0943D41}" type="pres">
      <dgm:prSet presAssocID="{D7B47108-7BEF-4BE5-84EB-14AF1943BC8D}" presName="composite" presStyleCnt="0"/>
      <dgm:spPr/>
    </dgm:pt>
    <dgm:pt modelId="{6B281AE5-E1B9-4235-8590-8467357083B9}" type="pres">
      <dgm:prSet presAssocID="{D7B47108-7BEF-4BE5-84EB-14AF1943BC8D}" presName="imgShp" presStyleLbl="fgImgPlace1" presStyleIdx="2" presStyleCnt="4" custScaleX="54540" custScaleY="54890"/>
      <dgm:spPr>
        <a:blipFill rotWithShape="0">
          <a:blip xmlns:r="http://schemas.openxmlformats.org/officeDocument/2006/relationships" r:embed="rId1"/>
          <a:stretch>
            <a:fillRect/>
          </a:stretch>
        </a:blipFill>
      </dgm:spPr>
    </dgm:pt>
    <dgm:pt modelId="{68D930AD-B1FD-452D-92D5-EBC11D3DF303}" type="pres">
      <dgm:prSet presAssocID="{D7B47108-7BEF-4BE5-84EB-14AF1943BC8D}" presName="txShp" presStyleLbl="node1" presStyleIdx="2" presStyleCnt="4" custLinFactNeighborY="223">
        <dgm:presLayoutVars>
          <dgm:bulletEnabled val="1"/>
        </dgm:presLayoutVars>
      </dgm:prSet>
      <dgm:spPr/>
      <dgm:t>
        <a:bodyPr/>
        <a:lstStyle/>
        <a:p>
          <a:endParaRPr lang="hr-HR"/>
        </a:p>
      </dgm:t>
    </dgm:pt>
    <dgm:pt modelId="{CE8BCC68-4ED9-4B49-9E53-14D39A370D5E}" type="pres">
      <dgm:prSet presAssocID="{0BC2A333-0A58-43AF-9977-57514FC28573}" presName="spacing" presStyleCnt="0"/>
      <dgm:spPr/>
    </dgm:pt>
    <dgm:pt modelId="{2BDEBF2E-650D-4D27-9301-C3DDBD17C3E5}" type="pres">
      <dgm:prSet presAssocID="{EF4E48DA-2465-4E39-A691-E1E5D0EBD3C9}" presName="composite" presStyleCnt="0"/>
      <dgm:spPr/>
    </dgm:pt>
    <dgm:pt modelId="{3DBD73AB-084A-4188-A24D-90D1D1528B84}" type="pres">
      <dgm:prSet presAssocID="{EF4E48DA-2465-4E39-A691-E1E5D0EBD3C9}" presName="imgShp" presStyleLbl="fgImgPlace1" presStyleIdx="3" presStyleCnt="4" custScaleX="60347" custScaleY="58327"/>
      <dgm:spPr>
        <a:blipFill rotWithShape="0">
          <a:blip xmlns:r="http://schemas.openxmlformats.org/officeDocument/2006/relationships" r:embed="rId1"/>
          <a:stretch>
            <a:fillRect/>
          </a:stretch>
        </a:blipFill>
      </dgm:spPr>
    </dgm:pt>
    <dgm:pt modelId="{9DCEEEDC-2AF0-4B63-978F-EBEA6F189F4C}" type="pres">
      <dgm:prSet presAssocID="{EF4E48DA-2465-4E39-A691-E1E5D0EBD3C9}" presName="txShp" presStyleLbl="node1" presStyleIdx="3" presStyleCnt="4">
        <dgm:presLayoutVars>
          <dgm:bulletEnabled val="1"/>
        </dgm:presLayoutVars>
      </dgm:prSet>
      <dgm:spPr/>
      <dgm:t>
        <a:bodyPr/>
        <a:lstStyle/>
        <a:p>
          <a:endParaRPr lang="hr-HR"/>
        </a:p>
      </dgm:t>
    </dgm:pt>
  </dgm:ptLst>
  <dgm:cxnLst>
    <dgm:cxn modelId="{E8E31A15-B3F4-4B22-A758-B44FC37CC512}" srcId="{94A54281-EC37-42E2-98BC-3095902D5664}" destId="{35D95F70-D273-4B67-8EB2-F4DA1FEC2359}" srcOrd="1" destOrd="0" parTransId="{17E7999D-8EB2-4EEB-8A8E-4F9163266A2D}" sibTransId="{60CA80E2-A0FB-4732-8A63-00D85F2962A9}"/>
    <dgm:cxn modelId="{CBE8EE41-09AF-40D6-A6DC-681D750596DD}" type="presOf" srcId="{94A54281-EC37-42E2-98BC-3095902D5664}" destId="{03B9D414-56C8-4CA3-9D2C-231D5093AB84}" srcOrd="0" destOrd="0" presId="urn:microsoft.com/office/officeart/2005/8/layout/vList3#3"/>
    <dgm:cxn modelId="{EA0D11F5-BC41-4F58-8902-85A058DC15F4}" type="presOf" srcId="{D7B47108-7BEF-4BE5-84EB-14AF1943BC8D}" destId="{68D930AD-B1FD-452D-92D5-EBC11D3DF303}" srcOrd="0" destOrd="0" presId="urn:microsoft.com/office/officeart/2005/8/layout/vList3#3"/>
    <dgm:cxn modelId="{EF406981-AFB6-4756-800E-C1B09EE25BB4}" srcId="{94A54281-EC37-42E2-98BC-3095902D5664}" destId="{EF4E48DA-2465-4E39-A691-E1E5D0EBD3C9}" srcOrd="3" destOrd="0" parTransId="{EA97C5D5-C525-432D-A6F2-B1D10F7A89D1}" sibTransId="{BDD38D06-AFC0-47DE-9069-B3E472977D05}"/>
    <dgm:cxn modelId="{1C683548-F9AC-491E-BB14-08C95175B4CD}" type="presOf" srcId="{35D95F70-D273-4B67-8EB2-F4DA1FEC2359}" destId="{10352FB5-B77A-49C7-A9D6-EF897741282F}" srcOrd="0" destOrd="0" presId="urn:microsoft.com/office/officeart/2005/8/layout/vList3#3"/>
    <dgm:cxn modelId="{C9D91FBF-DCFE-46A2-9477-D91C6E410176}" type="presOf" srcId="{EF4E48DA-2465-4E39-A691-E1E5D0EBD3C9}" destId="{9DCEEEDC-2AF0-4B63-978F-EBEA6F189F4C}" srcOrd="0" destOrd="0" presId="urn:microsoft.com/office/officeart/2005/8/layout/vList3#3"/>
    <dgm:cxn modelId="{30649CF6-C3EB-4FD8-9068-53CF8446795F}" srcId="{94A54281-EC37-42E2-98BC-3095902D5664}" destId="{F691AB7A-03C6-4A97-9C06-273CBE16F843}" srcOrd="0" destOrd="0" parTransId="{DB1DC9A7-15D0-4A8A-AC4E-85A7DD826056}" sibTransId="{EA9F670F-95D1-4E5F-A45B-6B05994C5862}"/>
    <dgm:cxn modelId="{1D20C28E-584D-4B11-8B49-51C3B70875B6}" type="presOf" srcId="{F691AB7A-03C6-4A97-9C06-273CBE16F843}" destId="{1FBE86C2-7CF3-46CB-BB3C-765EE1E556B9}" srcOrd="0" destOrd="0" presId="urn:microsoft.com/office/officeart/2005/8/layout/vList3#3"/>
    <dgm:cxn modelId="{9DC2A5CF-7680-445B-A34A-30B67E1E02A4}" srcId="{94A54281-EC37-42E2-98BC-3095902D5664}" destId="{D7B47108-7BEF-4BE5-84EB-14AF1943BC8D}" srcOrd="2" destOrd="0" parTransId="{1AEA6B31-A763-4E6B-9281-68A2609D43EA}" sibTransId="{0BC2A333-0A58-43AF-9977-57514FC28573}"/>
    <dgm:cxn modelId="{89BABD59-57BB-4A95-BC33-7C10A82BC6EE}" type="presParOf" srcId="{03B9D414-56C8-4CA3-9D2C-231D5093AB84}" destId="{0DB10D77-5814-4A90-B951-514F3FAA609B}" srcOrd="0" destOrd="0" presId="urn:microsoft.com/office/officeart/2005/8/layout/vList3#3"/>
    <dgm:cxn modelId="{3EC6B5F5-9909-41BC-A43B-440B43109DD4}" type="presParOf" srcId="{0DB10D77-5814-4A90-B951-514F3FAA609B}" destId="{A81FFC87-F213-4831-96B7-2400D793B7A1}" srcOrd="0" destOrd="0" presId="urn:microsoft.com/office/officeart/2005/8/layout/vList3#3"/>
    <dgm:cxn modelId="{B4C71D5A-2C1E-4DFA-BBE8-83D01D1E3A34}" type="presParOf" srcId="{0DB10D77-5814-4A90-B951-514F3FAA609B}" destId="{1FBE86C2-7CF3-46CB-BB3C-765EE1E556B9}" srcOrd="1" destOrd="0" presId="urn:microsoft.com/office/officeart/2005/8/layout/vList3#3"/>
    <dgm:cxn modelId="{1BA4D707-C694-44B5-AEF5-F8D62EA878E1}" type="presParOf" srcId="{03B9D414-56C8-4CA3-9D2C-231D5093AB84}" destId="{6EE9A2CC-228C-40D2-AC0C-7275019F969B}" srcOrd="1" destOrd="0" presId="urn:microsoft.com/office/officeart/2005/8/layout/vList3#3"/>
    <dgm:cxn modelId="{D7CFC6F5-5098-4C81-9A7F-378872D22B1E}" type="presParOf" srcId="{03B9D414-56C8-4CA3-9D2C-231D5093AB84}" destId="{215908A3-8B1C-4E99-BCE8-46ACDB3473DD}" srcOrd="2" destOrd="0" presId="urn:microsoft.com/office/officeart/2005/8/layout/vList3#3"/>
    <dgm:cxn modelId="{8299EFC5-D5FA-482D-9CD5-29C875D40EDB}" type="presParOf" srcId="{215908A3-8B1C-4E99-BCE8-46ACDB3473DD}" destId="{2A3EE109-EAF4-45D8-80DD-3B0BD726241C}" srcOrd="0" destOrd="0" presId="urn:microsoft.com/office/officeart/2005/8/layout/vList3#3"/>
    <dgm:cxn modelId="{396BE20F-6E13-42E7-8C30-793B8F2DB3A7}" type="presParOf" srcId="{215908A3-8B1C-4E99-BCE8-46ACDB3473DD}" destId="{10352FB5-B77A-49C7-A9D6-EF897741282F}" srcOrd="1" destOrd="0" presId="urn:microsoft.com/office/officeart/2005/8/layout/vList3#3"/>
    <dgm:cxn modelId="{86CA57AA-235A-46EF-AD5E-4AB0E8385A1F}" type="presParOf" srcId="{03B9D414-56C8-4CA3-9D2C-231D5093AB84}" destId="{226FB283-EDA3-4ECD-B60A-BAB841868F72}" srcOrd="3" destOrd="0" presId="urn:microsoft.com/office/officeart/2005/8/layout/vList3#3"/>
    <dgm:cxn modelId="{164AC3A4-D92F-4E33-8648-7857682C08FC}" type="presParOf" srcId="{03B9D414-56C8-4CA3-9D2C-231D5093AB84}" destId="{9ABBFC18-7F55-4A6F-9578-52FBF0943D41}" srcOrd="4" destOrd="0" presId="urn:microsoft.com/office/officeart/2005/8/layout/vList3#3"/>
    <dgm:cxn modelId="{FC105C1C-4218-48D3-BB2C-1D31D633A6F9}" type="presParOf" srcId="{9ABBFC18-7F55-4A6F-9578-52FBF0943D41}" destId="{6B281AE5-E1B9-4235-8590-8467357083B9}" srcOrd="0" destOrd="0" presId="urn:microsoft.com/office/officeart/2005/8/layout/vList3#3"/>
    <dgm:cxn modelId="{1C8542C0-B492-41F8-878C-3E3624F8F9FB}" type="presParOf" srcId="{9ABBFC18-7F55-4A6F-9578-52FBF0943D41}" destId="{68D930AD-B1FD-452D-92D5-EBC11D3DF303}" srcOrd="1" destOrd="0" presId="urn:microsoft.com/office/officeart/2005/8/layout/vList3#3"/>
    <dgm:cxn modelId="{A501DB6D-9412-477A-ADF2-FA4B46B468BF}" type="presParOf" srcId="{03B9D414-56C8-4CA3-9D2C-231D5093AB84}" destId="{CE8BCC68-4ED9-4B49-9E53-14D39A370D5E}" srcOrd="5" destOrd="0" presId="urn:microsoft.com/office/officeart/2005/8/layout/vList3#3"/>
    <dgm:cxn modelId="{B254EA2D-064E-4BA3-8AD3-B506CC0E4326}" type="presParOf" srcId="{03B9D414-56C8-4CA3-9D2C-231D5093AB84}" destId="{2BDEBF2E-650D-4D27-9301-C3DDBD17C3E5}" srcOrd="6" destOrd="0" presId="urn:microsoft.com/office/officeart/2005/8/layout/vList3#3"/>
    <dgm:cxn modelId="{22883436-6CCA-40DB-893D-19960E918848}" type="presParOf" srcId="{2BDEBF2E-650D-4D27-9301-C3DDBD17C3E5}" destId="{3DBD73AB-084A-4188-A24D-90D1D1528B84}" srcOrd="0" destOrd="0" presId="urn:microsoft.com/office/officeart/2005/8/layout/vList3#3"/>
    <dgm:cxn modelId="{0209C347-D2B1-4556-A986-0270E6A80D92}" type="presParOf" srcId="{2BDEBF2E-650D-4D27-9301-C3DDBD17C3E5}" destId="{9DCEEEDC-2AF0-4B63-978F-EBEA6F189F4C}" srcOrd="1" destOrd="0" presId="urn:microsoft.com/office/officeart/2005/8/layout/vList3#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4A54281-EC37-42E2-98BC-3095902D5664}" type="doc">
      <dgm:prSet loTypeId="urn:microsoft.com/office/officeart/2005/8/layout/vList3#4" loCatId="list" qsTypeId="urn:microsoft.com/office/officeart/2005/8/quickstyle/simple1#4" qsCatId="simple" csTypeId="urn:microsoft.com/office/officeart/2005/8/colors/accent1_2#5" csCatId="accent1" phldr="1"/>
      <dgm:spPr/>
    </dgm:pt>
    <dgm:pt modelId="{35D95F70-D273-4B67-8EB2-F4DA1FEC2359}">
      <dgm:prSet phldrT="[Text]" custT="1"/>
      <dgm:spPr/>
      <dgm:t>
        <a:bodyPr/>
        <a:lstStyle/>
        <a:p>
          <a:r>
            <a:rPr lang="hr-HR" sz="1000" b="1">
              <a:latin typeface="+mn-lt"/>
              <a:cs typeface="Arial" pitchFamily="34" charset="0"/>
            </a:rPr>
            <a:t>Podrška investitorima u pred-investicijskoj fazi i u realizaciji investicijskih projekata </a:t>
          </a:r>
        </a:p>
      </dgm:t>
    </dgm:pt>
    <dgm:pt modelId="{17E7999D-8EB2-4EEB-8A8E-4F9163266A2D}" type="parTrans" cxnId="{E8E31A15-B3F4-4B22-A758-B44FC37CC512}">
      <dgm:prSet/>
      <dgm:spPr/>
      <dgm:t>
        <a:bodyPr/>
        <a:lstStyle/>
        <a:p>
          <a:endParaRPr lang="hr-HR"/>
        </a:p>
      </dgm:t>
    </dgm:pt>
    <dgm:pt modelId="{60CA80E2-A0FB-4732-8A63-00D85F2962A9}" type="sibTrans" cxnId="{E8E31A15-B3F4-4B22-A758-B44FC37CC512}">
      <dgm:prSet/>
      <dgm:spPr/>
      <dgm:t>
        <a:bodyPr/>
        <a:lstStyle/>
        <a:p>
          <a:endParaRPr lang="hr-HR"/>
        </a:p>
      </dgm:t>
    </dgm:pt>
    <dgm:pt modelId="{D7B47108-7BEF-4BE5-84EB-14AF1943BC8D}">
      <dgm:prSet phldrT="[Text]" custT="1"/>
      <dgm:spPr/>
      <dgm:t>
        <a:bodyPr/>
        <a:lstStyle/>
        <a:p>
          <a:r>
            <a:rPr lang="hr-HR" sz="1000" b="1">
              <a:latin typeface="+mn-lt"/>
              <a:cs typeface="Arial" pitchFamily="34" charset="0"/>
            </a:rPr>
            <a:t>Praćenje investicija i post-investicijska briga</a:t>
          </a:r>
        </a:p>
      </dgm:t>
    </dgm:pt>
    <dgm:pt modelId="{1AEA6B31-A763-4E6B-9281-68A2609D43EA}" type="parTrans" cxnId="{9DC2A5CF-7680-445B-A34A-30B67E1E02A4}">
      <dgm:prSet/>
      <dgm:spPr/>
      <dgm:t>
        <a:bodyPr/>
        <a:lstStyle/>
        <a:p>
          <a:endParaRPr lang="hr-HR"/>
        </a:p>
      </dgm:t>
    </dgm:pt>
    <dgm:pt modelId="{0BC2A333-0A58-43AF-9977-57514FC28573}" type="sibTrans" cxnId="{9DC2A5CF-7680-445B-A34A-30B67E1E02A4}">
      <dgm:prSet/>
      <dgm:spPr/>
      <dgm:t>
        <a:bodyPr/>
        <a:lstStyle/>
        <a:p>
          <a:endParaRPr lang="hr-HR"/>
        </a:p>
      </dgm:t>
    </dgm:pt>
    <dgm:pt modelId="{03B9D414-56C8-4CA3-9D2C-231D5093AB84}" type="pres">
      <dgm:prSet presAssocID="{94A54281-EC37-42E2-98BC-3095902D5664}" presName="linearFlow" presStyleCnt="0">
        <dgm:presLayoutVars>
          <dgm:dir/>
          <dgm:resizeHandles val="exact"/>
        </dgm:presLayoutVars>
      </dgm:prSet>
      <dgm:spPr/>
    </dgm:pt>
    <dgm:pt modelId="{215908A3-8B1C-4E99-BCE8-46ACDB3473DD}" type="pres">
      <dgm:prSet presAssocID="{35D95F70-D273-4B67-8EB2-F4DA1FEC2359}" presName="composite" presStyleCnt="0"/>
      <dgm:spPr/>
    </dgm:pt>
    <dgm:pt modelId="{2A3EE109-EAF4-45D8-80DD-3B0BD726241C}" type="pres">
      <dgm:prSet presAssocID="{35D95F70-D273-4B67-8EB2-F4DA1FEC2359}" presName="imgShp" presStyleLbl="fgImgPlace1" presStyleIdx="0" presStyleCnt="2" custScaleX="53335" custScaleY="61600"/>
      <dgm:spPr>
        <a:blipFill rotWithShape="0">
          <a:blip xmlns:r="http://schemas.openxmlformats.org/officeDocument/2006/relationships" r:embed="rId1"/>
          <a:stretch>
            <a:fillRect/>
          </a:stretch>
        </a:blipFill>
      </dgm:spPr>
    </dgm:pt>
    <dgm:pt modelId="{10352FB5-B77A-49C7-A9D6-EF897741282F}" type="pres">
      <dgm:prSet presAssocID="{35D95F70-D273-4B67-8EB2-F4DA1FEC2359}" presName="txShp" presStyleLbl="node1" presStyleIdx="0" presStyleCnt="2" custScaleX="98845" custScaleY="66297">
        <dgm:presLayoutVars>
          <dgm:bulletEnabled val="1"/>
        </dgm:presLayoutVars>
      </dgm:prSet>
      <dgm:spPr/>
      <dgm:t>
        <a:bodyPr/>
        <a:lstStyle/>
        <a:p>
          <a:endParaRPr lang="hr-HR"/>
        </a:p>
      </dgm:t>
    </dgm:pt>
    <dgm:pt modelId="{226FB283-EDA3-4ECD-B60A-BAB841868F72}" type="pres">
      <dgm:prSet presAssocID="{60CA80E2-A0FB-4732-8A63-00D85F2962A9}" presName="spacing" presStyleCnt="0"/>
      <dgm:spPr/>
    </dgm:pt>
    <dgm:pt modelId="{9ABBFC18-7F55-4A6F-9578-52FBF0943D41}" type="pres">
      <dgm:prSet presAssocID="{D7B47108-7BEF-4BE5-84EB-14AF1943BC8D}" presName="composite" presStyleCnt="0"/>
      <dgm:spPr/>
    </dgm:pt>
    <dgm:pt modelId="{6B281AE5-E1B9-4235-8590-8467357083B9}" type="pres">
      <dgm:prSet presAssocID="{D7B47108-7BEF-4BE5-84EB-14AF1943BC8D}" presName="imgShp" presStyleLbl="fgImgPlace1" presStyleIdx="1" presStyleCnt="2" custScaleX="54540" custScaleY="54890"/>
      <dgm:spPr>
        <a:blipFill rotWithShape="0">
          <a:blip xmlns:r="http://schemas.openxmlformats.org/officeDocument/2006/relationships" r:embed="rId1"/>
          <a:stretch>
            <a:fillRect/>
          </a:stretch>
        </a:blipFill>
      </dgm:spPr>
    </dgm:pt>
    <dgm:pt modelId="{68D930AD-B1FD-452D-92D5-EBC11D3DF303}" type="pres">
      <dgm:prSet presAssocID="{D7B47108-7BEF-4BE5-84EB-14AF1943BC8D}" presName="txShp" presStyleLbl="node1" presStyleIdx="1" presStyleCnt="2" custScaleX="99917" custScaleY="66113" custLinFactNeighborX="-450" custLinFactNeighborY="185">
        <dgm:presLayoutVars>
          <dgm:bulletEnabled val="1"/>
        </dgm:presLayoutVars>
      </dgm:prSet>
      <dgm:spPr/>
      <dgm:t>
        <a:bodyPr/>
        <a:lstStyle/>
        <a:p>
          <a:endParaRPr lang="hr-HR"/>
        </a:p>
      </dgm:t>
    </dgm:pt>
  </dgm:ptLst>
  <dgm:cxnLst>
    <dgm:cxn modelId="{9D1EDAEB-CBC2-44EF-9D02-A18A508CC842}" type="presOf" srcId="{D7B47108-7BEF-4BE5-84EB-14AF1943BC8D}" destId="{68D930AD-B1FD-452D-92D5-EBC11D3DF303}" srcOrd="0" destOrd="0" presId="urn:microsoft.com/office/officeart/2005/8/layout/vList3#4"/>
    <dgm:cxn modelId="{CB1DC4AE-54D4-4221-8A5B-AB58780540ED}" type="presOf" srcId="{94A54281-EC37-42E2-98BC-3095902D5664}" destId="{03B9D414-56C8-4CA3-9D2C-231D5093AB84}" srcOrd="0" destOrd="0" presId="urn:microsoft.com/office/officeart/2005/8/layout/vList3#4"/>
    <dgm:cxn modelId="{1F4481B5-88DB-4A60-BE7E-F95887C03CE1}" type="presOf" srcId="{35D95F70-D273-4B67-8EB2-F4DA1FEC2359}" destId="{10352FB5-B77A-49C7-A9D6-EF897741282F}" srcOrd="0" destOrd="0" presId="urn:microsoft.com/office/officeart/2005/8/layout/vList3#4"/>
    <dgm:cxn modelId="{9DC2A5CF-7680-445B-A34A-30B67E1E02A4}" srcId="{94A54281-EC37-42E2-98BC-3095902D5664}" destId="{D7B47108-7BEF-4BE5-84EB-14AF1943BC8D}" srcOrd="1" destOrd="0" parTransId="{1AEA6B31-A763-4E6B-9281-68A2609D43EA}" sibTransId="{0BC2A333-0A58-43AF-9977-57514FC28573}"/>
    <dgm:cxn modelId="{E8E31A15-B3F4-4B22-A758-B44FC37CC512}" srcId="{94A54281-EC37-42E2-98BC-3095902D5664}" destId="{35D95F70-D273-4B67-8EB2-F4DA1FEC2359}" srcOrd="0" destOrd="0" parTransId="{17E7999D-8EB2-4EEB-8A8E-4F9163266A2D}" sibTransId="{60CA80E2-A0FB-4732-8A63-00D85F2962A9}"/>
    <dgm:cxn modelId="{B3919138-45F5-4D42-B498-B725A0F2D5EA}" type="presParOf" srcId="{03B9D414-56C8-4CA3-9D2C-231D5093AB84}" destId="{215908A3-8B1C-4E99-BCE8-46ACDB3473DD}" srcOrd="0" destOrd="0" presId="urn:microsoft.com/office/officeart/2005/8/layout/vList3#4"/>
    <dgm:cxn modelId="{58285100-89EB-4D50-A55B-CE1C82865B43}" type="presParOf" srcId="{215908A3-8B1C-4E99-BCE8-46ACDB3473DD}" destId="{2A3EE109-EAF4-45D8-80DD-3B0BD726241C}" srcOrd="0" destOrd="0" presId="urn:microsoft.com/office/officeart/2005/8/layout/vList3#4"/>
    <dgm:cxn modelId="{F0E2F12D-81F3-4A01-916C-0DF2AD09C3F1}" type="presParOf" srcId="{215908A3-8B1C-4E99-BCE8-46ACDB3473DD}" destId="{10352FB5-B77A-49C7-A9D6-EF897741282F}" srcOrd="1" destOrd="0" presId="urn:microsoft.com/office/officeart/2005/8/layout/vList3#4"/>
    <dgm:cxn modelId="{C6B8EC25-B63D-416C-AB39-134EE3437816}" type="presParOf" srcId="{03B9D414-56C8-4CA3-9D2C-231D5093AB84}" destId="{226FB283-EDA3-4ECD-B60A-BAB841868F72}" srcOrd="1" destOrd="0" presId="urn:microsoft.com/office/officeart/2005/8/layout/vList3#4"/>
    <dgm:cxn modelId="{47AEC58F-538D-405F-B4E0-C8C50BB904A8}" type="presParOf" srcId="{03B9D414-56C8-4CA3-9D2C-231D5093AB84}" destId="{9ABBFC18-7F55-4A6F-9578-52FBF0943D41}" srcOrd="2" destOrd="0" presId="urn:microsoft.com/office/officeart/2005/8/layout/vList3#4"/>
    <dgm:cxn modelId="{3D94101F-302C-4990-89A3-D8C535CD6417}" type="presParOf" srcId="{9ABBFC18-7F55-4A6F-9578-52FBF0943D41}" destId="{6B281AE5-E1B9-4235-8590-8467357083B9}" srcOrd="0" destOrd="0" presId="urn:microsoft.com/office/officeart/2005/8/layout/vList3#4"/>
    <dgm:cxn modelId="{9FC9D841-9100-4A7C-BDDE-49EE21E0FF0A}" type="presParOf" srcId="{9ABBFC18-7F55-4A6F-9578-52FBF0943D41}" destId="{68D930AD-B1FD-452D-92D5-EBC11D3DF303}" srcOrd="1" destOrd="0" presId="urn:microsoft.com/office/officeart/2005/8/layout/vList3#4"/>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D7519B-2595-4923-BD3D-928DD09650F5}">
      <dsp:nvSpPr>
        <dsp:cNvPr id="0" name=""/>
        <dsp:cNvSpPr/>
      </dsp:nvSpPr>
      <dsp:spPr>
        <a:xfrm>
          <a:off x="0" y="0"/>
          <a:ext cx="5533263" cy="859485"/>
        </a:xfrm>
        <a:prstGeom prst="rect">
          <a:avLst/>
        </a:prstGeom>
        <a:solidFill>
          <a:schemeClr val="accent1">
            <a:shade val="8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hr-HR" sz="1200" b="1" kern="1200"/>
            <a:t>Opći cilj: Potaknuti gospodarski rast i konkurentnost Republike Hrvatske kroz povećanje priljeva domaćih i stranih investicija</a:t>
          </a:r>
        </a:p>
      </dsp:txBody>
      <dsp:txXfrm>
        <a:off x="0" y="0"/>
        <a:ext cx="5533263" cy="859485"/>
      </dsp:txXfrm>
    </dsp:sp>
    <dsp:sp modelId="{781BA461-D82B-4AB9-8800-A86570E7E776}">
      <dsp:nvSpPr>
        <dsp:cNvPr id="0" name=""/>
        <dsp:cNvSpPr/>
      </dsp:nvSpPr>
      <dsp:spPr>
        <a:xfrm>
          <a:off x="0" y="859485"/>
          <a:ext cx="1383315" cy="180491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hr-HR" sz="1100" b="1" kern="1200"/>
            <a:t>Prioritetno područje 1.</a:t>
          </a:r>
        </a:p>
        <a:p>
          <a:pPr lvl="0" algn="ctr" defTabSz="488950">
            <a:lnSpc>
              <a:spcPct val="90000"/>
            </a:lnSpc>
            <a:spcBef>
              <a:spcPct val="0"/>
            </a:spcBef>
            <a:spcAft>
              <a:spcPct val="35000"/>
            </a:spcAft>
          </a:pPr>
          <a:r>
            <a:rPr lang="hr-HR" sz="1100" kern="1200"/>
            <a:t>Unaprjeđenje investicijskog okruženja</a:t>
          </a:r>
        </a:p>
      </dsp:txBody>
      <dsp:txXfrm>
        <a:off x="0" y="859485"/>
        <a:ext cx="1383315" cy="1804919"/>
      </dsp:txXfrm>
    </dsp:sp>
    <dsp:sp modelId="{D2093C48-E2D1-470D-A63B-BFC948B45229}">
      <dsp:nvSpPr>
        <dsp:cNvPr id="0" name=""/>
        <dsp:cNvSpPr/>
      </dsp:nvSpPr>
      <dsp:spPr>
        <a:xfrm>
          <a:off x="1383315" y="859485"/>
          <a:ext cx="1383315" cy="180491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hr-HR" sz="1100" b="1" kern="1200"/>
            <a:t>Prioritetno područje  2</a:t>
          </a:r>
          <a:r>
            <a:rPr lang="hr-HR" sz="1100" kern="1200"/>
            <a:t>.</a:t>
          </a:r>
        </a:p>
        <a:p>
          <a:pPr lvl="0" algn="ctr" defTabSz="488950">
            <a:lnSpc>
              <a:spcPct val="90000"/>
            </a:lnSpc>
            <a:spcBef>
              <a:spcPct val="0"/>
            </a:spcBef>
            <a:spcAft>
              <a:spcPct val="35000"/>
            </a:spcAft>
          </a:pPr>
          <a:r>
            <a:rPr lang="hr-HR" sz="1100" kern="1200"/>
            <a:t> Promocija Republike Hrvatske kao atraktivne investicijske destinacije</a:t>
          </a:r>
        </a:p>
      </dsp:txBody>
      <dsp:txXfrm>
        <a:off x="1383315" y="859485"/>
        <a:ext cx="1383315" cy="1804919"/>
      </dsp:txXfrm>
    </dsp:sp>
    <dsp:sp modelId="{08BCBD10-BF91-4E0A-9C0B-11EDEACF949C}">
      <dsp:nvSpPr>
        <dsp:cNvPr id="0" name=""/>
        <dsp:cNvSpPr/>
      </dsp:nvSpPr>
      <dsp:spPr>
        <a:xfrm>
          <a:off x="2766631" y="859485"/>
          <a:ext cx="1383315" cy="180491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hr-HR" sz="1100" b="1" kern="1200"/>
            <a:t>Prioritetno područje 3.</a:t>
          </a:r>
        </a:p>
        <a:p>
          <a:pPr lvl="0" algn="ctr" defTabSz="488950">
            <a:lnSpc>
              <a:spcPct val="90000"/>
            </a:lnSpc>
            <a:spcBef>
              <a:spcPct val="0"/>
            </a:spcBef>
            <a:spcAft>
              <a:spcPct val="35000"/>
            </a:spcAft>
          </a:pPr>
          <a:r>
            <a:rPr lang="hr-HR" sz="1100" kern="1200"/>
            <a:t> Ciljano privlačenje investicija</a:t>
          </a:r>
        </a:p>
      </dsp:txBody>
      <dsp:txXfrm>
        <a:off x="2766631" y="859485"/>
        <a:ext cx="1383315" cy="1804919"/>
      </dsp:txXfrm>
    </dsp:sp>
    <dsp:sp modelId="{278B6BB9-8DDA-4706-9EDE-34D773796A8A}">
      <dsp:nvSpPr>
        <dsp:cNvPr id="0" name=""/>
        <dsp:cNvSpPr/>
      </dsp:nvSpPr>
      <dsp:spPr>
        <a:xfrm>
          <a:off x="4149947" y="859485"/>
          <a:ext cx="1383315" cy="180491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hr-HR" sz="1100" b="1" kern="1200"/>
            <a:t>Prioritetno područje  4. </a:t>
          </a:r>
        </a:p>
        <a:p>
          <a:pPr lvl="0" algn="ctr" defTabSz="488950">
            <a:lnSpc>
              <a:spcPct val="90000"/>
            </a:lnSpc>
            <a:spcBef>
              <a:spcPct val="0"/>
            </a:spcBef>
            <a:spcAft>
              <a:spcPct val="35000"/>
            </a:spcAft>
          </a:pPr>
          <a:r>
            <a:rPr lang="hr-HR" sz="1100" kern="1200"/>
            <a:t>Pružanje  podrške  realizaciji investicijskih projekata </a:t>
          </a:r>
        </a:p>
      </dsp:txBody>
      <dsp:txXfrm>
        <a:off x="4149947" y="859485"/>
        <a:ext cx="1383315" cy="1804919"/>
      </dsp:txXfrm>
    </dsp:sp>
    <dsp:sp modelId="{E4397A45-6960-48B6-BEC3-A3D343746950}">
      <dsp:nvSpPr>
        <dsp:cNvPr id="0" name=""/>
        <dsp:cNvSpPr/>
      </dsp:nvSpPr>
      <dsp:spPr>
        <a:xfrm>
          <a:off x="0" y="2664404"/>
          <a:ext cx="5533263" cy="200546"/>
        </a:xfrm>
        <a:prstGeom prst="rect">
          <a:avLst/>
        </a:prstGeom>
        <a:solidFill>
          <a:schemeClr val="accent1">
            <a:shade val="8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BE86C2-7CF3-46CB-BB3C-765EE1E556B9}">
      <dsp:nvSpPr>
        <dsp:cNvPr id="0" name=""/>
        <dsp:cNvSpPr/>
      </dsp:nvSpPr>
      <dsp:spPr>
        <a:xfrm rot="10800000">
          <a:off x="1093013" y="906"/>
          <a:ext cx="3908155" cy="434513"/>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1608" tIns="38100" rIns="71120" bIns="38100" numCol="1" spcCol="1270" anchor="ctr" anchorCtr="0">
          <a:noAutofit/>
        </a:bodyPr>
        <a:lstStyle/>
        <a:p>
          <a:pPr lvl="0" algn="ctr" defTabSz="444500">
            <a:lnSpc>
              <a:spcPct val="90000"/>
            </a:lnSpc>
            <a:spcBef>
              <a:spcPct val="0"/>
            </a:spcBef>
            <a:spcAft>
              <a:spcPct val="35000"/>
            </a:spcAft>
          </a:pPr>
          <a:r>
            <a:rPr lang="hr-HR" sz="1000" kern="1200"/>
            <a:t>Unaprjeđenje zakonodavnog i institucionalnog okvira i uklanjanje administrativnih barijera  za investicije</a:t>
          </a:r>
        </a:p>
      </dsp:txBody>
      <dsp:txXfrm rot="10800000">
        <a:off x="1201641" y="906"/>
        <a:ext cx="3799527" cy="434513"/>
      </dsp:txXfrm>
    </dsp:sp>
    <dsp:sp modelId="{A81FFC87-F213-4831-96B7-2400D793B7A1}">
      <dsp:nvSpPr>
        <dsp:cNvPr id="0" name=""/>
        <dsp:cNvSpPr/>
      </dsp:nvSpPr>
      <dsp:spPr>
        <a:xfrm>
          <a:off x="875756" y="906"/>
          <a:ext cx="434513" cy="434513"/>
        </a:xfrm>
        <a:prstGeom prst="ellipse">
          <a:avLst/>
        </a:prstGeom>
        <a:blipFill>
          <a:blip xmlns:r="http://schemas.openxmlformats.org/officeDocument/2006/relationships" r:embed="rId1" cstate="prin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884F000-602E-4E28-B8CE-9514A2E89BA6}">
      <dsp:nvSpPr>
        <dsp:cNvPr id="0" name=""/>
        <dsp:cNvSpPr/>
      </dsp:nvSpPr>
      <dsp:spPr>
        <a:xfrm rot="10800000">
          <a:off x="1093013" y="565125"/>
          <a:ext cx="3908155" cy="434513"/>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1608" tIns="38100" rIns="71120" bIns="38100" numCol="1" spcCol="1270" anchor="ctr" anchorCtr="0">
          <a:noAutofit/>
        </a:bodyPr>
        <a:lstStyle/>
        <a:p>
          <a:pPr lvl="0" algn="ctr" defTabSz="444500">
            <a:lnSpc>
              <a:spcPct val="90000"/>
            </a:lnSpc>
            <a:spcBef>
              <a:spcPct val="0"/>
            </a:spcBef>
            <a:spcAft>
              <a:spcPct val="35000"/>
            </a:spcAft>
          </a:pPr>
          <a:r>
            <a:rPr lang="hr-HR" sz="1000" kern="1200"/>
            <a:t>Jačanje investicijskog potencijala sektora malog i srednjeg poduzetništva  i uključivanje u globalne lance vrijednosti</a:t>
          </a:r>
        </a:p>
      </dsp:txBody>
      <dsp:txXfrm rot="10800000">
        <a:off x="1201641" y="565125"/>
        <a:ext cx="3799527" cy="434513"/>
      </dsp:txXfrm>
    </dsp:sp>
    <dsp:sp modelId="{8756DF1C-62B0-4E6E-A0AF-A0817616FAE9}">
      <dsp:nvSpPr>
        <dsp:cNvPr id="0" name=""/>
        <dsp:cNvSpPr/>
      </dsp:nvSpPr>
      <dsp:spPr>
        <a:xfrm>
          <a:off x="875756" y="565125"/>
          <a:ext cx="434513" cy="434513"/>
        </a:xfrm>
        <a:prstGeom prst="ellipse">
          <a:avLst/>
        </a:prstGeom>
        <a:blipFill>
          <a:blip xmlns:r="http://schemas.openxmlformats.org/officeDocument/2006/relationships" r:embed="rId1" cstate="prin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FDE6AA7-6CB2-4D56-91E4-E3ED42D53B33}">
      <dsp:nvSpPr>
        <dsp:cNvPr id="0" name=""/>
        <dsp:cNvSpPr/>
      </dsp:nvSpPr>
      <dsp:spPr>
        <a:xfrm rot="10800000">
          <a:off x="1093013" y="1129345"/>
          <a:ext cx="3908155" cy="434513"/>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1608" tIns="38100" rIns="71120" bIns="38100" numCol="1" spcCol="1270" anchor="ctr" anchorCtr="0">
          <a:noAutofit/>
        </a:bodyPr>
        <a:lstStyle/>
        <a:p>
          <a:pPr lvl="0" algn="ctr" defTabSz="444500">
            <a:lnSpc>
              <a:spcPct val="90000"/>
            </a:lnSpc>
            <a:spcBef>
              <a:spcPct val="0"/>
            </a:spcBef>
            <a:spcAft>
              <a:spcPct val="35000"/>
            </a:spcAft>
          </a:pPr>
          <a:r>
            <a:rPr lang="hr-HR" sz="1000" kern="1200"/>
            <a:t>Prilagodba obrazovnog sustava i tržišta rada potrebama investitora</a:t>
          </a:r>
        </a:p>
      </dsp:txBody>
      <dsp:txXfrm rot="10800000">
        <a:off x="1201641" y="1129345"/>
        <a:ext cx="3799527" cy="434513"/>
      </dsp:txXfrm>
    </dsp:sp>
    <dsp:sp modelId="{6CD8ECEC-3E10-446A-B4AF-6359C96C3DFB}">
      <dsp:nvSpPr>
        <dsp:cNvPr id="0" name=""/>
        <dsp:cNvSpPr/>
      </dsp:nvSpPr>
      <dsp:spPr>
        <a:xfrm>
          <a:off x="875756" y="1129345"/>
          <a:ext cx="434513" cy="434513"/>
        </a:xfrm>
        <a:prstGeom prst="ellipse">
          <a:avLst/>
        </a:prstGeom>
        <a:blipFill>
          <a:blip xmlns:r="http://schemas.openxmlformats.org/officeDocument/2006/relationships" r:embed="rId1" cstate="prin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4B02CE2-0EA0-48D8-9936-B8521FE2DA3C}">
      <dsp:nvSpPr>
        <dsp:cNvPr id="0" name=""/>
        <dsp:cNvSpPr/>
      </dsp:nvSpPr>
      <dsp:spPr>
        <a:xfrm rot="10800000">
          <a:off x="1093013" y="1693564"/>
          <a:ext cx="3908155" cy="434513"/>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1608" tIns="38100" rIns="71120" bIns="38100" numCol="1" spcCol="1270" anchor="ctr" anchorCtr="0">
          <a:noAutofit/>
        </a:bodyPr>
        <a:lstStyle/>
        <a:p>
          <a:pPr lvl="0" algn="ctr" defTabSz="444500">
            <a:lnSpc>
              <a:spcPct val="90000"/>
            </a:lnSpc>
            <a:spcBef>
              <a:spcPct val="0"/>
            </a:spcBef>
            <a:spcAft>
              <a:spcPct val="35000"/>
            </a:spcAft>
          </a:pPr>
          <a:r>
            <a:rPr lang="hr-HR" sz="1000" kern="1200"/>
            <a:t>Stvaranje poticajnog okruženja za investicije u istraživanje, razvoj, inovacije i KET tehnologije</a:t>
          </a:r>
        </a:p>
      </dsp:txBody>
      <dsp:txXfrm rot="10800000">
        <a:off x="1201641" y="1693564"/>
        <a:ext cx="3799527" cy="434513"/>
      </dsp:txXfrm>
    </dsp:sp>
    <dsp:sp modelId="{BA7C3B1A-9A42-4D21-B2D1-ED0CE0AAB737}">
      <dsp:nvSpPr>
        <dsp:cNvPr id="0" name=""/>
        <dsp:cNvSpPr/>
      </dsp:nvSpPr>
      <dsp:spPr>
        <a:xfrm>
          <a:off x="875756" y="1693564"/>
          <a:ext cx="434513" cy="434513"/>
        </a:xfrm>
        <a:prstGeom prst="ellipse">
          <a:avLst/>
        </a:prstGeom>
        <a:blipFill>
          <a:blip xmlns:r="http://schemas.openxmlformats.org/officeDocument/2006/relationships" r:embed="rId1" cstate="prin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AEAC69-7E89-47EC-A6BC-80869C3CA647}">
      <dsp:nvSpPr>
        <dsp:cNvPr id="0" name=""/>
        <dsp:cNvSpPr/>
      </dsp:nvSpPr>
      <dsp:spPr>
        <a:xfrm rot="10800000">
          <a:off x="1093013" y="2257783"/>
          <a:ext cx="3908155" cy="434513"/>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1608" tIns="38100" rIns="71120" bIns="38100" numCol="1" spcCol="1270" anchor="ctr" anchorCtr="0">
          <a:noAutofit/>
        </a:bodyPr>
        <a:lstStyle/>
        <a:p>
          <a:pPr lvl="0" algn="ctr" defTabSz="444500">
            <a:lnSpc>
              <a:spcPct val="90000"/>
            </a:lnSpc>
            <a:spcBef>
              <a:spcPct val="0"/>
            </a:spcBef>
            <a:spcAft>
              <a:spcPct val="35000"/>
            </a:spcAft>
          </a:pPr>
          <a:r>
            <a:rPr lang="hr-HR" sz="1000" kern="1200"/>
            <a:t>Jačanje investicijskog potencijala u sektoru turizma</a:t>
          </a:r>
        </a:p>
      </dsp:txBody>
      <dsp:txXfrm rot="10800000">
        <a:off x="1201641" y="2257783"/>
        <a:ext cx="3799527" cy="434513"/>
      </dsp:txXfrm>
    </dsp:sp>
    <dsp:sp modelId="{436680C1-C195-4EEB-94E5-4ACC7E0C72B7}">
      <dsp:nvSpPr>
        <dsp:cNvPr id="0" name=""/>
        <dsp:cNvSpPr/>
      </dsp:nvSpPr>
      <dsp:spPr>
        <a:xfrm>
          <a:off x="875756" y="2257783"/>
          <a:ext cx="434513" cy="434513"/>
        </a:xfrm>
        <a:prstGeom prst="ellipse">
          <a:avLst/>
        </a:prstGeom>
        <a:blipFill>
          <a:blip xmlns:r="http://schemas.openxmlformats.org/officeDocument/2006/relationships" r:embed="rId1" cstate="prin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2415DEE-4565-4A1A-93FA-9E6C66BAC4C2}">
      <dsp:nvSpPr>
        <dsp:cNvPr id="0" name=""/>
        <dsp:cNvSpPr/>
      </dsp:nvSpPr>
      <dsp:spPr>
        <a:xfrm rot="10800000">
          <a:off x="1093013" y="2822002"/>
          <a:ext cx="3908155" cy="434513"/>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1608" tIns="38100" rIns="71120" bIns="38100" numCol="1" spcCol="1270" anchor="ctr" anchorCtr="0">
          <a:noAutofit/>
        </a:bodyPr>
        <a:lstStyle/>
        <a:p>
          <a:pPr lvl="0" algn="ctr" defTabSz="444500">
            <a:lnSpc>
              <a:spcPct val="90000"/>
            </a:lnSpc>
            <a:spcBef>
              <a:spcPct val="0"/>
            </a:spcBef>
            <a:spcAft>
              <a:spcPct val="35000"/>
            </a:spcAft>
          </a:pPr>
          <a:r>
            <a:rPr lang="hr-HR" sz="1000" kern="1200"/>
            <a:t>Razvoj i unaprjeđenje regionalne infrastrukture</a:t>
          </a:r>
        </a:p>
      </dsp:txBody>
      <dsp:txXfrm rot="10800000">
        <a:off x="1201641" y="2822002"/>
        <a:ext cx="3799527" cy="434513"/>
      </dsp:txXfrm>
    </dsp:sp>
    <dsp:sp modelId="{42748FF2-D549-4B8E-B413-D015383BBB9B}">
      <dsp:nvSpPr>
        <dsp:cNvPr id="0" name=""/>
        <dsp:cNvSpPr/>
      </dsp:nvSpPr>
      <dsp:spPr>
        <a:xfrm>
          <a:off x="875756" y="2822002"/>
          <a:ext cx="434513" cy="434513"/>
        </a:xfrm>
        <a:prstGeom prst="ellipse">
          <a:avLst/>
        </a:prstGeom>
        <a:blipFill>
          <a:blip xmlns:r="http://schemas.openxmlformats.org/officeDocument/2006/relationships" r:embed="rId1" cstate="prin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BE86C2-7CF3-46CB-BB3C-765EE1E556B9}">
      <dsp:nvSpPr>
        <dsp:cNvPr id="0" name=""/>
        <dsp:cNvSpPr/>
      </dsp:nvSpPr>
      <dsp:spPr>
        <a:xfrm rot="10800000">
          <a:off x="1040532" y="1052"/>
          <a:ext cx="3686460" cy="447950"/>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7534" tIns="38100" rIns="71120" bIns="38100" numCol="1" spcCol="1270" anchor="ctr" anchorCtr="0">
          <a:noAutofit/>
        </a:bodyPr>
        <a:lstStyle/>
        <a:p>
          <a:pPr lvl="0" algn="ctr" defTabSz="444500">
            <a:lnSpc>
              <a:spcPct val="90000"/>
            </a:lnSpc>
            <a:spcBef>
              <a:spcPct val="0"/>
            </a:spcBef>
            <a:spcAft>
              <a:spcPct val="35000"/>
            </a:spcAft>
          </a:pPr>
          <a:r>
            <a:rPr lang="hr-HR" sz="1000" kern="1200"/>
            <a:t>Izrada i provedba Komunikacijske strategije za poticanje investicija i pripadajućeg Komunikacijskog akcijskog plana</a:t>
          </a:r>
        </a:p>
      </dsp:txBody>
      <dsp:txXfrm rot="10800000">
        <a:off x="1152519" y="1052"/>
        <a:ext cx="3574473" cy="447950"/>
      </dsp:txXfrm>
    </dsp:sp>
    <dsp:sp modelId="{A81FFC87-F213-4831-96B7-2400D793B7A1}">
      <dsp:nvSpPr>
        <dsp:cNvPr id="0" name=""/>
        <dsp:cNvSpPr/>
      </dsp:nvSpPr>
      <dsp:spPr>
        <a:xfrm>
          <a:off x="816557" y="1052"/>
          <a:ext cx="447950" cy="447950"/>
        </a:xfrm>
        <a:prstGeom prst="ellipse">
          <a:avLst/>
        </a:prstGeom>
        <a:blipFill>
          <a:blip xmlns:r="http://schemas.openxmlformats.org/officeDocument/2006/relationships" r:embed="rId1" cstate="prin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0352FB5-B77A-49C7-A9D6-EF897741282F}">
      <dsp:nvSpPr>
        <dsp:cNvPr id="0" name=""/>
        <dsp:cNvSpPr/>
      </dsp:nvSpPr>
      <dsp:spPr>
        <a:xfrm rot="10800000">
          <a:off x="1040532" y="581072"/>
          <a:ext cx="3686460" cy="447950"/>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7534" tIns="38100" rIns="71120" bIns="38100" numCol="1" spcCol="1270" anchor="ctr" anchorCtr="0">
          <a:noAutofit/>
        </a:bodyPr>
        <a:lstStyle/>
        <a:p>
          <a:pPr lvl="0" algn="ctr" defTabSz="444500">
            <a:lnSpc>
              <a:spcPct val="90000"/>
            </a:lnSpc>
            <a:spcBef>
              <a:spcPct val="0"/>
            </a:spcBef>
            <a:spcAft>
              <a:spcPct val="35000"/>
            </a:spcAft>
          </a:pPr>
          <a:r>
            <a:rPr lang="hr-HR" sz="1000" kern="1200"/>
            <a:t>Izrada hrvatskog "paketa prednosti" i investicijskog profila zemlje po sektorima</a:t>
          </a:r>
        </a:p>
      </dsp:txBody>
      <dsp:txXfrm rot="10800000">
        <a:off x="1152519" y="581072"/>
        <a:ext cx="3574473" cy="447950"/>
      </dsp:txXfrm>
    </dsp:sp>
    <dsp:sp modelId="{2A3EE109-EAF4-45D8-80DD-3B0BD726241C}">
      <dsp:nvSpPr>
        <dsp:cNvPr id="0" name=""/>
        <dsp:cNvSpPr/>
      </dsp:nvSpPr>
      <dsp:spPr>
        <a:xfrm>
          <a:off x="816557" y="581072"/>
          <a:ext cx="447950" cy="447950"/>
        </a:xfrm>
        <a:prstGeom prst="ellipse">
          <a:avLst/>
        </a:prstGeom>
        <a:blipFill>
          <a:blip xmlns:r="http://schemas.openxmlformats.org/officeDocument/2006/relationships" r:embed="rId1" cstate="prin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8D930AD-B1FD-452D-92D5-EBC11D3DF303}">
      <dsp:nvSpPr>
        <dsp:cNvPr id="0" name=""/>
        <dsp:cNvSpPr/>
      </dsp:nvSpPr>
      <dsp:spPr>
        <a:xfrm rot="10800000">
          <a:off x="1040532" y="1162091"/>
          <a:ext cx="3686460" cy="447950"/>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7534" tIns="38100" rIns="71120" bIns="38100" numCol="1" spcCol="1270" anchor="ctr" anchorCtr="0">
          <a:noAutofit/>
        </a:bodyPr>
        <a:lstStyle/>
        <a:p>
          <a:pPr lvl="0" algn="ctr" defTabSz="444500">
            <a:lnSpc>
              <a:spcPct val="90000"/>
            </a:lnSpc>
            <a:spcBef>
              <a:spcPct val="0"/>
            </a:spcBef>
            <a:spcAft>
              <a:spcPct val="35000"/>
            </a:spcAft>
          </a:pPr>
          <a:r>
            <a:rPr lang="hr-HR" sz="1000" kern="1200"/>
            <a:t>Sektorsko brendiranje i brendiranje regija</a:t>
          </a:r>
        </a:p>
      </dsp:txBody>
      <dsp:txXfrm rot="10800000">
        <a:off x="1152519" y="1162091"/>
        <a:ext cx="3574473" cy="447950"/>
      </dsp:txXfrm>
    </dsp:sp>
    <dsp:sp modelId="{6B281AE5-E1B9-4235-8590-8467357083B9}">
      <dsp:nvSpPr>
        <dsp:cNvPr id="0" name=""/>
        <dsp:cNvSpPr/>
      </dsp:nvSpPr>
      <dsp:spPr>
        <a:xfrm>
          <a:off x="816557" y="1161092"/>
          <a:ext cx="447950" cy="447950"/>
        </a:xfrm>
        <a:prstGeom prst="ellipse">
          <a:avLst/>
        </a:prstGeom>
        <a:blipFill>
          <a:blip xmlns:r="http://schemas.openxmlformats.org/officeDocument/2006/relationships" r:embed="rId1" cstate="prin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BB31D92-DD8C-41B7-A827-05DE166C1ED2}">
      <dsp:nvSpPr>
        <dsp:cNvPr id="0" name=""/>
        <dsp:cNvSpPr/>
      </dsp:nvSpPr>
      <dsp:spPr>
        <a:xfrm rot="10800000">
          <a:off x="1040532" y="1741112"/>
          <a:ext cx="3686460" cy="447950"/>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7534" tIns="38100" rIns="71120" bIns="38100" numCol="1" spcCol="1270" anchor="ctr" anchorCtr="0">
          <a:noAutofit/>
        </a:bodyPr>
        <a:lstStyle/>
        <a:p>
          <a:pPr lvl="0" algn="ctr" defTabSz="444500">
            <a:lnSpc>
              <a:spcPct val="90000"/>
            </a:lnSpc>
            <a:spcBef>
              <a:spcPct val="0"/>
            </a:spcBef>
            <a:spcAft>
              <a:spcPct val="35000"/>
            </a:spcAft>
          </a:pPr>
          <a:r>
            <a:rPr lang="hr-HR" sz="1000" kern="1200"/>
            <a:t>Jačanje uloge gospodarske diplomacije u privlačenju investicija</a:t>
          </a:r>
        </a:p>
      </dsp:txBody>
      <dsp:txXfrm rot="10800000">
        <a:off x="1152519" y="1741112"/>
        <a:ext cx="3574473" cy="447950"/>
      </dsp:txXfrm>
    </dsp:sp>
    <dsp:sp modelId="{B1CA587A-66C2-4A2B-9E9A-1D6E0C2E8616}">
      <dsp:nvSpPr>
        <dsp:cNvPr id="0" name=""/>
        <dsp:cNvSpPr/>
      </dsp:nvSpPr>
      <dsp:spPr>
        <a:xfrm>
          <a:off x="816557" y="1741112"/>
          <a:ext cx="447950" cy="447950"/>
        </a:xfrm>
        <a:prstGeom prst="ellipse">
          <a:avLst/>
        </a:prstGeom>
        <a:blipFill>
          <a:blip xmlns:r="http://schemas.openxmlformats.org/officeDocument/2006/relationships" r:embed="rId1" cstate="prin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BE86C2-7CF3-46CB-BB3C-765EE1E556B9}">
      <dsp:nvSpPr>
        <dsp:cNvPr id="0" name=""/>
        <dsp:cNvSpPr/>
      </dsp:nvSpPr>
      <dsp:spPr>
        <a:xfrm rot="10800000">
          <a:off x="991584" y="1897"/>
          <a:ext cx="3686460" cy="491475"/>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6727" tIns="38100" rIns="71120" bIns="38100" numCol="1" spcCol="1270" anchor="ctr" anchorCtr="0">
          <a:noAutofit/>
        </a:bodyPr>
        <a:lstStyle/>
        <a:p>
          <a:pPr lvl="0" algn="ctr" defTabSz="444500">
            <a:lnSpc>
              <a:spcPct val="90000"/>
            </a:lnSpc>
            <a:spcBef>
              <a:spcPct val="0"/>
            </a:spcBef>
            <a:spcAft>
              <a:spcPct val="35000"/>
            </a:spcAft>
          </a:pPr>
          <a:r>
            <a:rPr lang="hr-HR" sz="1000" b="1" kern="1200">
              <a:latin typeface="+mn-lt"/>
              <a:cs typeface="Arial" pitchFamily="34" charset="0"/>
            </a:rPr>
            <a:t>Izrada i provedba plana privlačenja </a:t>
          </a:r>
          <a:r>
            <a:rPr lang="hr-HR" sz="1000" b="1" i="1" kern="1200">
              <a:latin typeface="+mn-lt"/>
              <a:cs typeface="Arial" pitchFamily="34" charset="0"/>
            </a:rPr>
            <a:t>greenfield </a:t>
          </a:r>
          <a:r>
            <a:rPr lang="hr-HR" sz="1000" b="1" kern="1200">
              <a:latin typeface="+mn-lt"/>
              <a:cs typeface="Arial" pitchFamily="34" charset="0"/>
            </a:rPr>
            <a:t>investicija u industrije, u izvozno-orijentirane sektore i turizam </a:t>
          </a:r>
        </a:p>
      </dsp:txBody>
      <dsp:txXfrm rot="10800000">
        <a:off x="1114453" y="1897"/>
        <a:ext cx="3563591" cy="491475"/>
      </dsp:txXfrm>
    </dsp:sp>
    <dsp:sp modelId="{A81FFC87-F213-4831-96B7-2400D793B7A1}">
      <dsp:nvSpPr>
        <dsp:cNvPr id="0" name=""/>
        <dsp:cNvSpPr/>
      </dsp:nvSpPr>
      <dsp:spPr>
        <a:xfrm>
          <a:off x="865504" y="103455"/>
          <a:ext cx="252161" cy="288358"/>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0352FB5-B77A-49C7-A9D6-EF897741282F}">
      <dsp:nvSpPr>
        <dsp:cNvPr id="0" name=""/>
        <dsp:cNvSpPr/>
      </dsp:nvSpPr>
      <dsp:spPr>
        <a:xfrm rot="10800000">
          <a:off x="994076" y="640082"/>
          <a:ext cx="3686460" cy="491475"/>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6727" tIns="38100" rIns="71120" bIns="38100" numCol="1" spcCol="1270" anchor="ctr" anchorCtr="0">
          <a:noAutofit/>
        </a:bodyPr>
        <a:lstStyle/>
        <a:p>
          <a:pPr lvl="0" algn="ctr" defTabSz="444500">
            <a:lnSpc>
              <a:spcPct val="90000"/>
            </a:lnSpc>
            <a:spcBef>
              <a:spcPct val="0"/>
            </a:spcBef>
            <a:spcAft>
              <a:spcPct val="35000"/>
            </a:spcAft>
          </a:pPr>
          <a:r>
            <a:rPr lang="hr-HR" sz="1000" b="1" kern="1200">
              <a:latin typeface="+mn-lt"/>
              <a:cs typeface="Arial" pitchFamily="34" charset="0"/>
            </a:rPr>
            <a:t>Izrada i provedba Plana privlačenja </a:t>
          </a:r>
          <a:r>
            <a:rPr lang="hr-HR" sz="1000" b="1" i="1" kern="1200">
              <a:latin typeface="+mn-lt"/>
              <a:cs typeface="Arial" pitchFamily="34" charset="0"/>
            </a:rPr>
            <a:t>greenfield</a:t>
          </a:r>
          <a:r>
            <a:rPr lang="hr-HR" sz="1000" b="1" kern="1200">
              <a:latin typeface="+mn-lt"/>
              <a:cs typeface="Arial" pitchFamily="34" charset="0"/>
            </a:rPr>
            <a:t> investicija u industrije u nastajanju i visoko-tehnološke sektore</a:t>
          </a:r>
        </a:p>
      </dsp:txBody>
      <dsp:txXfrm rot="10800000">
        <a:off x="1116945" y="640082"/>
        <a:ext cx="3563591" cy="491475"/>
      </dsp:txXfrm>
    </dsp:sp>
    <dsp:sp modelId="{2A3EE109-EAF4-45D8-80DD-3B0BD726241C}">
      <dsp:nvSpPr>
        <dsp:cNvPr id="0" name=""/>
        <dsp:cNvSpPr/>
      </dsp:nvSpPr>
      <dsp:spPr>
        <a:xfrm>
          <a:off x="863012" y="734445"/>
          <a:ext cx="262128" cy="302749"/>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8D930AD-B1FD-452D-92D5-EBC11D3DF303}">
      <dsp:nvSpPr>
        <dsp:cNvPr id="0" name=""/>
        <dsp:cNvSpPr/>
      </dsp:nvSpPr>
      <dsp:spPr>
        <a:xfrm rot="10800000">
          <a:off x="995557" y="1279363"/>
          <a:ext cx="3686460" cy="491475"/>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6727" tIns="38100" rIns="71120" bIns="38100" numCol="1" spcCol="1270" anchor="ctr" anchorCtr="0">
          <a:noAutofit/>
        </a:bodyPr>
        <a:lstStyle/>
        <a:p>
          <a:pPr lvl="0" algn="ctr" defTabSz="444500">
            <a:lnSpc>
              <a:spcPct val="90000"/>
            </a:lnSpc>
            <a:spcBef>
              <a:spcPct val="0"/>
            </a:spcBef>
            <a:spcAft>
              <a:spcPct val="35000"/>
            </a:spcAft>
          </a:pPr>
          <a:r>
            <a:rPr lang="hr-HR" sz="1000" b="1" kern="1200">
              <a:solidFill>
                <a:schemeClr val="bg1"/>
              </a:solidFill>
              <a:latin typeface="+mn-lt"/>
              <a:cs typeface="Arial" pitchFamily="34" charset="0"/>
            </a:rPr>
            <a:t>Izrada i provedba Plana privlačenja </a:t>
          </a:r>
          <a:r>
            <a:rPr lang="hr-HR" sz="1000" b="1" i="1" kern="1200">
              <a:solidFill>
                <a:schemeClr val="bg1"/>
              </a:solidFill>
              <a:latin typeface="+mn-lt"/>
              <a:cs typeface="Arial" pitchFamily="34" charset="0"/>
            </a:rPr>
            <a:t>greenfield</a:t>
          </a:r>
          <a:r>
            <a:rPr lang="hr-HR" sz="1000" b="1" kern="1200">
              <a:solidFill>
                <a:schemeClr val="bg1"/>
              </a:solidFill>
              <a:latin typeface="+mn-lt"/>
              <a:cs typeface="Arial" pitchFamily="34" charset="0"/>
            </a:rPr>
            <a:t> investicija u potpomognuta područja RH</a:t>
          </a:r>
        </a:p>
      </dsp:txBody>
      <dsp:txXfrm rot="10800000">
        <a:off x="1118426" y="1279363"/>
        <a:ext cx="3563591" cy="491475"/>
      </dsp:txXfrm>
    </dsp:sp>
    <dsp:sp modelId="{6B281AE5-E1B9-4235-8590-8467357083B9}">
      <dsp:nvSpPr>
        <dsp:cNvPr id="0" name=""/>
        <dsp:cNvSpPr/>
      </dsp:nvSpPr>
      <dsp:spPr>
        <a:xfrm>
          <a:off x="861531" y="1389119"/>
          <a:ext cx="268050" cy="269771"/>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DCEEEDC-2AF0-4B63-978F-EBEA6F189F4C}">
      <dsp:nvSpPr>
        <dsp:cNvPr id="0" name=""/>
        <dsp:cNvSpPr/>
      </dsp:nvSpPr>
      <dsp:spPr>
        <a:xfrm rot="10800000">
          <a:off x="1002692" y="1916452"/>
          <a:ext cx="3686460" cy="491475"/>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6727" tIns="38100" rIns="71120" bIns="38100" numCol="1" spcCol="1270" anchor="ctr" anchorCtr="0">
          <a:noAutofit/>
        </a:bodyPr>
        <a:lstStyle/>
        <a:p>
          <a:pPr lvl="0" algn="ctr" defTabSz="444500">
            <a:lnSpc>
              <a:spcPct val="90000"/>
            </a:lnSpc>
            <a:spcBef>
              <a:spcPct val="0"/>
            </a:spcBef>
            <a:spcAft>
              <a:spcPct val="35000"/>
            </a:spcAft>
          </a:pPr>
          <a:r>
            <a:rPr lang="hr-HR" sz="1000" b="1" kern="1200">
              <a:latin typeface="+mn-lt"/>
              <a:cs typeface="Arial" pitchFamily="34" charset="0"/>
            </a:rPr>
            <a:t>Izrada i provedba plana realizacije  </a:t>
          </a:r>
          <a:r>
            <a:rPr lang="hr-HR" sz="1000" b="1" i="1" kern="1200">
              <a:latin typeface="+mn-lt"/>
              <a:cs typeface="Arial" pitchFamily="34" charset="0"/>
            </a:rPr>
            <a:t>brownfield</a:t>
          </a:r>
          <a:r>
            <a:rPr lang="hr-HR" sz="1000" b="1" kern="1200">
              <a:latin typeface="+mn-lt"/>
              <a:cs typeface="Arial" pitchFamily="34" charset="0"/>
            </a:rPr>
            <a:t> investicija putem stavljanja u funkciju državne imovine </a:t>
          </a:r>
        </a:p>
      </dsp:txBody>
      <dsp:txXfrm rot="10800000">
        <a:off x="1125561" y="1916452"/>
        <a:ext cx="3563591" cy="491475"/>
      </dsp:txXfrm>
    </dsp:sp>
    <dsp:sp modelId="{3DBD73AB-084A-4188-A24D-90D1D1528B84}">
      <dsp:nvSpPr>
        <dsp:cNvPr id="0" name=""/>
        <dsp:cNvSpPr/>
      </dsp:nvSpPr>
      <dsp:spPr>
        <a:xfrm>
          <a:off x="854396" y="2018858"/>
          <a:ext cx="296590" cy="286663"/>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352FB5-B77A-49C7-A9D6-EF897741282F}">
      <dsp:nvSpPr>
        <dsp:cNvPr id="0" name=""/>
        <dsp:cNvSpPr/>
      </dsp:nvSpPr>
      <dsp:spPr>
        <a:xfrm rot="10800000">
          <a:off x="1080154" y="611"/>
          <a:ext cx="3616584" cy="630817"/>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586" tIns="38100" rIns="71120" bIns="38100" numCol="1" spcCol="1270" anchor="ctr" anchorCtr="0">
          <a:noAutofit/>
        </a:bodyPr>
        <a:lstStyle/>
        <a:p>
          <a:pPr lvl="0" algn="ctr" defTabSz="444500">
            <a:lnSpc>
              <a:spcPct val="90000"/>
            </a:lnSpc>
            <a:spcBef>
              <a:spcPct val="0"/>
            </a:spcBef>
            <a:spcAft>
              <a:spcPct val="35000"/>
            </a:spcAft>
          </a:pPr>
          <a:r>
            <a:rPr lang="hr-HR" sz="1000" b="1" kern="1200">
              <a:latin typeface="+mn-lt"/>
              <a:cs typeface="Arial" pitchFamily="34" charset="0"/>
            </a:rPr>
            <a:t>Podrška investitorima u pred-investicijskoj fazi i u realizaciji investicijskih projekata </a:t>
          </a:r>
        </a:p>
      </dsp:txBody>
      <dsp:txXfrm rot="10800000">
        <a:off x="1237858" y="611"/>
        <a:ext cx="3458880" cy="630817"/>
      </dsp:txXfrm>
    </dsp:sp>
    <dsp:sp modelId="{2A3EE109-EAF4-45D8-80DD-3B0BD726241C}">
      <dsp:nvSpPr>
        <dsp:cNvPr id="0" name=""/>
        <dsp:cNvSpPr/>
      </dsp:nvSpPr>
      <dsp:spPr>
        <a:xfrm>
          <a:off x="805282" y="22957"/>
          <a:ext cx="507483" cy="586124"/>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8D930AD-B1FD-452D-92D5-EBC11D3DF303}">
      <dsp:nvSpPr>
        <dsp:cNvPr id="0" name=""/>
        <dsp:cNvSpPr/>
      </dsp:nvSpPr>
      <dsp:spPr>
        <a:xfrm rot="10800000">
          <a:off x="1037138" y="869914"/>
          <a:ext cx="3655807" cy="629066"/>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586" tIns="38100" rIns="71120" bIns="38100" numCol="1" spcCol="1270" anchor="ctr" anchorCtr="0">
          <a:noAutofit/>
        </a:bodyPr>
        <a:lstStyle/>
        <a:p>
          <a:pPr lvl="0" algn="ctr" defTabSz="444500">
            <a:lnSpc>
              <a:spcPct val="90000"/>
            </a:lnSpc>
            <a:spcBef>
              <a:spcPct val="0"/>
            </a:spcBef>
            <a:spcAft>
              <a:spcPct val="35000"/>
            </a:spcAft>
          </a:pPr>
          <a:r>
            <a:rPr lang="hr-HR" sz="1000" b="1" kern="1200">
              <a:latin typeface="+mn-lt"/>
              <a:cs typeface="Arial" pitchFamily="34" charset="0"/>
            </a:rPr>
            <a:t>Praćenje investicija i post-investicijska briga</a:t>
          </a:r>
        </a:p>
      </dsp:txBody>
      <dsp:txXfrm rot="10800000">
        <a:off x="1194404" y="869914"/>
        <a:ext cx="3498541" cy="629066"/>
      </dsp:txXfrm>
    </dsp:sp>
    <dsp:sp modelId="{6B281AE5-E1B9-4235-8590-8467357083B9}">
      <dsp:nvSpPr>
        <dsp:cNvPr id="0" name=""/>
        <dsp:cNvSpPr/>
      </dsp:nvSpPr>
      <dsp:spPr>
        <a:xfrm>
          <a:off x="792610" y="922697"/>
          <a:ext cx="518948" cy="522279"/>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List3#1">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3#2">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3#3">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3#4">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0.33248</cdr:x>
      <cdr:y>0.02381</cdr:y>
    </cdr:from>
    <cdr:to>
      <cdr:x>0.77962</cdr:x>
      <cdr:y>0.25716</cdr:y>
    </cdr:to>
    <cdr:sp macro="" textlink="">
      <cdr:nvSpPr>
        <cdr:cNvPr id="2" name="Text Box 1"/>
        <cdr:cNvSpPr txBox="1"/>
      </cdr:nvSpPr>
      <cdr:spPr>
        <a:xfrm xmlns:a="http://schemas.openxmlformats.org/drawingml/2006/main">
          <a:off x="1520118" y="58242"/>
          <a:ext cx="2044295" cy="57077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b="1"/>
            <a:t>Ukupno</a:t>
          </a:r>
          <a:r>
            <a:rPr lang="en-GB" sz="1100" b="1" baseline="0"/>
            <a:t> FDI (iskazano u </a:t>
          </a:r>
          <a:r>
            <a:rPr lang="hr-HR" sz="1100" b="1" baseline="0"/>
            <a:t>milijunima eura</a:t>
          </a:r>
          <a:r>
            <a:rPr lang="en-GB" sz="1100" b="1" baseline="0"/>
            <a:t>)</a:t>
          </a:r>
          <a:endParaRPr lang="en-GB" sz="11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7E3DB2-D25B-4468-9E47-E5B6F01AE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66</Pages>
  <Words>20826</Words>
  <Characters>118714</Characters>
  <Application>Microsoft Office Word</Application>
  <DocSecurity>0</DocSecurity>
  <Lines>989</Lines>
  <Paragraphs>278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PRIJEDLOG STRATEGIJE POTICANJA INVESTICIJA U REPUBLICI HRVATSKOJ</vt:lpstr>
      <vt:lpstr>PRIJEDLOG STRATEGIJE POTICANJA INVESTICIJA U REPUBLICI HRVATSKOJ</vt:lpstr>
    </vt:vector>
  </TitlesOfParts>
  <Company>MINGO</Company>
  <LinksUpToDate>false</LinksUpToDate>
  <CharactersWithSpaces>139262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PRIJEDLOG STRATEGIJE POTICANJA INVESTICIJA U REPUBLICI HRVATSKOJ</dc:title>
  <dc:subject>ZA RAZDOBLJE 2014. – 2020.</dc:subject>
  <dc:creator>MINGO;MGF</dc:creator>
  <cp:lastModifiedBy>Linda Kasalo-Malić</cp:lastModifiedBy>
  <cp:revision>2</cp:revision>
  <cp:lastPrinted>2013-12-17T13:20:00Z</cp:lastPrinted>
  <dcterms:created xsi:type="dcterms:W3CDTF">2014-05-30T08:58:00Z</dcterms:created>
  <dcterms:modified xsi:type="dcterms:W3CDTF">2014-05-30T08:58:00Z</dcterms:modified>
</cp:coreProperties>
</file>