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13" w:rsidRPr="00286F03" w:rsidRDefault="00277913" w:rsidP="0070519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Pursuant to the Act on Management and Disposition of the Property Owned by the Republic of Croatia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(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OG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94/13), 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the Regulation on the Sale of Shares and Business Interests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(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OG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129/13) 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and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to the Decision of the Commission for Selection of Strategic Partner for the Company </w:t>
      </w:r>
      <w:r w:rsidRPr="00966F0B">
        <w:rPr>
          <w:rFonts w:eastAsia="Times New Roman" w:cs="Arial"/>
          <w:color w:val="4A4A4A"/>
          <w:sz w:val="24"/>
          <w:szCs w:val="24"/>
          <w:shd w:val="clear" w:color="auto" w:fill="FFFFFF"/>
        </w:rPr>
        <w:t>Imunološki zavod d.d.</w:t>
      </w:r>
      <w:r w:rsidRPr="00FF6444">
        <w:rPr>
          <w:rFonts w:eastAsia="Times New Roman" w:cs="Arial"/>
          <w:color w:val="4A4A4A"/>
          <w:sz w:val="24"/>
          <w:szCs w:val="24"/>
          <w:shd w:val="clear" w:color="auto" w:fill="FFFFFF"/>
        </w:rPr>
        <w:t>, Zagreb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,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o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n </w:t>
      </w:r>
      <w:r w:rsidR="00740442">
        <w:rPr>
          <w:rFonts w:eastAsia="Times New Roman" w:cs="Arial"/>
          <w:color w:val="4A4A4A"/>
          <w:sz w:val="24"/>
          <w:szCs w:val="24"/>
          <w:shd w:val="clear" w:color="auto" w:fill="FFFFFF"/>
        </w:rPr>
        <w:t>2</w:t>
      </w:r>
      <w:r w:rsidRPr="00FF6444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="00740442">
        <w:rPr>
          <w:rFonts w:eastAsia="Times New Roman" w:cs="Arial"/>
          <w:color w:val="4A4A4A"/>
          <w:sz w:val="24"/>
          <w:szCs w:val="24"/>
          <w:shd w:val="clear" w:color="auto" w:fill="FFFFFF"/>
        </w:rPr>
        <w:t>May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2014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the process of selling shares, C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las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s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:</w:t>
      </w:r>
      <w:r w:rsidRPr="000D1F07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</w:t>
      </w:r>
      <w:r w:rsidR="00257ABC">
        <w:rPr>
          <w:rFonts w:eastAsia="Times New Roman" w:cs="Arial"/>
          <w:color w:val="4A4A4A"/>
          <w:sz w:val="24"/>
          <w:szCs w:val="24"/>
          <w:shd w:val="clear" w:color="auto" w:fill="FFFFFF"/>
        </w:rPr>
        <w:t>943-01/14-01/23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Reg.No: </w:t>
      </w:r>
      <w:r w:rsidR="00257ABC">
        <w:rPr>
          <w:rFonts w:eastAsia="Times New Roman" w:cs="Arial"/>
          <w:color w:val="4A4A4A"/>
          <w:sz w:val="24"/>
          <w:szCs w:val="24"/>
          <w:shd w:val="clear" w:color="auto" w:fill="FFFFFF"/>
        </w:rPr>
        <w:t>526-03/1-14-01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, shall start and is hereby announced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:</w:t>
      </w:r>
      <w:r w:rsidRPr="00286F03">
        <w:rPr>
          <w:rFonts w:eastAsia="Times New Roman" w:cs="Arial"/>
          <w:color w:val="4A4A4A"/>
          <w:sz w:val="24"/>
          <w:szCs w:val="24"/>
        </w:rPr>
        <w:br/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 </w:t>
      </w:r>
    </w:p>
    <w:p w:rsidR="00277913" w:rsidRPr="00286F03" w:rsidRDefault="00277913" w:rsidP="00277913">
      <w:pPr>
        <w:shd w:val="clear" w:color="auto" w:fill="FFFFFF"/>
        <w:spacing w:after="0" w:line="270" w:lineRule="atLeast"/>
        <w:jc w:val="center"/>
        <w:rPr>
          <w:rFonts w:eastAsia="Times New Roman" w:cs="Arial"/>
          <w:color w:val="4A4A4A"/>
          <w:sz w:val="24"/>
          <w:szCs w:val="24"/>
        </w:rPr>
      </w:pPr>
      <w:r>
        <w:rPr>
          <w:rFonts w:eastAsia="Times New Roman" w:cs="Arial"/>
          <w:b/>
          <w:bCs/>
          <w:color w:val="4A4A4A"/>
          <w:sz w:val="24"/>
          <w:szCs w:val="24"/>
        </w:rPr>
        <w:t>Public invitation for expression of interest for purchas</w:t>
      </w:r>
      <w:r w:rsidR="00446B7F">
        <w:rPr>
          <w:rFonts w:eastAsia="Times New Roman" w:cs="Arial"/>
          <w:b/>
          <w:bCs/>
          <w:color w:val="4A4A4A"/>
          <w:sz w:val="24"/>
          <w:szCs w:val="24"/>
        </w:rPr>
        <w:t>e of</w:t>
      </w:r>
      <w:r>
        <w:rPr>
          <w:rFonts w:eastAsia="Times New Roman" w:cs="Arial"/>
          <w:b/>
          <w:bCs/>
          <w:color w:val="4A4A4A"/>
          <w:sz w:val="24"/>
          <w:szCs w:val="24"/>
        </w:rPr>
        <w:t xml:space="preserve"> shares and recapitalization</w:t>
      </w:r>
      <w:r w:rsidRPr="004517D4">
        <w:rPr>
          <w:rFonts w:eastAsia="Times New Roman" w:cs="Arial"/>
          <w:b/>
          <w:bCs/>
          <w:color w:val="4A4A4A"/>
          <w:sz w:val="24"/>
          <w:szCs w:val="24"/>
        </w:rPr>
        <w:t xml:space="preserve"> </w:t>
      </w:r>
      <w:r w:rsidR="00747725">
        <w:rPr>
          <w:rFonts w:eastAsia="Times New Roman" w:cs="Arial"/>
          <w:b/>
          <w:bCs/>
          <w:color w:val="4A4A4A"/>
          <w:sz w:val="24"/>
          <w:szCs w:val="24"/>
        </w:rPr>
        <w:t>of</w:t>
      </w:r>
      <w:r>
        <w:rPr>
          <w:rFonts w:eastAsia="Times New Roman" w:cs="Arial"/>
          <w:b/>
          <w:bCs/>
          <w:color w:val="4A4A4A"/>
          <w:sz w:val="24"/>
          <w:szCs w:val="24"/>
        </w:rPr>
        <w:t xml:space="preserve"> the company owned by the Republic of Croatia, by means of public tendering procedure</w:t>
      </w:r>
    </w:p>
    <w:p w:rsidR="00277913" w:rsidRPr="00286F03" w:rsidRDefault="00277913" w:rsidP="0027791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 </w:t>
      </w:r>
    </w:p>
    <w:tbl>
      <w:tblPr>
        <w:tblW w:w="9192" w:type="dxa"/>
        <w:tblCellSpacing w:w="0" w:type="dxa"/>
        <w:tblBorders>
          <w:top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654"/>
        <w:gridCol w:w="1868"/>
        <w:gridCol w:w="1898"/>
      </w:tblGrid>
      <w:tr w:rsidR="00277913" w:rsidRPr="00286F03" w:rsidTr="007E29F5">
        <w:trPr>
          <w:trHeight w:val="890"/>
          <w:tblCellSpacing w:w="0" w:type="dxa"/>
        </w:trPr>
        <w:tc>
          <w:tcPr>
            <w:tcW w:w="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913" w:rsidRPr="00286F03" w:rsidRDefault="00277913" w:rsidP="007E29F5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353333"/>
                <w:sz w:val="24"/>
                <w:szCs w:val="24"/>
              </w:rPr>
              <w:t>No</w:t>
            </w:r>
          </w:p>
        </w:tc>
        <w:tc>
          <w:tcPr>
            <w:tcW w:w="4639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913" w:rsidRPr="00286F03" w:rsidRDefault="00277913" w:rsidP="007E29F5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353333"/>
                <w:sz w:val="24"/>
                <w:szCs w:val="24"/>
              </w:rPr>
              <w:t>COMPANY</w:t>
            </w:r>
          </w:p>
        </w:tc>
        <w:tc>
          <w:tcPr>
            <w:tcW w:w="18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913" w:rsidRPr="00286F03" w:rsidRDefault="00277913" w:rsidP="007E29F5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353333"/>
                <w:sz w:val="24"/>
                <w:szCs w:val="24"/>
              </w:rPr>
              <w:t>Number of shares</w:t>
            </w:r>
          </w:p>
        </w:tc>
        <w:tc>
          <w:tcPr>
            <w:tcW w:w="18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913" w:rsidRPr="00286F03" w:rsidRDefault="00277913" w:rsidP="007E29F5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 w:rsidRPr="00FF6444">
              <w:rPr>
                <w:rFonts w:eastAsia="Times New Roman" w:cs="Arial"/>
                <w:b/>
                <w:bCs/>
                <w:color w:val="353333"/>
                <w:sz w:val="24"/>
                <w:szCs w:val="24"/>
              </w:rPr>
              <w:t xml:space="preserve">% </w:t>
            </w:r>
            <w:r>
              <w:rPr>
                <w:rFonts w:eastAsia="Times New Roman" w:cs="Arial"/>
                <w:b/>
                <w:bCs/>
                <w:color w:val="353333"/>
                <w:sz w:val="24"/>
                <w:szCs w:val="24"/>
              </w:rPr>
              <w:t>in</w:t>
            </w:r>
            <w:r w:rsidRPr="00FF6444">
              <w:rPr>
                <w:rFonts w:eastAsia="Times New Roman" w:cs="Arial"/>
                <w:b/>
                <w:bCs/>
                <w:color w:val="353333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353333"/>
                <w:sz w:val="24"/>
                <w:szCs w:val="24"/>
              </w:rPr>
              <w:t>equity</w:t>
            </w:r>
          </w:p>
        </w:tc>
      </w:tr>
      <w:tr w:rsidR="00277913" w:rsidRPr="00286F03" w:rsidTr="007E29F5">
        <w:trPr>
          <w:trHeight w:val="359"/>
          <w:tblCellSpacing w:w="0" w:type="dxa"/>
        </w:trPr>
        <w:tc>
          <w:tcPr>
            <w:tcW w:w="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913" w:rsidRPr="00286F03" w:rsidRDefault="00277913" w:rsidP="007E29F5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 w:rsidRPr="00286F03">
              <w:rPr>
                <w:rFonts w:eastAsia="Times New Roman" w:cs="Arial"/>
                <w:color w:val="4A4A4A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913" w:rsidRPr="00286F03" w:rsidRDefault="00277913" w:rsidP="007E29F5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 w:rsidRPr="00FF6444">
              <w:rPr>
                <w:rFonts w:eastAsia="Times New Roman" w:cs="Arial"/>
                <w:color w:val="4A4A4A"/>
                <w:sz w:val="24"/>
                <w:szCs w:val="24"/>
              </w:rPr>
              <w:t>Imunološki zavod d.d., Zagreb</w:t>
            </w:r>
          </w:p>
        </w:tc>
        <w:tc>
          <w:tcPr>
            <w:tcW w:w="185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913" w:rsidRPr="00286F03" w:rsidRDefault="00277913" w:rsidP="00740442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>
              <w:rPr>
                <w:rFonts w:eastAsia="Times New Roman" w:cs="Arial"/>
                <w:color w:val="4A4A4A"/>
                <w:sz w:val="24"/>
                <w:szCs w:val="24"/>
              </w:rPr>
              <w:t>16</w:t>
            </w:r>
            <w:r w:rsidR="00740442">
              <w:rPr>
                <w:rFonts w:eastAsia="Times New Roman" w:cs="Arial"/>
                <w:color w:val="4A4A4A"/>
                <w:sz w:val="24"/>
                <w:szCs w:val="24"/>
              </w:rPr>
              <w:t>5 373</w:t>
            </w:r>
          </w:p>
        </w:tc>
        <w:tc>
          <w:tcPr>
            <w:tcW w:w="18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913" w:rsidRPr="00286F03" w:rsidRDefault="00277913" w:rsidP="00E6718B">
            <w:pPr>
              <w:spacing w:after="0" w:line="270" w:lineRule="atLeast"/>
              <w:jc w:val="center"/>
              <w:rPr>
                <w:rFonts w:eastAsia="Times New Roman" w:cs="Arial"/>
                <w:color w:val="4A4A4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718B">
              <w:rPr>
                <w:sz w:val="24"/>
                <w:szCs w:val="24"/>
              </w:rPr>
              <w:t>3</w:t>
            </w:r>
            <w:r w:rsidR="00265F31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E6718B">
              <w:rPr>
                <w:sz w:val="24"/>
                <w:szCs w:val="24"/>
              </w:rPr>
              <w:t>4</w:t>
            </w:r>
            <w:r w:rsidRPr="00FF6444">
              <w:rPr>
                <w:sz w:val="24"/>
                <w:szCs w:val="24"/>
              </w:rPr>
              <w:t>1%</w:t>
            </w:r>
          </w:p>
        </w:tc>
      </w:tr>
    </w:tbl>
    <w:p w:rsidR="00277913" w:rsidRDefault="00277913" w:rsidP="0027791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 </w:t>
      </w:r>
    </w:p>
    <w:p w:rsidR="00277913" w:rsidRDefault="00277913" w:rsidP="0027791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The Commission hereby invites the interested investors to express their interest by submitting a Letter of Intent for the abovementioned company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.</w:t>
      </w:r>
    </w:p>
    <w:p w:rsidR="00277913" w:rsidRDefault="00277913" w:rsidP="0027791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</w:p>
    <w:p w:rsidR="00277913" w:rsidRDefault="00277913" w:rsidP="0027791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The deadline for submitting the Letter of Intent is </w:t>
      </w: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16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May 2014,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 w:rsidR="00740442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until</w:t>
      </w: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15.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00.</w:t>
      </w: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 w:rsidRPr="00C04A5B">
        <w:rPr>
          <w:rFonts w:eastAsia="Times New Roman" w:cs="Arial"/>
          <w:bCs/>
          <w:color w:val="4A4A4A"/>
          <w:sz w:val="24"/>
          <w:szCs w:val="24"/>
          <w:shd w:val="clear" w:color="auto" w:fill="FFFFFF"/>
        </w:rPr>
        <w:t>The day of submission of the</w:t>
      </w: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Letter of Intent shall be the day of its re</w:t>
      </w:r>
      <w:r w:rsidR="00446B7F">
        <w:rPr>
          <w:rFonts w:eastAsia="Times New Roman" w:cs="Arial"/>
          <w:color w:val="4A4A4A"/>
          <w:sz w:val="24"/>
          <w:szCs w:val="24"/>
          <w:shd w:val="clear" w:color="auto" w:fill="FFFFFF"/>
        </w:rPr>
        <w:t>ceiving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at the Ministry of the Economy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.</w:t>
      </w:r>
    </w:p>
    <w:p w:rsidR="00277913" w:rsidRDefault="00277913" w:rsidP="0027791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</w:p>
    <w:p w:rsidR="00277913" w:rsidRDefault="00277913" w:rsidP="0027791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The Letters that are submitted after the above indicated dea</w:t>
      </w:r>
      <w:r w:rsidR="0018752B">
        <w:rPr>
          <w:rFonts w:eastAsia="Times New Roman" w:cs="Arial"/>
          <w:color w:val="4A4A4A"/>
          <w:sz w:val="24"/>
          <w:szCs w:val="24"/>
          <w:shd w:val="clear" w:color="auto" w:fill="FFFFFF"/>
        </w:rPr>
        <w:t>dline shall not be considered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valid and shall not be taken into consideration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.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Upon expressing interests, potential investors in their Letter of Intent shall indicate their contact details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(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name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, ad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d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res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s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phone number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fax number and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 e-mail ad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d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res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s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). </w:t>
      </w:r>
      <w:r>
        <w:rPr>
          <w:rFonts w:eastAsia="Times New Roman" w:cs="Arial"/>
          <w:bCs/>
          <w:color w:val="4A4A4A"/>
          <w:sz w:val="24"/>
          <w:szCs w:val="24"/>
          <w:shd w:val="clear" w:color="auto" w:fill="FFFFFF"/>
        </w:rPr>
        <w:t>T</w:t>
      </w:r>
      <w:r w:rsidRPr="00C04A5B">
        <w:rPr>
          <w:rFonts w:eastAsia="Times New Roman" w:cs="Arial"/>
          <w:bCs/>
          <w:color w:val="4A4A4A"/>
          <w:sz w:val="24"/>
          <w:szCs w:val="24"/>
          <w:shd w:val="clear" w:color="auto" w:fill="FFFFFF"/>
        </w:rPr>
        <w:t>he</w:t>
      </w: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Letter of Intent shall be written in Croatian language only, or translated to Croatian language by certified court translator if the potential investor is a foreign national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.</w:t>
      </w:r>
    </w:p>
    <w:p w:rsidR="00277913" w:rsidRDefault="00277913" w:rsidP="00277913">
      <w:pPr>
        <w:spacing w:after="0" w:line="240" w:lineRule="auto"/>
        <w:jc w:val="both"/>
        <w:rPr>
          <w:rFonts w:eastAsia="Times New Roman" w:cs="Arial"/>
          <w:color w:val="4A4A4A"/>
          <w:sz w:val="24"/>
          <w:szCs w:val="24"/>
          <w:shd w:val="clear" w:color="auto" w:fill="FFFFFF"/>
        </w:rPr>
      </w:pPr>
    </w:p>
    <w:p w:rsidR="00277913" w:rsidRDefault="00277913" w:rsidP="00277913">
      <w:pPr>
        <w:spacing w:after="0" w:line="240" w:lineRule="auto"/>
        <w:jc w:val="both"/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</w:pP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After the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Minist</w:t>
      </w: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ry of the Economy collects the </w:t>
      </w:r>
      <w:r w:rsidRPr="00277913">
        <w:rPr>
          <w:rFonts w:eastAsia="Times New Roman" w:cs="Arial"/>
          <w:b/>
          <w:color w:val="4A4A4A"/>
          <w:sz w:val="24"/>
          <w:szCs w:val="24"/>
          <w:shd w:val="clear" w:color="auto" w:fill="FFFFFF"/>
        </w:rPr>
        <w:t>Letters of Intent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for purchase of shares and recapitalization </w:t>
      </w:r>
      <w:r w:rsidR="0018752B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of</w:t>
      </w: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the abovementioned company, and after a final Decision on the Initial Price, Conditions and Implementation of Public Tendering Procedure is issued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only the investors who delivered the Letters of Intent within set deadline shall be invited, in writing, to submit binding offers for purchase of shares and recapitalization </w:t>
      </w:r>
      <w:r w:rsidR="00BE1C09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of</w:t>
      </w:r>
      <w:r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 xml:space="preserve"> the abovementioned company</w:t>
      </w:r>
      <w:r w:rsidRPr="00FF6444"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  <w:t>.</w:t>
      </w:r>
    </w:p>
    <w:p w:rsidR="00277913" w:rsidRDefault="00277913" w:rsidP="00277913">
      <w:pPr>
        <w:spacing w:after="0" w:line="240" w:lineRule="auto"/>
        <w:jc w:val="both"/>
        <w:rPr>
          <w:rFonts w:eastAsia="Times New Roman" w:cs="Arial"/>
          <w:b/>
          <w:bCs/>
          <w:color w:val="4A4A4A"/>
          <w:sz w:val="24"/>
          <w:szCs w:val="24"/>
          <w:shd w:val="clear" w:color="auto" w:fill="FFFFFF"/>
        </w:rPr>
      </w:pPr>
    </w:p>
    <w:p w:rsidR="00277913" w:rsidRPr="00286F03" w:rsidRDefault="00277913" w:rsidP="0027791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Cs/>
          <w:color w:val="4A4A4A"/>
          <w:sz w:val="24"/>
          <w:szCs w:val="24"/>
          <w:shd w:val="clear" w:color="auto" w:fill="FFFFFF"/>
        </w:rPr>
        <w:t xml:space="preserve">The Letter of Intent titled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"PISMO NAMJERE ZA ISKAZIVANJE INTERESA ZA KUPNJU DIONICA 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I DOKAPITALIZACIJU 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DRUŠTVA  </w:t>
      </w:r>
      <w:r w:rsidRPr="00FF6444">
        <w:rPr>
          <w:rFonts w:eastAsia="Times New Roman" w:cs="Arial"/>
          <w:color w:val="4A4A4A"/>
          <w:sz w:val="24"/>
          <w:szCs w:val="24"/>
          <w:shd w:val="clear" w:color="auto" w:fill="FFFFFF"/>
        </w:rPr>
        <w:t>IMUNOLOŠKI ZAVOD D.D. ZAGREB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 xml:space="preserve">" </w:t>
      </w:r>
      <w:r>
        <w:rPr>
          <w:rFonts w:eastAsia="Times New Roman" w:cs="Arial"/>
          <w:color w:val="4A4A4A"/>
          <w:sz w:val="24"/>
          <w:szCs w:val="24"/>
          <w:shd w:val="clear" w:color="auto" w:fill="FFFFFF"/>
        </w:rPr>
        <w:t>shall be submitted to the following address</w:t>
      </w:r>
      <w:r w:rsidRPr="00286F03">
        <w:rPr>
          <w:rFonts w:eastAsia="Times New Roman" w:cs="Arial"/>
          <w:color w:val="4A4A4A"/>
          <w:sz w:val="24"/>
          <w:szCs w:val="24"/>
          <w:shd w:val="clear" w:color="auto" w:fill="FFFFFF"/>
        </w:rPr>
        <w:t>:</w:t>
      </w:r>
    </w:p>
    <w:p w:rsidR="00277913" w:rsidRDefault="00277913" w:rsidP="00277913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bCs/>
          <w:color w:val="4A4A4A"/>
          <w:sz w:val="24"/>
          <w:szCs w:val="24"/>
        </w:rPr>
      </w:pPr>
    </w:p>
    <w:p w:rsidR="00277913" w:rsidRPr="00286F03" w:rsidRDefault="00277913" w:rsidP="00277913">
      <w:pPr>
        <w:shd w:val="clear" w:color="auto" w:fill="FFFFFF"/>
        <w:spacing w:after="0" w:line="270" w:lineRule="atLeast"/>
        <w:jc w:val="center"/>
        <w:rPr>
          <w:rFonts w:eastAsia="Times New Roman" w:cs="Arial"/>
          <w:color w:val="4A4A4A"/>
          <w:sz w:val="24"/>
          <w:szCs w:val="24"/>
        </w:rPr>
      </w:pPr>
      <w:r w:rsidRPr="00FF6444">
        <w:rPr>
          <w:rFonts w:eastAsia="Times New Roman" w:cs="Arial"/>
          <w:b/>
          <w:bCs/>
          <w:color w:val="4A4A4A"/>
          <w:sz w:val="24"/>
          <w:szCs w:val="24"/>
        </w:rPr>
        <w:t>Ministarstvo gospodarstva</w:t>
      </w:r>
      <w:r w:rsidRPr="00286F03">
        <w:rPr>
          <w:rFonts w:eastAsia="Times New Roman" w:cs="Arial"/>
          <w:color w:val="4A4A4A"/>
          <w:sz w:val="24"/>
          <w:szCs w:val="24"/>
        </w:rPr>
        <w:br/>
      </w:r>
      <w:r w:rsidRPr="00FF6444">
        <w:rPr>
          <w:rFonts w:eastAsia="Times New Roman" w:cs="Arial"/>
          <w:b/>
          <w:bCs/>
          <w:color w:val="4A4A4A"/>
          <w:sz w:val="24"/>
          <w:szCs w:val="24"/>
        </w:rPr>
        <w:t>Ulica grada Vukovara 78</w:t>
      </w:r>
      <w:r w:rsidRPr="00286F03">
        <w:rPr>
          <w:rFonts w:eastAsia="Times New Roman" w:cs="Arial"/>
          <w:color w:val="4A4A4A"/>
          <w:sz w:val="24"/>
          <w:szCs w:val="24"/>
        </w:rPr>
        <w:br/>
      </w:r>
      <w:r w:rsidRPr="00FF6444">
        <w:rPr>
          <w:rFonts w:eastAsia="Times New Roman" w:cs="Arial"/>
          <w:b/>
          <w:bCs/>
          <w:color w:val="4A4A4A"/>
          <w:sz w:val="24"/>
          <w:szCs w:val="24"/>
        </w:rPr>
        <w:t>10 000 Zagreb</w:t>
      </w:r>
      <w:r w:rsidRPr="00286F03">
        <w:rPr>
          <w:rFonts w:eastAsia="Times New Roman" w:cs="Arial"/>
          <w:color w:val="4A4A4A"/>
          <w:sz w:val="24"/>
          <w:szCs w:val="24"/>
        </w:rPr>
        <w:br/>
      </w:r>
      <w:r w:rsidRPr="00FF6444">
        <w:rPr>
          <w:rFonts w:eastAsia="Times New Roman" w:cs="Arial"/>
          <w:b/>
          <w:bCs/>
          <w:color w:val="4A4A4A"/>
          <w:sz w:val="24"/>
          <w:szCs w:val="24"/>
        </w:rPr>
        <w:t>Hrvatska</w:t>
      </w:r>
    </w:p>
    <w:p w:rsidR="008735A1" w:rsidRPr="00277913" w:rsidRDefault="008735A1" w:rsidP="00277913">
      <w:pPr>
        <w:rPr>
          <w:szCs w:val="24"/>
        </w:rPr>
      </w:pPr>
    </w:p>
    <w:sectPr w:rsidR="008735A1" w:rsidRPr="00277913" w:rsidSect="0004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088"/>
    <w:multiLevelType w:val="hybridMultilevel"/>
    <w:tmpl w:val="BCA49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282F"/>
    <w:multiLevelType w:val="hybridMultilevel"/>
    <w:tmpl w:val="74C89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675B"/>
    <w:multiLevelType w:val="hybridMultilevel"/>
    <w:tmpl w:val="CF184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F5998"/>
    <w:multiLevelType w:val="hybridMultilevel"/>
    <w:tmpl w:val="07409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617D7"/>
    <w:multiLevelType w:val="hybridMultilevel"/>
    <w:tmpl w:val="F2AE8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B7"/>
    <w:rsid w:val="00042E3B"/>
    <w:rsid w:val="00066310"/>
    <w:rsid w:val="00161A90"/>
    <w:rsid w:val="00183CDC"/>
    <w:rsid w:val="0018752B"/>
    <w:rsid w:val="001A51AD"/>
    <w:rsid w:val="00240659"/>
    <w:rsid w:val="00257ABC"/>
    <w:rsid w:val="00265F31"/>
    <w:rsid w:val="00277913"/>
    <w:rsid w:val="00286F03"/>
    <w:rsid w:val="00352467"/>
    <w:rsid w:val="00357547"/>
    <w:rsid w:val="003F20F1"/>
    <w:rsid w:val="00420A30"/>
    <w:rsid w:val="00446B7F"/>
    <w:rsid w:val="004B6A03"/>
    <w:rsid w:val="00596B97"/>
    <w:rsid w:val="005E53E9"/>
    <w:rsid w:val="00630C9C"/>
    <w:rsid w:val="006A107C"/>
    <w:rsid w:val="006F3136"/>
    <w:rsid w:val="0070519E"/>
    <w:rsid w:val="007146C1"/>
    <w:rsid w:val="00740442"/>
    <w:rsid w:val="00747725"/>
    <w:rsid w:val="007A092E"/>
    <w:rsid w:val="007E2501"/>
    <w:rsid w:val="008735A1"/>
    <w:rsid w:val="00930A3A"/>
    <w:rsid w:val="00942380"/>
    <w:rsid w:val="009A4C3A"/>
    <w:rsid w:val="009F5036"/>
    <w:rsid w:val="00A6329F"/>
    <w:rsid w:val="00AE075B"/>
    <w:rsid w:val="00AF2473"/>
    <w:rsid w:val="00B70671"/>
    <w:rsid w:val="00B82037"/>
    <w:rsid w:val="00B910B7"/>
    <w:rsid w:val="00BB70F2"/>
    <w:rsid w:val="00BE1C09"/>
    <w:rsid w:val="00C37ECC"/>
    <w:rsid w:val="00C83157"/>
    <w:rsid w:val="00CA6562"/>
    <w:rsid w:val="00CE47A5"/>
    <w:rsid w:val="00D23327"/>
    <w:rsid w:val="00D70679"/>
    <w:rsid w:val="00D979E8"/>
    <w:rsid w:val="00E11FCB"/>
    <w:rsid w:val="00E17D7D"/>
    <w:rsid w:val="00E6718B"/>
    <w:rsid w:val="00E76D12"/>
    <w:rsid w:val="00EE67E3"/>
    <w:rsid w:val="00FE4648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A03"/>
    <w:pPr>
      <w:ind w:left="720"/>
      <w:contextualSpacing/>
    </w:pPr>
    <w:rPr>
      <w:rFonts w:ascii="Century Gothic" w:hAnsi="Century Gothic"/>
    </w:rPr>
  </w:style>
  <w:style w:type="character" w:styleId="Strong">
    <w:name w:val="Strong"/>
    <w:basedOn w:val="DefaultParagraphFont"/>
    <w:uiPriority w:val="22"/>
    <w:qFormat/>
    <w:rsid w:val="00286F03"/>
    <w:rPr>
      <w:b/>
      <w:bCs/>
    </w:rPr>
  </w:style>
  <w:style w:type="character" w:customStyle="1" w:styleId="apple-converted-space">
    <w:name w:val="apple-converted-space"/>
    <w:basedOn w:val="DefaultParagraphFont"/>
    <w:rsid w:val="0028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A03"/>
    <w:pPr>
      <w:ind w:left="720"/>
      <w:contextualSpacing/>
    </w:pPr>
    <w:rPr>
      <w:rFonts w:ascii="Century Gothic" w:hAnsi="Century Gothic"/>
    </w:rPr>
  </w:style>
  <w:style w:type="character" w:styleId="Strong">
    <w:name w:val="Strong"/>
    <w:basedOn w:val="DefaultParagraphFont"/>
    <w:uiPriority w:val="22"/>
    <w:qFormat/>
    <w:rsid w:val="00286F03"/>
    <w:rPr>
      <w:b/>
      <w:bCs/>
    </w:rPr>
  </w:style>
  <w:style w:type="character" w:customStyle="1" w:styleId="apple-converted-space">
    <w:name w:val="apple-converted-space"/>
    <w:basedOn w:val="DefaultParagraphFont"/>
    <w:rsid w:val="0028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F14F-6EB7-4375-A8C1-06D85A40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gospodarstva RH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Vudrag</dc:creator>
  <cp:lastModifiedBy>Danijela Ban</cp:lastModifiedBy>
  <cp:revision>4</cp:revision>
  <cp:lastPrinted>2014-04-30T11:53:00Z</cp:lastPrinted>
  <dcterms:created xsi:type="dcterms:W3CDTF">2014-05-05T07:51:00Z</dcterms:created>
  <dcterms:modified xsi:type="dcterms:W3CDTF">2014-05-05T08:51:00Z</dcterms:modified>
</cp:coreProperties>
</file>