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C4" w:rsidRDefault="00845AC4" w:rsidP="002548B3">
      <w:pPr>
        <w:autoSpaceDE w:val="0"/>
        <w:autoSpaceDN w:val="0"/>
        <w:adjustRightInd w:val="0"/>
        <w:spacing w:after="0" w:line="240" w:lineRule="auto"/>
        <w:rPr>
          <w:rFonts w:ascii="TrebuchetMS-Bold" w:hAnsi="TrebuchetMS-Bold" w:cs="TrebuchetMS-Bold"/>
          <w:b/>
          <w:bCs/>
          <w:color w:val="0A3297"/>
          <w:sz w:val="26"/>
          <w:szCs w:val="26"/>
        </w:rPr>
      </w:pPr>
      <w:r w:rsidRPr="00A52E1F">
        <w:rPr>
          <w:rFonts w:ascii="TrebuchetMS-Bold" w:hAnsi="TrebuchetMS-Bold" w:cs="TrebuchetMS-Bold"/>
          <w:b/>
          <w:bCs/>
          <w:color w:val="0A3297"/>
        </w:rPr>
        <w:t xml:space="preserve">       </w:t>
      </w:r>
    </w:p>
    <w:p w:rsidR="00845AC4" w:rsidRDefault="00845AC4" w:rsidP="002548B3">
      <w:pPr>
        <w:autoSpaceDE w:val="0"/>
        <w:autoSpaceDN w:val="0"/>
        <w:adjustRightInd w:val="0"/>
        <w:spacing w:after="0" w:line="240" w:lineRule="auto"/>
        <w:rPr>
          <w:rFonts w:ascii="TrebuchetMS-Bold" w:hAnsi="TrebuchetMS-Bold" w:cs="TrebuchetMS-Bold"/>
          <w:b/>
          <w:bCs/>
          <w:color w:val="0A3297"/>
          <w:sz w:val="26"/>
          <w:szCs w:val="26"/>
        </w:rPr>
      </w:pPr>
    </w:p>
    <w:p w:rsidR="00845AC4" w:rsidRDefault="00845AC4" w:rsidP="002548B3">
      <w:pPr>
        <w:autoSpaceDE w:val="0"/>
        <w:autoSpaceDN w:val="0"/>
        <w:adjustRightInd w:val="0"/>
        <w:spacing w:after="0" w:line="240" w:lineRule="auto"/>
        <w:rPr>
          <w:rFonts w:ascii="TrebuchetMS-Bold" w:hAnsi="TrebuchetMS-Bold" w:cs="TrebuchetMS-Bold"/>
          <w:b/>
          <w:bCs/>
          <w:color w:val="0A3297"/>
          <w:sz w:val="20"/>
          <w:szCs w:val="20"/>
        </w:rPr>
      </w:pPr>
      <w:r w:rsidRPr="002548B3">
        <w:rPr>
          <w:rFonts w:ascii="TrebuchetMS-Bold" w:hAnsi="TrebuchetMS-Bold" w:cs="TrebuchetMS-Bold"/>
          <w:b/>
          <w:bCs/>
          <w:color w:val="0A3297"/>
          <w:sz w:val="26"/>
          <w:szCs w:val="26"/>
        </w:rPr>
        <w:t>PROSAFE</w:t>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sidRPr="004A30BA">
        <w:rPr>
          <w:rFonts w:ascii="TrebuchetMS-Bold" w:hAnsi="TrebuchetMS-Bold" w:cs="TrebuchetMS-Bold"/>
          <w:b/>
          <w:bCs/>
          <w:noProof/>
          <w:color w:val="0A3297"/>
          <w:sz w:val="20"/>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0.5pt;height:26.25pt;visibility:visible">
            <v:imagedata r:id="rId6" o:title=""/>
          </v:shape>
        </w:pict>
      </w:r>
      <w:r>
        <w:rPr>
          <w:rFonts w:ascii="TrebuchetMS-Bold" w:hAnsi="TrebuchetMS-Bold" w:cs="TrebuchetMS-Bold"/>
          <w:b/>
          <w:bCs/>
          <w:color w:val="0A3297"/>
          <w:sz w:val="20"/>
          <w:szCs w:val="20"/>
        </w:rPr>
        <w:t xml:space="preserve"> </w:t>
      </w:r>
      <w:r w:rsidRPr="002548B3">
        <w:rPr>
          <w:rFonts w:ascii="TrebuchetMS-Bold" w:hAnsi="TrebuchetMS-Bold" w:cs="TrebuchetMS-Bold"/>
          <w:color w:val="0A3297"/>
          <w:sz w:val="16"/>
          <w:szCs w:val="16"/>
        </w:rPr>
        <w:t>Sufinancira Europska unija</w:t>
      </w:r>
    </w:p>
    <w:p w:rsidR="00845AC4" w:rsidRPr="002548B3" w:rsidRDefault="00845AC4" w:rsidP="002548B3">
      <w:pPr>
        <w:autoSpaceDE w:val="0"/>
        <w:autoSpaceDN w:val="0"/>
        <w:adjustRightInd w:val="0"/>
        <w:spacing w:after="0" w:line="240" w:lineRule="auto"/>
        <w:rPr>
          <w:rFonts w:ascii="TrebuchetMS-Bold" w:hAnsi="TrebuchetMS-Bold" w:cs="TrebuchetMS-Bold"/>
          <w:color w:val="0A3297"/>
          <w:sz w:val="16"/>
          <w:szCs w:val="16"/>
        </w:rPr>
      </w:pPr>
      <w:r w:rsidRPr="002548B3">
        <w:rPr>
          <w:rFonts w:ascii="TrebuchetMS-Bold" w:hAnsi="TrebuchetMS-Bold" w:cs="TrebuchetMS-Bold"/>
          <w:color w:val="0A3297"/>
          <w:sz w:val="16"/>
          <w:szCs w:val="16"/>
        </w:rPr>
        <w:t>Zajedničke akcije</w:t>
      </w:r>
    </w:p>
    <w:p w:rsidR="00845AC4" w:rsidRDefault="00845AC4" w:rsidP="002548B3">
      <w:pPr>
        <w:autoSpaceDE w:val="0"/>
        <w:autoSpaceDN w:val="0"/>
        <w:adjustRightInd w:val="0"/>
        <w:spacing w:after="0" w:line="240" w:lineRule="auto"/>
        <w:rPr>
          <w:rFonts w:ascii="TrebuchetMS-Bold" w:hAnsi="TrebuchetMS-Bold" w:cs="TrebuchetMS-Bold"/>
          <w:b/>
          <w:bCs/>
          <w:color w:val="0A3297"/>
          <w:sz w:val="20"/>
          <w:szCs w:val="20"/>
        </w:rPr>
      </w:pPr>
      <w:r>
        <w:rPr>
          <w:rFonts w:ascii="TrebuchetMS-Bold" w:hAnsi="TrebuchetMS-Bold" w:cs="TrebuchetMS-Bold"/>
          <w:color w:val="0A3297"/>
          <w:sz w:val="16"/>
          <w:szCs w:val="16"/>
        </w:rPr>
        <w:t>N</w:t>
      </w:r>
      <w:r w:rsidRPr="002548B3">
        <w:rPr>
          <w:rFonts w:ascii="TrebuchetMS-Bold" w:hAnsi="TrebuchetMS-Bold" w:cs="TrebuchetMS-Bold"/>
          <w:color w:val="0A3297"/>
          <w:sz w:val="16"/>
          <w:szCs w:val="16"/>
        </w:rPr>
        <w:t>ajbolja praksa</w:t>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r>
      <w:r>
        <w:rPr>
          <w:rFonts w:ascii="TrebuchetMS-Bold" w:hAnsi="TrebuchetMS-Bold" w:cs="TrebuchetMS-Bold"/>
          <w:b/>
          <w:bCs/>
          <w:color w:val="0A3297"/>
          <w:sz w:val="20"/>
          <w:szCs w:val="20"/>
        </w:rPr>
        <w:tab/>
        <w:t xml:space="preserve"> 2. srpnja 2015.</w:t>
      </w:r>
    </w:p>
    <w:p w:rsidR="00845AC4" w:rsidRDefault="00845AC4" w:rsidP="00052F4B">
      <w:pPr>
        <w:autoSpaceDE w:val="0"/>
        <w:autoSpaceDN w:val="0"/>
        <w:adjustRightInd w:val="0"/>
        <w:spacing w:after="0" w:line="240" w:lineRule="auto"/>
        <w:jc w:val="both"/>
        <w:rPr>
          <w:rFonts w:ascii="TrebuchetMS" w:hAnsi="TrebuchetMS" w:cs="TrebuchetMS"/>
          <w:color w:val="202482"/>
          <w:sz w:val="18"/>
          <w:szCs w:val="18"/>
        </w:rPr>
      </w:pPr>
    </w:p>
    <w:p w:rsidR="00845AC4" w:rsidRDefault="00845AC4" w:rsidP="00052F4B">
      <w:pPr>
        <w:autoSpaceDE w:val="0"/>
        <w:autoSpaceDN w:val="0"/>
        <w:adjustRightInd w:val="0"/>
        <w:spacing w:after="0" w:line="240" w:lineRule="auto"/>
        <w:jc w:val="both"/>
        <w:rPr>
          <w:rFonts w:ascii="Trebuchet-BoldItalic" w:hAnsi="Trebuchet-BoldItalic" w:cs="Trebuchet-BoldItalic"/>
          <w:b/>
          <w:bCs/>
          <w:i/>
          <w:iCs/>
          <w:color w:val="0A3297"/>
          <w:sz w:val="21"/>
          <w:szCs w:val="21"/>
        </w:rPr>
      </w:pPr>
    </w:p>
    <w:p w:rsidR="00845AC4" w:rsidRDefault="00845AC4" w:rsidP="003458F7">
      <w:pPr>
        <w:autoSpaceDE w:val="0"/>
        <w:autoSpaceDN w:val="0"/>
        <w:adjustRightInd w:val="0"/>
        <w:spacing w:after="0" w:line="240" w:lineRule="auto"/>
        <w:jc w:val="center"/>
        <w:rPr>
          <w:rFonts w:ascii="Trebuchet-BoldItalic" w:hAnsi="Trebuchet-BoldItalic" w:cs="Trebuchet-BoldItalic"/>
          <w:b/>
          <w:bCs/>
          <w:i/>
          <w:iCs/>
          <w:color w:val="0A3297"/>
          <w:sz w:val="21"/>
          <w:szCs w:val="21"/>
        </w:rPr>
      </w:pPr>
    </w:p>
    <w:p w:rsidR="00845AC4" w:rsidRDefault="00845AC4" w:rsidP="003458F7">
      <w:pPr>
        <w:autoSpaceDE w:val="0"/>
        <w:autoSpaceDN w:val="0"/>
        <w:adjustRightInd w:val="0"/>
        <w:spacing w:after="0" w:line="240" w:lineRule="auto"/>
        <w:jc w:val="center"/>
        <w:rPr>
          <w:rFonts w:ascii="Trebuchet-BoldItalic" w:hAnsi="Trebuchet-BoldItalic" w:cs="Trebuchet-BoldItalic"/>
          <w:b/>
          <w:bCs/>
          <w:i/>
          <w:iCs/>
          <w:color w:val="0A3297"/>
          <w:sz w:val="21"/>
          <w:szCs w:val="21"/>
        </w:rPr>
      </w:pPr>
      <w:r w:rsidRPr="003F34D8">
        <w:rPr>
          <w:rFonts w:ascii="Trebuchet-BoldItalic" w:hAnsi="Trebuchet-BoldItalic" w:cs="Trebuchet-BoldItalic"/>
          <w:b/>
          <w:bCs/>
          <w:i/>
          <w:iCs/>
          <w:color w:val="0A3297"/>
          <w:sz w:val="21"/>
          <w:szCs w:val="21"/>
        </w:rPr>
        <w:t>PROSAFE</w:t>
      </w:r>
      <w:r>
        <w:rPr>
          <w:rFonts w:ascii="Trebuchet-BoldItalic" w:hAnsi="Trebuchet-BoldItalic" w:cs="Trebuchet-BoldItalic"/>
          <w:b/>
          <w:bCs/>
          <w:i/>
          <w:iCs/>
          <w:color w:val="0A3297"/>
          <w:sz w:val="21"/>
          <w:szCs w:val="21"/>
        </w:rPr>
        <w:t>-ov bilten</w:t>
      </w:r>
    </w:p>
    <w:p w:rsidR="00845AC4" w:rsidRDefault="00845AC4" w:rsidP="003458F7">
      <w:pPr>
        <w:autoSpaceDE w:val="0"/>
        <w:autoSpaceDN w:val="0"/>
        <w:adjustRightInd w:val="0"/>
        <w:spacing w:after="0" w:line="240" w:lineRule="auto"/>
        <w:jc w:val="center"/>
        <w:rPr>
          <w:rFonts w:ascii="Trebuchet-BoldItalic" w:hAnsi="Trebuchet-BoldItalic" w:cs="Trebuchet-BoldItalic"/>
          <w:b/>
          <w:bCs/>
          <w:i/>
          <w:iCs/>
          <w:color w:val="0A3297"/>
          <w:sz w:val="21"/>
          <w:szCs w:val="21"/>
        </w:rPr>
      </w:pPr>
    </w:p>
    <w:p w:rsidR="00845AC4" w:rsidRDefault="00845AC4" w:rsidP="003458F7">
      <w:pPr>
        <w:autoSpaceDE w:val="0"/>
        <w:autoSpaceDN w:val="0"/>
        <w:adjustRightInd w:val="0"/>
        <w:spacing w:after="0" w:line="240" w:lineRule="auto"/>
        <w:jc w:val="center"/>
        <w:rPr>
          <w:rFonts w:ascii="TrebuchetMS-Bold" w:hAnsi="TrebuchetMS-Bold" w:cs="TrebuchetMS-Bold"/>
          <w:b/>
          <w:bCs/>
          <w:color w:val="0A3297"/>
          <w:sz w:val="24"/>
          <w:szCs w:val="24"/>
        </w:rPr>
      </w:pPr>
      <w:r w:rsidRPr="003458F7">
        <w:rPr>
          <w:rFonts w:ascii="TrebuchetMS-Bold" w:hAnsi="TrebuchetMS-Bold" w:cs="TrebuchetMS-Bold"/>
          <w:b/>
          <w:bCs/>
          <w:color w:val="0A3297"/>
          <w:sz w:val="24"/>
          <w:szCs w:val="24"/>
        </w:rPr>
        <w:t xml:space="preserve">PROSAFE </w:t>
      </w:r>
      <w:r>
        <w:rPr>
          <w:rFonts w:ascii="TrebuchetMS-Bold" w:hAnsi="TrebuchetMS-Bold" w:cs="TrebuchetMS-Bold"/>
          <w:b/>
          <w:bCs/>
          <w:color w:val="0A3297"/>
          <w:sz w:val="24"/>
          <w:szCs w:val="24"/>
        </w:rPr>
        <w:t>uspješno pokrenuo zajedničku akciju nadzora tržišta potrošačkih proizvoda  – „JA2014“</w:t>
      </w:r>
    </w:p>
    <w:p w:rsidR="00845AC4" w:rsidRDefault="00845AC4" w:rsidP="00052F4B">
      <w:pPr>
        <w:autoSpaceDE w:val="0"/>
        <w:autoSpaceDN w:val="0"/>
        <w:adjustRightInd w:val="0"/>
        <w:spacing w:after="0" w:line="240" w:lineRule="auto"/>
        <w:jc w:val="both"/>
        <w:rPr>
          <w:rFonts w:ascii="TrebuchetMS-Bold" w:hAnsi="TrebuchetMS-Bold" w:cs="TrebuchetMS-Bold"/>
          <w:b/>
          <w:bCs/>
          <w:color w:val="0A3297"/>
          <w:sz w:val="24"/>
          <w:szCs w:val="24"/>
        </w:rPr>
      </w:pPr>
    </w:p>
    <w:p w:rsidR="00845AC4" w:rsidRDefault="00845AC4" w:rsidP="00052F4B">
      <w:pPr>
        <w:autoSpaceDE w:val="0"/>
        <w:autoSpaceDN w:val="0"/>
        <w:adjustRightInd w:val="0"/>
        <w:spacing w:after="0" w:line="240" w:lineRule="auto"/>
        <w:jc w:val="both"/>
        <w:rPr>
          <w:rFonts w:ascii="TrebuchetMS-Bold" w:hAnsi="TrebuchetMS-Bold" w:cs="TrebuchetMS-Bold"/>
          <w:b/>
          <w:bCs/>
          <w:color w:val="0A3297"/>
          <w:sz w:val="24"/>
          <w:szCs w:val="24"/>
        </w:rPr>
      </w:pP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1"/>
          <w:szCs w:val="21"/>
        </w:rPr>
      </w:pPr>
      <w:r>
        <w:rPr>
          <w:rFonts w:ascii="TrebuchetMS-Bold" w:hAnsi="TrebuchetMS-Bold" w:cs="TrebuchetMS-Bold"/>
          <w:b/>
          <w:bCs/>
          <w:color w:val="000000"/>
          <w:sz w:val="21"/>
          <w:szCs w:val="21"/>
        </w:rPr>
        <w:t>PROSAFE je uspješno pokrenuo do sad najveću zajedničku akciju. U sljedeće dvije godine 35 tijela nadležnih za nadzor tržišta iz 27 država članica EU-a i zemalja EFTA-e zajedno će surađivati oko otkrivanja neusklađenih proizvoda u pet kategorija: zaštitne ograde, LED i CFL rasvjeta, igračke koje stvaraju zvukove, vatromet i električni alati.</w:t>
      </w: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1"/>
          <w:szCs w:val="21"/>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Zajednička akcija ima nekoliko uloga. Kao prvo, osigurati sigurnost potrošačima otkrivanjem i povlačenjem nesigurnih proizvoda s europskog tržišta. Kao drugo, osigurati jednake i poštene uvjete poslovanja te kao treće, podupirati i povećati slobodan protok robe na europskom tržištu.</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 xml:space="preserve">Sudionici zajedničke akcije dolaze iz Austrije, Belgije, Bugarske, Hrvatske, Cipra, Češke, Danske, Estonije, Finske, Francuske, Njemačke, Grčke, Islanda, Italije, Latvije, Litve, Luksemburga, Malte, Nizozemske, Norveške, Poljske, Portugala, Rumunjske, Slovačke, Slovenije, Švedske i Ujedinjenog Kraljevstva. Ovo je po </w:t>
      </w:r>
      <w:r w:rsidRPr="009A1BE5">
        <w:rPr>
          <w:rFonts w:ascii="TrebuchetMS" w:hAnsi="TrebuchetMS" w:cs="TrebuchetMS"/>
          <w:color w:val="000000"/>
          <w:sz w:val="20"/>
          <w:szCs w:val="20"/>
        </w:rPr>
        <w:t>broj</w:t>
      </w:r>
      <w:r>
        <w:rPr>
          <w:rFonts w:ascii="TrebuchetMS" w:hAnsi="TrebuchetMS" w:cs="TrebuchetMS"/>
          <w:color w:val="000000"/>
          <w:sz w:val="20"/>
          <w:szCs w:val="20"/>
        </w:rPr>
        <w:t>u</w:t>
      </w:r>
      <w:r w:rsidRPr="009A1BE5">
        <w:rPr>
          <w:rFonts w:ascii="TrebuchetMS" w:hAnsi="TrebuchetMS" w:cs="TrebuchetMS"/>
          <w:color w:val="000000"/>
          <w:sz w:val="20"/>
          <w:szCs w:val="20"/>
        </w:rPr>
        <w:t xml:space="preserve"> sudionika u projektu </w:t>
      </w:r>
      <w:r>
        <w:rPr>
          <w:rFonts w:ascii="TrebuchetMS" w:hAnsi="TrebuchetMS" w:cs="TrebuchetMS"/>
          <w:color w:val="000000"/>
          <w:sz w:val="20"/>
          <w:szCs w:val="20"/>
        </w:rPr>
        <w:t>do sad najveća zajednička akcija koju koordinira</w:t>
      </w:r>
      <w:r w:rsidRPr="001B6108">
        <w:t xml:space="preserve"> </w:t>
      </w:r>
      <w:r w:rsidRPr="001B6108">
        <w:rPr>
          <w:rFonts w:ascii="TrebuchetMS" w:hAnsi="TrebuchetMS" w:cs="TrebuchetMS"/>
          <w:color w:val="000000"/>
          <w:sz w:val="20"/>
          <w:szCs w:val="20"/>
        </w:rPr>
        <w:t>PROSAFE</w:t>
      </w:r>
      <w:r>
        <w:rPr>
          <w:rFonts w:ascii="TrebuchetMS" w:hAnsi="TrebuchetMS" w:cs="TrebuchetMS"/>
          <w:color w:val="000000"/>
          <w:sz w:val="20"/>
          <w:szCs w:val="20"/>
        </w:rPr>
        <w:t>.</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Zajednička akcija obuhvaća sljedećih pet kategorija proizvoda:</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1B6108">
      <w:pPr>
        <w:autoSpaceDE w:val="0"/>
        <w:autoSpaceDN w:val="0"/>
        <w:adjustRightInd w:val="0"/>
        <w:spacing w:after="0" w:line="240" w:lineRule="auto"/>
        <w:ind w:firstLine="708"/>
        <w:jc w:val="both"/>
        <w:rPr>
          <w:rFonts w:ascii="TrebuchetMS" w:hAnsi="TrebuchetMS" w:cs="TrebuchetMS"/>
          <w:color w:val="0A3297"/>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A3297"/>
          <w:sz w:val="20"/>
          <w:szCs w:val="20"/>
        </w:rPr>
        <w:t>Zaštitne ograde</w:t>
      </w:r>
    </w:p>
    <w:p w:rsidR="00845AC4" w:rsidRDefault="00845AC4" w:rsidP="00052F4B">
      <w:pPr>
        <w:autoSpaceDE w:val="0"/>
        <w:autoSpaceDN w:val="0"/>
        <w:adjustRightInd w:val="0"/>
        <w:spacing w:after="0" w:line="240" w:lineRule="auto"/>
        <w:jc w:val="both"/>
        <w:rPr>
          <w:rFonts w:ascii="TrebuchetMS" w:hAnsi="TrebuchetMS" w:cs="TrebuchetMS"/>
          <w:color w:val="0A3297"/>
          <w:sz w:val="20"/>
          <w:szCs w:val="20"/>
        </w:rPr>
      </w:pPr>
    </w:p>
    <w:p w:rsidR="00845AC4" w:rsidRDefault="00845AC4" w:rsidP="00AC5D7F">
      <w:pPr>
        <w:autoSpaceDE w:val="0"/>
        <w:autoSpaceDN w:val="0"/>
        <w:adjustRightInd w:val="0"/>
        <w:spacing w:after="0" w:line="240" w:lineRule="auto"/>
        <w:ind w:left="708"/>
        <w:jc w:val="both"/>
        <w:rPr>
          <w:rFonts w:ascii="TrebuchetMS" w:hAnsi="TrebuchetMS" w:cs="TrebuchetMS"/>
          <w:color w:val="000000"/>
          <w:sz w:val="20"/>
          <w:szCs w:val="20"/>
        </w:rPr>
      </w:pPr>
      <w:r>
        <w:rPr>
          <w:rFonts w:ascii="TrebuchetMS" w:hAnsi="TrebuchetMS" w:cs="TrebuchetMS"/>
          <w:color w:val="000000"/>
          <w:sz w:val="20"/>
          <w:szCs w:val="20"/>
        </w:rPr>
        <w:t xml:space="preserve">PROSAFE je ponovio svoju vježbu utvrđivanja prioriteta za </w:t>
      </w:r>
      <w:r w:rsidRPr="006976E8">
        <w:rPr>
          <w:rFonts w:ascii="TrebuchetMS" w:hAnsi="TrebuchetMS" w:cs="TrebuchetMS"/>
          <w:color w:val="000000"/>
          <w:sz w:val="20"/>
          <w:szCs w:val="20"/>
        </w:rPr>
        <w:t>proizvod</w:t>
      </w:r>
      <w:r>
        <w:rPr>
          <w:rFonts w:ascii="TrebuchetMS" w:hAnsi="TrebuchetMS" w:cs="TrebuchetMS"/>
          <w:color w:val="000000"/>
          <w:sz w:val="20"/>
          <w:szCs w:val="20"/>
        </w:rPr>
        <w:t>e</w:t>
      </w:r>
      <w:r w:rsidRPr="006976E8">
        <w:rPr>
          <w:rFonts w:ascii="TrebuchetMS" w:hAnsi="TrebuchetMS" w:cs="TrebuchetMS"/>
          <w:color w:val="000000"/>
          <w:sz w:val="20"/>
          <w:szCs w:val="20"/>
        </w:rPr>
        <w:t xml:space="preserve"> za skrb o djeci </w:t>
      </w:r>
      <w:r>
        <w:rPr>
          <w:rFonts w:ascii="TrebuchetMS" w:hAnsi="TrebuchetMS" w:cs="TrebuchetMS"/>
          <w:color w:val="000000"/>
          <w:sz w:val="20"/>
          <w:szCs w:val="20"/>
        </w:rPr>
        <w:t>2013. godine. Potvrđeno je da zaštitne ograde imaju prioritet zbog činjenice da je 75 djece u dobi od 0 do 4 godine bilo ozlijeđeno do te mjere da su morali koristiti usluge hitne službe. Glavni problemi vezani uz ovaj proizvod su padovi i zaglavljivanje udova ili vrata, gušenje te izloženost drugim opasnostima poput opekotina i trovanja. Revidirana europska norma objavljena je u prosincu 2011. godine i jedan od zadataka ove akcije je provjeriti potvrđuje li revidiranje sigurnosnu normu.</w:t>
      </w:r>
    </w:p>
    <w:p w:rsidR="00845AC4" w:rsidRDefault="00845AC4" w:rsidP="00AC5D7F">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6A5FE0">
      <w:pPr>
        <w:autoSpaceDE w:val="0"/>
        <w:autoSpaceDN w:val="0"/>
        <w:adjustRightInd w:val="0"/>
        <w:spacing w:after="0" w:line="240" w:lineRule="auto"/>
        <w:ind w:firstLine="708"/>
        <w:jc w:val="center"/>
        <w:rPr>
          <w:rFonts w:ascii="TrebuchetMS" w:hAnsi="TrebuchetMS" w:cs="TrebuchetMS"/>
          <w:color w:val="000000"/>
          <w:sz w:val="20"/>
          <w:szCs w:val="20"/>
        </w:rPr>
      </w:pPr>
      <w:r w:rsidRPr="004A30BA">
        <w:rPr>
          <w:rFonts w:ascii="TrebuchetMS" w:hAnsi="TrebuchetMS" w:cs="TrebuchetMS"/>
          <w:noProof/>
          <w:color w:val="000000"/>
          <w:sz w:val="20"/>
          <w:szCs w:val="20"/>
          <w:lang w:eastAsia="hr-HR"/>
        </w:rPr>
        <w:pict>
          <v:shape id="Picture 1" o:spid="_x0000_i1026" type="#_x0000_t75" style="width:341.25pt;height:175.5pt;visibility:visible">
            <v:imagedata r:id="rId7" o:title=""/>
          </v:shape>
        </w:pict>
      </w:r>
    </w:p>
    <w:p w:rsidR="00845AC4" w:rsidRDefault="00845AC4" w:rsidP="006A5FE0">
      <w:pPr>
        <w:autoSpaceDE w:val="0"/>
        <w:autoSpaceDN w:val="0"/>
        <w:adjustRightInd w:val="0"/>
        <w:spacing w:after="0" w:line="240" w:lineRule="auto"/>
        <w:ind w:firstLine="708"/>
        <w:jc w:val="center"/>
        <w:rPr>
          <w:rFonts w:ascii="TrebuchetMS-Italic" w:hAnsi="TrebuchetMS-Italic" w:cs="TrebuchetMS-Italic"/>
          <w:i/>
          <w:iCs/>
          <w:color w:val="000000"/>
          <w:sz w:val="20"/>
          <w:szCs w:val="20"/>
        </w:rPr>
      </w:pPr>
      <w:r>
        <w:rPr>
          <w:rFonts w:ascii="TrebuchetMS-Italic" w:hAnsi="TrebuchetMS-Italic" w:cs="TrebuchetMS-Italic"/>
          <w:i/>
          <w:iCs/>
          <w:color w:val="000000"/>
          <w:sz w:val="20"/>
          <w:szCs w:val="20"/>
        </w:rPr>
        <w:t>Publika prati prezentaciju predviđenih aktivnosti u sklopu zajedničke akcije</w:t>
      </w:r>
    </w:p>
    <w:p w:rsidR="00845AC4" w:rsidRDefault="00845AC4" w:rsidP="00052F4B">
      <w:pPr>
        <w:autoSpaceDE w:val="0"/>
        <w:autoSpaceDN w:val="0"/>
        <w:adjustRightInd w:val="0"/>
        <w:spacing w:after="0" w:line="240" w:lineRule="auto"/>
        <w:jc w:val="both"/>
        <w:rPr>
          <w:rFonts w:ascii="TrebuchetMS-Italic" w:hAnsi="TrebuchetMS-Italic" w:cs="TrebuchetMS-Italic"/>
          <w:i/>
          <w:iCs/>
          <w:color w:val="000000"/>
          <w:sz w:val="20"/>
          <w:szCs w:val="20"/>
        </w:rPr>
      </w:pPr>
    </w:p>
    <w:p w:rsidR="00845AC4" w:rsidRDefault="00845AC4" w:rsidP="00296FF4">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PROSAFE, Avenue des Arts / Kunstlaan 41, B-1040, Brussels, Belgium.</w:t>
      </w:r>
    </w:p>
    <w:p w:rsidR="00845AC4" w:rsidRDefault="00845AC4" w:rsidP="00296FF4">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 xml:space="preserve">Telefon: +32 (2) 8080 996 i 997, E-pošta: </w:t>
      </w:r>
      <w:hyperlink r:id="rId8" w:history="1">
        <w:r w:rsidRPr="004B0339">
          <w:rPr>
            <w:rStyle w:val="Hyperlink"/>
            <w:rFonts w:ascii="TrebuchetMS" w:hAnsi="TrebuchetMS" w:cs="TrebuchetMS"/>
            <w:sz w:val="18"/>
            <w:szCs w:val="18"/>
          </w:rPr>
          <w:t>info@prosafe.org</w:t>
        </w:r>
      </w:hyperlink>
    </w:p>
    <w:p w:rsidR="00845AC4" w:rsidRDefault="00845AC4" w:rsidP="00296FF4">
      <w:pPr>
        <w:autoSpaceDE w:val="0"/>
        <w:autoSpaceDN w:val="0"/>
        <w:adjustRightInd w:val="0"/>
        <w:spacing w:after="0" w:line="240" w:lineRule="auto"/>
        <w:jc w:val="center"/>
        <w:rPr>
          <w:rFonts w:ascii="TrebuchetMS" w:hAnsi="TrebuchetMS" w:cs="TrebuchetMS"/>
          <w:color w:val="0A3297"/>
          <w:sz w:val="18"/>
          <w:szCs w:val="18"/>
        </w:rPr>
      </w:pPr>
    </w:p>
    <w:p w:rsidR="00845AC4" w:rsidRDefault="00845AC4" w:rsidP="00FC4FD9">
      <w:pPr>
        <w:autoSpaceDE w:val="0"/>
        <w:autoSpaceDN w:val="0"/>
        <w:adjustRightInd w:val="0"/>
        <w:spacing w:after="0" w:line="240" w:lineRule="auto"/>
        <w:ind w:firstLine="708"/>
        <w:jc w:val="both"/>
        <w:rPr>
          <w:rFonts w:ascii="TrebuchetMS" w:hAnsi="TrebuchetMS" w:cs="TrebuchetMS"/>
          <w:color w:val="0A3297"/>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A3297"/>
          <w:sz w:val="20"/>
          <w:szCs w:val="20"/>
        </w:rPr>
        <w:t>LED (dioda koja emitira svjetlost) i CFL (kompaktna fluorescentna) rasvjeta</w:t>
      </w:r>
    </w:p>
    <w:p w:rsidR="00845AC4" w:rsidRDefault="00845AC4" w:rsidP="00FC4FD9">
      <w:pPr>
        <w:autoSpaceDE w:val="0"/>
        <w:autoSpaceDN w:val="0"/>
        <w:adjustRightInd w:val="0"/>
        <w:spacing w:after="0" w:line="240" w:lineRule="auto"/>
        <w:ind w:firstLine="708"/>
        <w:jc w:val="both"/>
        <w:rPr>
          <w:rFonts w:ascii="TrebuchetMS" w:hAnsi="TrebuchetMS" w:cs="TrebuchetMS"/>
          <w:color w:val="0A3297"/>
          <w:sz w:val="20"/>
          <w:szCs w:val="20"/>
        </w:rPr>
      </w:pPr>
    </w:p>
    <w:p w:rsidR="00845AC4" w:rsidRDefault="00845AC4" w:rsidP="001B4589">
      <w:pPr>
        <w:autoSpaceDE w:val="0"/>
        <w:autoSpaceDN w:val="0"/>
        <w:adjustRightInd w:val="0"/>
        <w:spacing w:after="0" w:line="240" w:lineRule="auto"/>
        <w:ind w:left="708"/>
        <w:jc w:val="both"/>
        <w:rPr>
          <w:rFonts w:ascii="TrebuchetMS" w:hAnsi="TrebuchetMS" w:cs="TrebuchetMS"/>
          <w:color w:val="000000"/>
          <w:sz w:val="20"/>
          <w:szCs w:val="20"/>
        </w:rPr>
      </w:pPr>
      <w:r>
        <w:rPr>
          <w:rFonts w:ascii="TrebuchetMS" w:hAnsi="TrebuchetMS" w:cs="TrebuchetMS"/>
          <w:color w:val="000000"/>
          <w:sz w:val="20"/>
          <w:szCs w:val="20"/>
        </w:rPr>
        <w:t xml:space="preserve">LED (i CFL) rasvjeta jedni su od najučinkovitijih proizvoda koji smanjuju potrošnju energije pa je tako ovaj oblik rasvjete jedan od najpopularnijih tijekom proteklih godina. Međutim, iskustvo pokazuje da se na europsko tržište u velikom broju stavljaju </w:t>
      </w:r>
      <w:r w:rsidRPr="0076515A">
        <w:rPr>
          <w:rFonts w:ascii="TrebuchetMS" w:hAnsi="TrebuchetMS" w:cs="TrebuchetMS"/>
          <w:color w:val="000000"/>
          <w:sz w:val="20"/>
          <w:szCs w:val="20"/>
        </w:rPr>
        <w:t xml:space="preserve">LED </w:t>
      </w:r>
      <w:r>
        <w:rPr>
          <w:rFonts w:ascii="TrebuchetMS" w:hAnsi="TrebuchetMS" w:cs="TrebuchetMS"/>
          <w:color w:val="000000"/>
          <w:sz w:val="20"/>
          <w:szCs w:val="20"/>
        </w:rPr>
        <w:t xml:space="preserve">svjetiljke niske kvalitete, koje su neusklađene pa čak i opasne. Navedeno je prouzrokovalo nesreće i požare i narušilo ugled LED rasvjete među potrošačima. Od 2012. godine u sustavu RAPEX zabilježeno je </w:t>
      </w:r>
      <w:r w:rsidRPr="00323A96">
        <w:rPr>
          <w:rFonts w:ascii="TrebuchetMS" w:hAnsi="TrebuchetMS" w:cs="TrebuchetMS"/>
          <w:color w:val="000000"/>
          <w:sz w:val="20"/>
          <w:szCs w:val="20"/>
        </w:rPr>
        <w:t xml:space="preserve">više od 90 </w:t>
      </w:r>
      <w:r>
        <w:rPr>
          <w:rFonts w:ascii="TrebuchetMS" w:hAnsi="TrebuchetMS" w:cs="TrebuchetMS"/>
          <w:color w:val="000000"/>
          <w:sz w:val="20"/>
          <w:szCs w:val="20"/>
        </w:rPr>
        <w:t>obavijesti o LED svjetiljkama, rasvjetnim lancima i cijevima. Uz to, podnesene su mnoge prijave sukladno zaštitnoj klauzuli Direktive o niskom naponu (engl. LVD) za LED svjetiljke koje predstavljaju rizik od strujnog udara ili požara. Projekt o nadzoru tržišta kojeg je 2013. godine pokrenula radna skupina za administrativnu suradnju (engl. LVD ADCO) otkrio je vrlo visoku stopu odstupanja od utvrđene norme (86% od 123 svjetiljke nije bilo usklađeno s tehničkim ili administrativnim zahtjevima).</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A3297"/>
          <w:sz w:val="20"/>
          <w:szCs w:val="20"/>
        </w:rPr>
        <w:t xml:space="preserve">Igračke koje stvaraju zvukove </w:t>
      </w: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p>
    <w:p w:rsidR="00845AC4" w:rsidRDefault="00845AC4" w:rsidP="003A4053">
      <w:pPr>
        <w:autoSpaceDE w:val="0"/>
        <w:autoSpaceDN w:val="0"/>
        <w:adjustRightInd w:val="0"/>
        <w:spacing w:after="0" w:line="240" w:lineRule="auto"/>
        <w:ind w:left="708"/>
        <w:jc w:val="both"/>
        <w:rPr>
          <w:rFonts w:ascii="TrebuchetMS" w:hAnsi="TrebuchetMS" w:cs="TrebuchetMS"/>
          <w:color w:val="000000"/>
          <w:sz w:val="20"/>
          <w:szCs w:val="20"/>
        </w:rPr>
      </w:pPr>
      <w:r>
        <w:rPr>
          <w:rFonts w:ascii="TrebuchetMS" w:hAnsi="TrebuchetMS" w:cs="TrebuchetMS"/>
          <w:color w:val="000000"/>
          <w:sz w:val="20"/>
          <w:szCs w:val="20"/>
        </w:rPr>
        <w:t xml:space="preserve">Aktivnost će biti usmjerena na akustične odnosno igračke koje stvaraju zvukove. Podlogu čini podatak da je glavna sigurnosna norma za igračke, EN71-1 ažurirana 2013. godine kada je usvojena nova izmjena (A2:2013 EN 71-1, o </w:t>
      </w:r>
      <w:r w:rsidRPr="002E106F">
        <w:rPr>
          <w:rFonts w:ascii="TrebuchetMS" w:hAnsi="TrebuchetMS" w:cs="TrebuchetMS"/>
          <w:color w:val="000000"/>
          <w:sz w:val="20"/>
          <w:szCs w:val="20"/>
        </w:rPr>
        <w:t>zahtjev</w:t>
      </w:r>
      <w:r>
        <w:rPr>
          <w:rFonts w:ascii="TrebuchetMS" w:hAnsi="TrebuchetMS" w:cs="TrebuchetMS"/>
          <w:color w:val="000000"/>
          <w:sz w:val="20"/>
          <w:szCs w:val="20"/>
        </w:rPr>
        <w:t>ima</w:t>
      </w:r>
      <w:r w:rsidRPr="002E106F">
        <w:rPr>
          <w:rFonts w:ascii="TrebuchetMS" w:hAnsi="TrebuchetMS" w:cs="TrebuchetMS"/>
          <w:color w:val="000000"/>
          <w:sz w:val="20"/>
          <w:szCs w:val="20"/>
        </w:rPr>
        <w:t xml:space="preserve"> za zvuk koji stvaraju takve igračke</w:t>
      </w:r>
      <w:r>
        <w:rPr>
          <w:rFonts w:ascii="TrebuchetMS" w:hAnsi="TrebuchetMS" w:cs="TrebuchetMS"/>
          <w:color w:val="000000"/>
          <w:sz w:val="20"/>
          <w:szCs w:val="20"/>
        </w:rPr>
        <w:t>). Spomenuta izmjena klasificira akustične igračke u tri kategorije izloženosti ovisno o trajanju izloženosti:</w:t>
      </w:r>
    </w:p>
    <w:p w:rsidR="00845AC4" w:rsidRDefault="00845AC4" w:rsidP="003A4053">
      <w:pPr>
        <w:autoSpaceDE w:val="0"/>
        <w:autoSpaceDN w:val="0"/>
        <w:adjustRightInd w:val="0"/>
        <w:spacing w:after="0" w:line="240" w:lineRule="auto"/>
        <w:ind w:firstLine="708"/>
        <w:jc w:val="both"/>
        <w:rPr>
          <w:rFonts w:ascii="TrebuchetMS" w:hAnsi="TrebuchetMS" w:cs="TrebuchetMS"/>
          <w:color w:val="000000"/>
          <w:sz w:val="20"/>
          <w:szCs w:val="20"/>
        </w:rPr>
      </w:pPr>
      <w:r>
        <w:rPr>
          <w:rFonts w:ascii="CourierNewPSMT" w:hAnsi="CourierNewPSMT" w:cs="CourierNewPSMT"/>
          <w:color w:val="000000"/>
          <w:sz w:val="20"/>
          <w:szCs w:val="20"/>
        </w:rPr>
        <w:t xml:space="preserve">o </w:t>
      </w:r>
      <w:r>
        <w:rPr>
          <w:rFonts w:ascii="TrebuchetMS" w:hAnsi="TrebuchetMS" w:cs="TrebuchetMS"/>
          <w:color w:val="000000"/>
          <w:sz w:val="20"/>
          <w:szCs w:val="20"/>
        </w:rPr>
        <w:t>I. kategorija uključuje primjerice igračke sa slušalicama za uši</w:t>
      </w:r>
    </w:p>
    <w:p w:rsidR="00845AC4" w:rsidRDefault="00845AC4" w:rsidP="003A4053">
      <w:pPr>
        <w:autoSpaceDE w:val="0"/>
        <w:autoSpaceDN w:val="0"/>
        <w:adjustRightInd w:val="0"/>
        <w:spacing w:after="0" w:line="240" w:lineRule="auto"/>
        <w:ind w:left="708"/>
        <w:jc w:val="both"/>
        <w:rPr>
          <w:rFonts w:ascii="TrebuchetMS" w:hAnsi="TrebuchetMS" w:cs="TrebuchetMS"/>
          <w:color w:val="000000"/>
          <w:sz w:val="20"/>
          <w:szCs w:val="20"/>
        </w:rPr>
      </w:pPr>
      <w:r>
        <w:rPr>
          <w:rFonts w:ascii="CourierNewPSMT" w:hAnsi="CourierNewPSMT" w:cs="CourierNewPSMT"/>
          <w:color w:val="000000"/>
          <w:sz w:val="20"/>
          <w:szCs w:val="20"/>
        </w:rPr>
        <w:t xml:space="preserve">o </w:t>
      </w:r>
      <w:r w:rsidRPr="004A7BA2">
        <w:rPr>
          <w:rFonts w:ascii="TrebuchetMS" w:hAnsi="TrebuchetMS" w:cs="TrebuchetMS"/>
          <w:color w:val="000000"/>
          <w:sz w:val="20"/>
          <w:szCs w:val="20"/>
        </w:rPr>
        <w:t>I</w:t>
      </w:r>
      <w:r>
        <w:rPr>
          <w:rFonts w:ascii="TrebuchetMS" w:hAnsi="TrebuchetMS" w:cs="TrebuchetMS"/>
          <w:color w:val="000000"/>
          <w:sz w:val="20"/>
          <w:szCs w:val="20"/>
        </w:rPr>
        <w:t>I</w:t>
      </w:r>
      <w:r w:rsidRPr="004A7BA2">
        <w:rPr>
          <w:rFonts w:ascii="TrebuchetMS" w:hAnsi="TrebuchetMS" w:cs="TrebuchetMS"/>
          <w:color w:val="000000"/>
          <w:sz w:val="20"/>
          <w:szCs w:val="20"/>
        </w:rPr>
        <w:t xml:space="preserve">. kategorija </w:t>
      </w:r>
      <w:r>
        <w:rPr>
          <w:rFonts w:ascii="TrebuchetMS" w:hAnsi="TrebuchetMS" w:cs="TrebuchetMS"/>
          <w:color w:val="000000"/>
          <w:sz w:val="20"/>
          <w:szCs w:val="20"/>
        </w:rPr>
        <w:t>uključuje zvečke ili igračke za stiskanje, i</w:t>
      </w:r>
      <w:r w:rsidRPr="00750D26">
        <w:rPr>
          <w:rFonts w:ascii="TrebuchetMS" w:hAnsi="TrebuchetMS" w:cs="TrebuchetMS"/>
          <w:color w:val="000000"/>
          <w:sz w:val="20"/>
          <w:szCs w:val="20"/>
        </w:rPr>
        <w:t xml:space="preserve">gračke koje pokreće vjetar </w:t>
      </w:r>
      <w:r>
        <w:rPr>
          <w:rFonts w:ascii="TrebuchetMS" w:hAnsi="TrebuchetMS" w:cs="TrebuchetMS"/>
          <w:color w:val="000000"/>
          <w:sz w:val="20"/>
          <w:szCs w:val="20"/>
        </w:rPr>
        <w:t>a koje su imitacija glazbenih instrumenata</w:t>
      </w:r>
    </w:p>
    <w:p w:rsidR="00845AC4" w:rsidRDefault="00845AC4" w:rsidP="003A4053">
      <w:pPr>
        <w:autoSpaceDE w:val="0"/>
        <w:autoSpaceDN w:val="0"/>
        <w:adjustRightInd w:val="0"/>
        <w:spacing w:after="0" w:line="240" w:lineRule="auto"/>
        <w:ind w:firstLine="708"/>
        <w:jc w:val="both"/>
        <w:rPr>
          <w:rFonts w:ascii="TrebuchetMS" w:hAnsi="TrebuchetMS" w:cs="TrebuchetMS"/>
          <w:color w:val="000000"/>
          <w:sz w:val="20"/>
          <w:szCs w:val="20"/>
        </w:rPr>
      </w:pPr>
      <w:r>
        <w:rPr>
          <w:rFonts w:ascii="CourierNewPSMT" w:hAnsi="CourierNewPSMT" w:cs="CourierNewPSMT"/>
          <w:color w:val="000000"/>
          <w:sz w:val="20"/>
          <w:szCs w:val="20"/>
        </w:rPr>
        <w:t xml:space="preserve">o </w:t>
      </w:r>
      <w:r w:rsidRPr="004A7BA2">
        <w:rPr>
          <w:rFonts w:ascii="TrebuchetMS" w:hAnsi="TrebuchetMS" w:cs="TrebuchetMS"/>
          <w:color w:val="000000"/>
          <w:sz w:val="20"/>
          <w:szCs w:val="20"/>
        </w:rPr>
        <w:t>I</w:t>
      </w:r>
      <w:r>
        <w:rPr>
          <w:rFonts w:ascii="TrebuchetMS" w:hAnsi="TrebuchetMS" w:cs="TrebuchetMS"/>
          <w:color w:val="000000"/>
          <w:sz w:val="20"/>
          <w:szCs w:val="20"/>
        </w:rPr>
        <w:t>II</w:t>
      </w:r>
      <w:r w:rsidRPr="004A7BA2">
        <w:rPr>
          <w:rFonts w:ascii="TrebuchetMS" w:hAnsi="TrebuchetMS" w:cs="TrebuchetMS"/>
          <w:color w:val="000000"/>
          <w:sz w:val="20"/>
          <w:szCs w:val="20"/>
        </w:rPr>
        <w:t xml:space="preserve">. kategorija </w:t>
      </w:r>
      <w:r>
        <w:rPr>
          <w:rFonts w:ascii="TrebuchetMS" w:hAnsi="TrebuchetMS" w:cs="TrebuchetMS"/>
          <w:color w:val="000000"/>
          <w:sz w:val="20"/>
          <w:szCs w:val="20"/>
        </w:rPr>
        <w:t>uključuje primjerice dječje pištolje i dječje zviždaljke.</w:t>
      </w:r>
    </w:p>
    <w:p w:rsidR="00845AC4" w:rsidRDefault="00845AC4" w:rsidP="003A4053">
      <w:pPr>
        <w:autoSpaceDE w:val="0"/>
        <w:autoSpaceDN w:val="0"/>
        <w:adjustRightInd w:val="0"/>
        <w:spacing w:after="0" w:line="240" w:lineRule="auto"/>
        <w:ind w:left="708"/>
        <w:jc w:val="both"/>
        <w:rPr>
          <w:rFonts w:ascii="TrebuchetMS" w:hAnsi="TrebuchetMS" w:cs="TrebuchetMS"/>
          <w:color w:val="000000"/>
          <w:sz w:val="20"/>
          <w:szCs w:val="20"/>
        </w:rPr>
      </w:pPr>
      <w:r>
        <w:rPr>
          <w:rFonts w:ascii="TrebuchetMS" w:hAnsi="TrebuchetMS" w:cs="TrebuchetMS"/>
          <w:color w:val="000000"/>
          <w:sz w:val="20"/>
          <w:szCs w:val="20"/>
        </w:rPr>
        <w:t>Glavni rizik povezan s ovim igračkama je da prekomjerna izloženost buci može izazvati izravna oštećenja sluha uključujući gubitak sluha ili spuštanje slušnog praga. Također mogu postojati neizravni štetni učinci povezani sa fiziološkim</w:t>
      </w:r>
      <w:r w:rsidRPr="007F63C4">
        <w:t xml:space="preserve"> i </w:t>
      </w:r>
      <w:r w:rsidRPr="007F63C4">
        <w:rPr>
          <w:rFonts w:ascii="TrebuchetMS" w:hAnsi="TrebuchetMS" w:cs="TrebuchetMS"/>
          <w:color w:val="000000"/>
          <w:sz w:val="20"/>
          <w:szCs w:val="20"/>
        </w:rPr>
        <w:t>psihološkim</w:t>
      </w:r>
      <w:r>
        <w:rPr>
          <w:rFonts w:ascii="TrebuchetMS" w:hAnsi="TrebuchetMS" w:cs="TrebuchetMS"/>
          <w:color w:val="000000"/>
          <w:sz w:val="20"/>
          <w:szCs w:val="20"/>
        </w:rPr>
        <w:t xml:space="preserve"> efektima i kognitivnim oštećenjima. Djeca su osobito osjetljiva jer imaju različitu predodžbu o opasnostima od buke te im često nedostaje </w:t>
      </w:r>
      <w:r w:rsidRPr="00750D26">
        <w:rPr>
          <w:rFonts w:ascii="TrebuchetMS" w:hAnsi="TrebuchetMS" w:cs="TrebuchetMS"/>
          <w:color w:val="000000"/>
          <w:sz w:val="20"/>
          <w:szCs w:val="20"/>
        </w:rPr>
        <w:t>sposobnost kontroliranja svijeta oko sebe</w:t>
      </w:r>
      <w:r>
        <w:rPr>
          <w:rFonts w:ascii="TrebuchetMS" w:hAnsi="TrebuchetMS" w:cs="TrebuchetMS"/>
          <w:color w:val="000000"/>
          <w:sz w:val="20"/>
          <w:szCs w:val="20"/>
        </w:rPr>
        <w:t>.</w:t>
      </w:r>
    </w:p>
    <w:p w:rsidR="00845AC4" w:rsidRDefault="00845AC4" w:rsidP="006E51A5">
      <w:pPr>
        <w:autoSpaceDE w:val="0"/>
        <w:autoSpaceDN w:val="0"/>
        <w:adjustRightInd w:val="0"/>
        <w:spacing w:after="0" w:line="240" w:lineRule="auto"/>
        <w:ind w:firstLine="708"/>
        <w:jc w:val="both"/>
        <w:rPr>
          <w:rFonts w:ascii="SymbolMT" w:eastAsia="SymbolMT" w:hAnsi="TrebuchetMS-Bold"/>
          <w:color w:val="000000"/>
          <w:sz w:val="20"/>
          <w:szCs w:val="20"/>
        </w:rPr>
      </w:pP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A3297"/>
          <w:sz w:val="20"/>
          <w:szCs w:val="20"/>
        </w:rPr>
        <w:t>Vatromet</w:t>
      </w: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p>
    <w:p w:rsidR="00845AC4" w:rsidRDefault="00845AC4" w:rsidP="008606DA">
      <w:pPr>
        <w:autoSpaceDE w:val="0"/>
        <w:autoSpaceDN w:val="0"/>
        <w:adjustRightInd w:val="0"/>
        <w:spacing w:after="0" w:line="240" w:lineRule="auto"/>
        <w:ind w:left="708"/>
        <w:jc w:val="both"/>
        <w:rPr>
          <w:rFonts w:ascii="TrebuchetMS" w:hAnsi="TrebuchetMS" w:cs="TrebuchetMS"/>
          <w:color w:val="000000"/>
          <w:sz w:val="20"/>
          <w:szCs w:val="20"/>
        </w:rPr>
      </w:pPr>
      <w:r w:rsidRPr="005824CD">
        <w:rPr>
          <w:rFonts w:ascii="TrebuchetMS" w:hAnsi="TrebuchetMS" w:cs="TrebuchetMS"/>
          <w:color w:val="000000"/>
          <w:sz w:val="20"/>
          <w:szCs w:val="20"/>
        </w:rPr>
        <w:t xml:space="preserve">81 obavijest </w:t>
      </w:r>
      <w:r>
        <w:rPr>
          <w:rFonts w:ascii="TrebuchetMS" w:hAnsi="TrebuchetMS" w:cs="TrebuchetMS"/>
          <w:color w:val="000000"/>
          <w:sz w:val="20"/>
          <w:szCs w:val="20"/>
        </w:rPr>
        <w:t>u sustavu RAPEX odnosila se na vatromet tijekom zadnje tri godine te je prethodna aktivnost nadzora tržišta koja je pokrenuta kao dio zajedničke akcije 2011. godine otkrila značajan broj neusklađenih proizvoda: za 48% uzoraka bilo je utvrđeno da ne udovoljavaju tehničkim sigurnosnim normama ili normama označavanja. Cilj ovogodišnje zajedničke akcije je prikupiti i testirati 190 artikala u dva kruga – prije Nove godine 2016. i prije Nove godine 2017. – djelomično u suradnji s mušterijama. Također se planira provjeriti i e-prodaja vatrometa.</w:t>
      </w:r>
    </w:p>
    <w:p w:rsidR="00845AC4" w:rsidRDefault="00845AC4" w:rsidP="006E51A5">
      <w:pPr>
        <w:autoSpaceDE w:val="0"/>
        <w:autoSpaceDN w:val="0"/>
        <w:adjustRightInd w:val="0"/>
        <w:spacing w:after="0" w:line="240" w:lineRule="auto"/>
        <w:ind w:firstLine="708"/>
        <w:jc w:val="both"/>
        <w:rPr>
          <w:rFonts w:ascii="SymbolMT" w:eastAsia="SymbolMT" w:hAnsi="TrebuchetMS-Bold"/>
          <w:color w:val="000000"/>
          <w:sz w:val="20"/>
          <w:szCs w:val="20"/>
        </w:rPr>
      </w:pP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A3297"/>
          <w:sz w:val="20"/>
          <w:szCs w:val="20"/>
        </w:rPr>
        <w:t xml:space="preserve">Električni alat </w:t>
      </w:r>
    </w:p>
    <w:p w:rsidR="00845AC4" w:rsidRDefault="00845AC4" w:rsidP="006E51A5">
      <w:pPr>
        <w:autoSpaceDE w:val="0"/>
        <w:autoSpaceDN w:val="0"/>
        <w:adjustRightInd w:val="0"/>
        <w:spacing w:after="0" w:line="240" w:lineRule="auto"/>
        <w:ind w:firstLine="708"/>
        <w:jc w:val="both"/>
        <w:rPr>
          <w:rFonts w:ascii="TrebuchetMS" w:hAnsi="TrebuchetMS" w:cs="TrebuchetMS"/>
          <w:color w:val="0A3297"/>
          <w:sz w:val="20"/>
          <w:szCs w:val="20"/>
        </w:rPr>
      </w:pPr>
    </w:p>
    <w:p w:rsidR="00845AC4" w:rsidRDefault="00845AC4" w:rsidP="0032439B">
      <w:pPr>
        <w:autoSpaceDE w:val="0"/>
        <w:autoSpaceDN w:val="0"/>
        <w:adjustRightInd w:val="0"/>
        <w:spacing w:after="0" w:line="240" w:lineRule="auto"/>
        <w:ind w:left="708"/>
        <w:jc w:val="both"/>
        <w:rPr>
          <w:rFonts w:ascii="TrebuchetMS" w:hAnsi="TrebuchetMS" w:cs="TrebuchetMS"/>
          <w:color w:val="000000"/>
          <w:sz w:val="20"/>
          <w:szCs w:val="20"/>
        </w:rPr>
      </w:pPr>
      <w:r>
        <w:rPr>
          <w:rFonts w:ascii="TrebuchetMS" w:hAnsi="TrebuchetMS" w:cs="TrebuchetMS"/>
          <w:color w:val="000000"/>
          <w:sz w:val="20"/>
          <w:szCs w:val="20"/>
        </w:rPr>
        <w:t xml:space="preserve">Ova grupa proizvoda obuhvaća nekoliko podskupina, na primjer bušilice, različite vrste pila, brusilice, škare, sjekače, čekiće, trimere, odvijače, udarne ključeve i drugo. Glavne opasnosti povezane s električnim alatom su posjekotine, strujni udari, opekotine, leteće čestice, zapetljavanje odjeće, uganuća i iščašenja, buka i vibracije. </w:t>
      </w:r>
      <w:r w:rsidRPr="00156D7A">
        <w:rPr>
          <w:rFonts w:ascii="TrebuchetMS" w:hAnsi="TrebuchetMS" w:cs="TrebuchetMS"/>
          <w:color w:val="000000"/>
          <w:sz w:val="20"/>
          <w:szCs w:val="20"/>
        </w:rPr>
        <w:t xml:space="preserve">U sustavu RAPEX zabilježen je značajan broj obavijesti </w:t>
      </w:r>
      <w:r>
        <w:rPr>
          <w:rFonts w:ascii="TrebuchetMS" w:hAnsi="TrebuchetMS" w:cs="TrebuchetMS"/>
          <w:color w:val="000000"/>
          <w:sz w:val="20"/>
          <w:szCs w:val="20"/>
        </w:rPr>
        <w:t xml:space="preserve">tijekom zadnjih pet godina. Aktivnost će biti usmjerena na </w:t>
      </w:r>
      <w:r w:rsidRPr="00156D7A">
        <w:rPr>
          <w:rFonts w:ascii="TrebuchetMS" w:hAnsi="TrebuchetMS" w:cs="TrebuchetMS"/>
          <w:color w:val="000000"/>
          <w:sz w:val="20"/>
          <w:szCs w:val="20"/>
        </w:rPr>
        <w:t>ručno-držane</w:t>
      </w:r>
      <w:r>
        <w:rPr>
          <w:rFonts w:ascii="TrebuchetMS" w:hAnsi="TrebuchetMS" w:cs="TrebuchetMS"/>
          <w:color w:val="000000"/>
          <w:sz w:val="20"/>
          <w:szCs w:val="20"/>
        </w:rPr>
        <w:t xml:space="preserve"> (prijenosne)</w:t>
      </w:r>
      <w:r w:rsidRPr="00156D7A">
        <w:rPr>
          <w:rFonts w:ascii="TrebuchetMS" w:hAnsi="TrebuchetMS" w:cs="TrebuchetMS"/>
          <w:color w:val="000000"/>
          <w:sz w:val="20"/>
          <w:szCs w:val="20"/>
        </w:rPr>
        <w:t xml:space="preserve"> </w:t>
      </w:r>
      <w:r>
        <w:rPr>
          <w:rFonts w:ascii="TrebuchetMS" w:hAnsi="TrebuchetMS" w:cs="TrebuchetMS"/>
          <w:color w:val="000000"/>
          <w:sz w:val="20"/>
          <w:szCs w:val="20"/>
        </w:rPr>
        <w:t>alate na struju, a koji su dostupni u „uradi sam“ trgovinama. Ova će aktivnost također pokrenuti postupak određivanja prioriteta koji može usmjeravati daljnje aktivnosti unutar ove skupine proizvoda.</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4970C0">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PROSAFE, Avenue des Arts / Kunstlaan 41, B-1040, Brussels, Belgium.</w:t>
      </w:r>
    </w:p>
    <w:p w:rsidR="00845AC4" w:rsidRDefault="00845AC4" w:rsidP="004970C0">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Telefon: +32 (2) 8080 996 i 997, E-pošta: info@prosafe.org</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A76B4">
      <w:pPr>
        <w:autoSpaceDE w:val="0"/>
        <w:autoSpaceDN w:val="0"/>
        <w:adjustRightInd w:val="0"/>
        <w:spacing w:after="0" w:line="240" w:lineRule="auto"/>
        <w:jc w:val="center"/>
        <w:rPr>
          <w:rFonts w:ascii="TrebuchetMS" w:hAnsi="TrebuchetMS" w:cs="TrebuchetMS"/>
          <w:color w:val="000000"/>
          <w:sz w:val="20"/>
          <w:szCs w:val="20"/>
        </w:rPr>
      </w:pPr>
      <w:r w:rsidRPr="004A30BA">
        <w:rPr>
          <w:rFonts w:ascii="TrebuchetMS" w:hAnsi="TrebuchetMS" w:cs="TrebuchetMS"/>
          <w:noProof/>
          <w:color w:val="000000"/>
          <w:sz w:val="20"/>
          <w:szCs w:val="20"/>
          <w:lang w:eastAsia="hr-HR"/>
        </w:rPr>
        <w:pict>
          <v:shape id="Picture 2" o:spid="_x0000_i1027" type="#_x0000_t75" style="width:191.25pt;height:135pt;visibility:visible">
            <v:imagedata r:id="rId9" o:title=""/>
          </v:shape>
        </w:pict>
      </w:r>
    </w:p>
    <w:p w:rsidR="00845AC4" w:rsidRDefault="00845AC4" w:rsidP="001125FB">
      <w:pPr>
        <w:autoSpaceDE w:val="0"/>
        <w:autoSpaceDN w:val="0"/>
        <w:adjustRightInd w:val="0"/>
        <w:spacing w:after="0" w:line="240" w:lineRule="auto"/>
        <w:jc w:val="center"/>
        <w:rPr>
          <w:rFonts w:ascii="TrebuchetMS-Italic" w:hAnsi="TrebuchetMS-Italic" w:cs="TrebuchetMS-Italic"/>
          <w:i/>
          <w:iCs/>
          <w:color w:val="000000"/>
          <w:sz w:val="20"/>
          <w:szCs w:val="20"/>
        </w:rPr>
      </w:pPr>
      <w:r>
        <w:rPr>
          <w:rFonts w:ascii="TrebuchetMS-Italic" w:hAnsi="TrebuchetMS-Italic" w:cs="TrebuchetMS-Italic"/>
          <w:i/>
          <w:iCs/>
          <w:color w:val="000000"/>
          <w:sz w:val="20"/>
          <w:szCs w:val="20"/>
        </w:rPr>
        <w:t>Glavna direktorica</w:t>
      </w:r>
      <w:bookmarkStart w:id="0" w:name="_GoBack"/>
      <w:bookmarkEnd w:id="0"/>
      <w:r>
        <w:rPr>
          <w:rFonts w:ascii="TrebuchetMS-Italic" w:hAnsi="TrebuchetMS-Italic" w:cs="TrebuchetMS-Italic"/>
          <w:i/>
          <w:iCs/>
          <w:color w:val="000000"/>
          <w:sz w:val="20"/>
          <w:szCs w:val="20"/>
        </w:rPr>
        <w:t xml:space="preserve"> za potrošačku politiku, DG JUST, Despina Spanou</w:t>
      </w:r>
    </w:p>
    <w:p w:rsidR="00845AC4" w:rsidRDefault="00845AC4" w:rsidP="001125FB">
      <w:pPr>
        <w:autoSpaceDE w:val="0"/>
        <w:autoSpaceDN w:val="0"/>
        <w:adjustRightInd w:val="0"/>
        <w:spacing w:after="0" w:line="240" w:lineRule="auto"/>
        <w:jc w:val="center"/>
        <w:rPr>
          <w:rFonts w:ascii="TrebuchetMS-Italic" w:hAnsi="TrebuchetMS-Italic" w:cs="TrebuchetMS-Italic"/>
          <w:i/>
          <w:iCs/>
          <w:color w:val="000000"/>
          <w:sz w:val="20"/>
          <w:szCs w:val="20"/>
        </w:rPr>
      </w:pPr>
      <w:r>
        <w:rPr>
          <w:rFonts w:ascii="TrebuchetMS-Italic" w:hAnsi="TrebuchetMS-Italic" w:cs="TrebuchetMS-Italic"/>
          <w:i/>
          <w:iCs/>
          <w:color w:val="000000"/>
          <w:sz w:val="20"/>
          <w:szCs w:val="20"/>
        </w:rPr>
        <w:t xml:space="preserve">i direktor </w:t>
      </w:r>
      <w:r w:rsidRPr="00687061">
        <w:rPr>
          <w:rFonts w:ascii="TrebuchetMS-Italic" w:hAnsi="TrebuchetMS-Italic" w:cs="TrebuchetMS-Italic"/>
          <w:i/>
          <w:iCs/>
          <w:color w:val="000000"/>
          <w:sz w:val="20"/>
          <w:szCs w:val="20"/>
        </w:rPr>
        <w:t>PROSAFE</w:t>
      </w:r>
      <w:r>
        <w:rPr>
          <w:rFonts w:ascii="TrebuchetMS-Italic" w:hAnsi="TrebuchetMS-Italic" w:cs="TrebuchetMS-Italic"/>
          <w:i/>
          <w:iCs/>
          <w:color w:val="000000"/>
          <w:sz w:val="20"/>
          <w:szCs w:val="20"/>
        </w:rPr>
        <w:t>-a Jan Deconinck tijekom pokretanja akcije „JA2014“</w:t>
      </w:r>
    </w:p>
    <w:p w:rsidR="00845AC4" w:rsidRDefault="00845AC4" w:rsidP="00052F4B">
      <w:pPr>
        <w:autoSpaceDE w:val="0"/>
        <w:autoSpaceDN w:val="0"/>
        <w:adjustRightInd w:val="0"/>
        <w:spacing w:after="0" w:line="240" w:lineRule="auto"/>
        <w:jc w:val="both"/>
        <w:rPr>
          <w:rFonts w:ascii="TrebuchetMS" w:hAnsi="TrebuchetMS" w:cs="TrebuchetMS"/>
          <w:color w:val="0A3297"/>
          <w:sz w:val="18"/>
          <w:szCs w:val="18"/>
        </w:rPr>
      </w:pPr>
    </w:p>
    <w:p w:rsidR="00845AC4" w:rsidRDefault="00845AC4" w:rsidP="00052F4B">
      <w:pPr>
        <w:autoSpaceDE w:val="0"/>
        <w:autoSpaceDN w:val="0"/>
        <w:adjustRightInd w:val="0"/>
        <w:spacing w:after="0" w:line="240" w:lineRule="auto"/>
        <w:jc w:val="both"/>
        <w:rPr>
          <w:rFonts w:ascii="TrebuchetMS" w:hAnsi="TrebuchetMS" w:cs="TrebuchetMS"/>
          <w:color w:val="0A3297"/>
          <w:sz w:val="18"/>
          <w:szCs w:val="18"/>
        </w:rPr>
      </w:pP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Uz pet aktivnosti usmjerenih na navedene proizvode, zajednička akcija uključuje brojne aktivnosti za razvoj metoda koje su usmjerene na daljnji razvoj najbolje prakse koju su države članice već uspostavile pod krovnom organizacijom PROSAFE. One se odnose na:</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00000"/>
          <w:sz w:val="20"/>
          <w:szCs w:val="20"/>
        </w:rPr>
        <w:t xml:space="preserve">procjenu rizika od opasnih proizvoda </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00000"/>
          <w:sz w:val="20"/>
          <w:szCs w:val="20"/>
        </w:rPr>
        <w:t>izradu materijala za sustav e-učenja za službenike koji rade u nadzoru tržišta diljem Europe</w:t>
      </w:r>
    </w:p>
    <w:p w:rsidR="00845AC4" w:rsidRDefault="00845AC4" w:rsidP="00286387">
      <w:pPr>
        <w:autoSpaceDE w:val="0"/>
        <w:autoSpaceDN w:val="0"/>
        <w:adjustRightInd w:val="0"/>
        <w:spacing w:after="0" w:line="240" w:lineRule="auto"/>
        <w:jc w:val="both"/>
        <w:rPr>
          <w:rFonts w:ascii="TrebuchetMS" w:hAnsi="TrebuchetMS" w:cs="TrebuchetMS"/>
          <w:color w:val="000000"/>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00000"/>
          <w:sz w:val="20"/>
          <w:szCs w:val="20"/>
        </w:rPr>
        <w:t>stalno unapređivanje nadzora tržišta uzajamnim provođenjem procjena između tijela nadležnih za nadzor tržišta diljem zemalja EU-a i EFTA-e</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Arial Unicode MS" w:eastAsia="Arial Unicode MS" w:hAnsi="Arial Unicode MS" w:cs="Arial Unicode MS" w:hint="eastAsia"/>
          <w:color w:val="000000"/>
          <w:sz w:val="20"/>
          <w:szCs w:val="20"/>
        </w:rPr>
        <w:t></w:t>
      </w:r>
      <w:r>
        <w:rPr>
          <w:rFonts w:ascii="SymbolMT" w:eastAsia="SymbolMT" w:hAnsi="TrebuchetMS-Bold" w:cs="SymbolMT"/>
          <w:color w:val="000000"/>
          <w:sz w:val="20"/>
          <w:szCs w:val="20"/>
        </w:rPr>
        <w:t xml:space="preserve"> </w:t>
      </w:r>
      <w:r>
        <w:rPr>
          <w:rFonts w:ascii="TrebuchetMS" w:hAnsi="TrebuchetMS" w:cs="TrebuchetMS"/>
          <w:color w:val="000000"/>
          <w:sz w:val="20"/>
          <w:szCs w:val="20"/>
        </w:rPr>
        <w:t>razvoj veza između tijela nadležnih za nadzor tržišta i carine, država proizvođača i nadležnih tijela prekomorskih zemalja.</w:t>
      </w: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0"/>
          <w:szCs w:val="20"/>
        </w:rPr>
      </w:pP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0"/>
          <w:szCs w:val="20"/>
        </w:rPr>
      </w:pPr>
      <w:r>
        <w:rPr>
          <w:rFonts w:ascii="TrebuchetMS-Bold" w:hAnsi="TrebuchetMS-Bold" w:cs="TrebuchetMS-Bold"/>
          <w:b/>
          <w:bCs/>
          <w:color w:val="000000"/>
          <w:sz w:val="20"/>
          <w:szCs w:val="20"/>
        </w:rPr>
        <w:t>Osoba za kontakt:</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Voditelj projekta: g. Jan Deconinck</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E-pošta: info@prosafe.org</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Telefon: +32 (2) 8080 996 or 997</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0"/>
          <w:szCs w:val="20"/>
        </w:rPr>
      </w:pPr>
      <w:r>
        <w:rPr>
          <w:rFonts w:ascii="TrebuchetMS-Bold" w:hAnsi="TrebuchetMS-Bold" w:cs="TrebuchetMS-Bold"/>
          <w:b/>
          <w:bCs/>
          <w:color w:val="000000"/>
          <w:sz w:val="20"/>
          <w:szCs w:val="20"/>
        </w:rPr>
        <w:t xml:space="preserve">Opće informacije </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Ovu obavijest izdaje PROSAFE i 35 nadležnih tijela koja sudjeluju u zajedničkoj akciji o nadzoru tržišta i sigurnosti proizvoda – „JA2014“.</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 xml:space="preserve">Spomenutu akciju koordinira PROSAFE (engl. </w:t>
      </w:r>
      <w:r w:rsidRPr="00826946">
        <w:rPr>
          <w:rFonts w:ascii="TrebuchetMS" w:hAnsi="TrebuchetMS" w:cs="TrebuchetMS"/>
          <w:i/>
          <w:iCs/>
          <w:color w:val="000000"/>
          <w:sz w:val="20"/>
          <w:szCs w:val="20"/>
        </w:rPr>
        <w:t>Product Safety</w:t>
      </w:r>
      <w:r>
        <w:rPr>
          <w:rFonts w:ascii="TrebuchetMS" w:hAnsi="TrebuchetMS" w:cs="TrebuchetMS"/>
          <w:color w:val="000000"/>
          <w:sz w:val="20"/>
          <w:szCs w:val="20"/>
        </w:rPr>
        <w:t xml:space="preserve"> – Sigurnost proizvoda), neprofitna organizacija koja okuplja službenike za nadzor tržišta iz cijele Europe i cijelog svijeta.</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 xml:space="preserve">Više informacija potražite na mrežnoj stranici </w:t>
      </w:r>
      <w:hyperlink r:id="rId10" w:history="1">
        <w:r w:rsidRPr="00AF339C">
          <w:rPr>
            <w:rStyle w:val="Hyperlink"/>
            <w:rFonts w:ascii="TrebuchetMS" w:hAnsi="TrebuchetMS" w:cs="TrebuchetMS"/>
            <w:sz w:val="20"/>
            <w:szCs w:val="20"/>
          </w:rPr>
          <w:t>www.prosafe.org</w:t>
        </w:r>
      </w:hyperlink>
      <w:r w:rsidRPr="00826946">
        <w:rPr>
          <w:rFonts w:ascii="TrebuchetMS" w:hAnsi="TrebuchetMS" w:cs="TrebuchetMS"/>
          <w:color w:val="000000"/>
          <w:sz w:val="20"/>
          <w:szCs w:val="20"/>
        </w:rPr>
        <w:t>.</w:t>
      </w:r>
      <w:r>
        <w:rPr>
          <w:rFonts w:ascii="TrebuchetMS" w:hAnsi="TrebuchetMS" w:cs="TrebuchetMS"/>
          <w:color w:val="000000"/>
          <w:sz w:val="20"/>
          <w:szCs w:val="20"/>
        </w:rPr>
        <w:t xml:space="preserve"> </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Na spomenutoj stranici možete pronaći i informacije o zajedničkoj akciji iz 2013.godine te o ostalim zajedničkim akcijama koje je koordinirao PROSAFE. Pretražite poveznice na „Projekti“ u lijevoj koloni.</w:t>
      </w: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0"/>
          <w:szCs w:val="20"/>
        </w:rPr>
      </w:pPr>
    </w:p>
    <w:p w:rsidR="00845AC4" w:rsidRDefault="00845AC4" w:rsidP="00052F4B">
      <w:pPr>
        <w:autoSpaceDE w:val="0"/>
        <w:autoSpaceDN w:val="0"/>
        <w:adjustRightInd w:val="0"/>
        <w:spacing w:after="0" w:line="240" w:lineRule="auto"/>
        <w:jc w:val="both"/>
        <w:rPr>
          <w:rFonts w:ascii="TrebuchetMS-Bold" w:hAnsi="TrebuchetMS-Bold" w:cs="TrebuchetMS-Bold"/>
          <w:b/>
          <w:bCs/>
          <w:color w:val="000000"/>
          <w:sz w:val="20"/>
          <w:szCs w:val="20"/>
        </w:rPr>
      </w:pPr>
      <w:r>
        <w:rPr>
          <w:rFonts w:ascii="TrebuchetMS-Bold" w:hAnsi="TrebuchetMS-Bold" w:cs="TrebuchetMS-Bold"/>
          <w:b/>
          <w:bCs/>
          <w:color w:val="000000"/>
          <w:sz w:val="20"/>
          <w:szCs w:val="20"/>
        </w:rPr>
        <w:t>Izjava o odricanju odgovornosti</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Predmetni bilten PROSAFE-a proizlazi iz zajedničke akcije o nadzoru tržišta i sigurnosti proizvoda –</w:t>
      </w:r>
    </w:p>
    <w:p w:rsidR="00845AC4" w:rsidRDefault="00845AC4" w:rsidP="00052F4B">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„JA2014“, koja se financira sredstvima Europske unije u okviru „Programa aktivnosti Zajednice u području potrošačke politike (2014-2020)“.</w:t>
      </w: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r>
        <w:rPr>
          <w:rFonts w:ascii="TrebuchetMS" w:hAnsi="TrebuchetMS" w:cs="TrebuchetMS"/>
          <w:color w:val="000000"/>
          <w:sz w:val="20"/>
          <w:szCs w:val="20"/>
        </w:rPr>
        <w:t xml:space="preserve">Bilten isključivo odražava stajalište autora. </w:t>
      </w:r>
      <w:r>
        <w:rPr>
          <w:rFonts w:ascii="TrebuchetMS-Italic" w:hAnsi="TrebuchetMS-Italic" w:cs="TrebuchetMS-Italic"/>
          <w:i/>
          <w:iCs/>
          <w:color w:val="000000"/>
          <w:sz w:val="20"/>
          <w:szCs w:val="20"/>
        </w:rPr>
        <w:t xml:space="preserve">Izvršna agencija za potrošače, zdravlje i hranu (engl. Chafea) </w:t>
      </w:r>
      <w:r>
        <w:rPr>
          <w:rFonts w:ascii="TrebuchetMS-Italic" w:hAnsi="TrebuchetMS-Italic" w:cs="TrebuchetMS-Italic"/>
          <w:color w:val="000000"/>
          <w:sz w:val="20"/>
          <w:szCs w:val="20"/>
        </w:rPr>
        <w:t>nije odgovorna za daljnje korištenje u njemu sadržanih informacija</w:t>
      </w:r>
      <w:r>
        <w:rPr>
          <w:rFonts w:ascii="TrebuchetMS" w:hAnsi="TrebuchetMS" w:cs="TrebuchetMS"/>
          <w:color w:val="000000"/>
          <w:sz w:val="20"/>
          <w:szCs w:val="20"/>
        </w:rPr>
        <w:t>.</w:t>
      </w: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0B7622">
      <w:pPr>
        <w:autoSpaceDE w:val="0"/>
        <w:autoSpaceDN w:val="0"/>
        <w:adjustRightInd w:val="0"/>
        <w:spacing w:after="0" w:line="240" w:lineRule="auto"/>
        <w:jc w:val="both"/>
        <w:rPr>
          <w:rFonts w:ascii="TrebuchetMS" w:hAnsi="TrebuchetMS" w:cs="TrebuchetMS"/>
          <w:color w:val="000000"/>
          <w:sz w:val="20"/>
          <w:szCs w:val="20"/>
        </w:rPr>
      </w:pPr>
    </w:p>
    <w:p w:rsidR="00845AC4" w:rsidRDefault="00845AC4" w:rsidP="004970C0">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PROSAFE, Avenue des Arts / Kunstlaan 41, B-1040, Brussels, Belgium.</w:t>
      </w:r>
    </w:p>
    <w:p w:rsidR="00845AC4" w:rsidRPr="004970C0" w:rsidRDefault="00845AC4" w:rsidP="004970C0">
      <w:pPr>
        <w:autoSpaceDE w:val="0"/>
        <w:autoSpaceDN w:val="0"/>
        <w:adjustRightInd w:val="0"/>
        <w:spacing w:after="0" w:line="240" w:lineRule="auto"/>
        <w:jc w:val="center"/>
        <w:rPr>
          <w:rFonts w:ascii="TrebuchetMS" w:hAnsi="TrebuchetMS" w:cs="TrebuchetMS"/>
          <w:color w:val="0A3297"/>
          <w:sz w:val="18"/>
          <w:szCs w:val="18"/>
        </w:rPr>
      </w:pPr>
      <w:r>
        <w:rPr>
          <w:rFonts w:ascii="TrebuchetMS" w:hAnsi="TrebuchetMS" w:cs="TrebuchetMS"/>
          <w:color w:val="0A3297"/>
          <w:sz w:val="18"/>
          <w:szCs w:val="18"/>
        </w:rPr>
        <w:t>Telefon: +32 (2) 8080 996 i 997, E-pošta: info@prosafe.org</w:t>
      </w:r>
    </w:p>
    <w:p w:rsidR="00845AC4" w:rsidRDefault="00845AC4" w:rsidP="00052F4B">
      <w:pPr>
        <w:jc w:val="both"/>
      </w:pPr>
    </w:p>
    <w:sectPr w:rsidR="00845AC4" w:rsidSect="00A105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C4" w:rsidRDefault="00845AC4" w:rsidP="00AB43BB">
      <w:pPr>
        <w:spacing w:after="0" w:line="240" w:lineRule="auto"/>
      </w:pPr>
      <w:r>
        <w:separator/>
      </w:r>
    </w:p>
  </w:endnote>
  <w:endnote w:type="continuationSeparator" w:id="0">
    <w:p w:rsidR="00845AC4" w:rsidRDefault="00845AC4" w:rsidP="00AB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rebuchetMS-Bold">
    <w:altName w:val="Times New Roman"/>
    <w:panose1 w:val="00000000000000000000"/>
    <w:charset w:val="00"/>
    <w:family w:val="roman"/>
    <w:notTrueType/>
    <w:pitch w:val="default"/>
    <w:sig w:usb0="00000003" w:usb1="00000000" w:usb2="00000000" w:usb3="00000000" w:csb0="00000001" w:csb1="00000000"/>
  </w:font>
  <w:font w:name="TrebuchetMS">
    <w:altName w:val="Times New Roman"/>
    <w:panose1 w:val="00000000000000000000"/>
    <w:charset w:val="00"/>
    <w:family w:val="roman"/>
    <w:notTrueType/>
    <w:pitch w:val="default"/>
    <w:sig w:usb0="00000003" w:usb1="00000000" w:usb2="00000000" w:usb3="00000000" w:csb0="00000001" w:csb1="00000000"/>
  </w:font>
  <w:font w:name="Trebuchet-Bold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rebuchetMS-Italic">
    <w:altName w:val="Times New Roman"/>
    <w:panose1 w:val="00000000000000000000"/>
    <w:charset w:val="00"/>
    <w:family w:val="roman"/>
    <w:notTrueType/>
    <w:pitch w:val="default"/>
    <w:sig w:usb0="00000003" w:usb1="00000000" w:usb2="00000000" w:usb3="00000000" w:csb0="00000001" w:csb1="00000000"/>
  </w:font>
  <w:font w:name="CourierNewPSMT">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C4" w:rsidRDefault="00845AC4" w:rsidP="00AB43BB">
      <w:pPr>
        <w:spacing w:after="0" w:line="240" w:lineRule="auto"/>
      </w:pPr>
      <w:r>
        <w:separator/>
      </w:r>
    </w:p>
  </w:footnote>
  <w:footnote w:type="continuationSeparator" w:id="0">
    <w:p w:rsidR="00845AC4" w:rsidRDefault="00845AC4" w:rsidP="00AB43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FE0"/>
    <w:rsid w:val="00000375"/>
    <w:rsid w:val="0000490D"/>
    <w:rsid w:val="00010652"/>
    <w:rsid w:val="00052F4B"/>
    <w:rsid w:val="000A76B4"/>
    <w:rsid w:val="000B2FD8"/>
    <w:rsid w:val="000B7622"/>
    <w:rsid w:val="001125FB"/>
    <w:rsid w:val="00133595"/>
    <w:rsid w:val="00140B3E"/>
    <w:rsid w:val="00156D7A"/>
    <w:rsid w:val="00170947"/>
    <w:rsid w:val="001A1E13"/>
    <w:rsid w:val="001B4589"/>
    <w:rsid w:val="001B6108"/>
    <w:rsid w:val="001F46BB"/>
    <w:rsid w:val="002230DA"/>
    <w:rsid w:val="00227C16"/>
    <w:rsid w:val="002325D3"/>
    <w:rsid w:val="002548B3"/>
    <w:rsid w:val="00286387"/>
    <w:rsid w:val="00296FF4"/>
    <w:rsid w:val="002C2CA7"/>
    <w:rsid w:val="002E106F"/>
    <w:rsid w:val="0031218B"/>
    <w:rsid w:val="00323A96"/>
    <w:rsid w:val="0032439B"/>
    <w:rsid w:val="003458F7"/>
    <w:rsid w:val="00392288"/>
    <w:rsid w:val="003A4053"/>
    <w:rsid w:val="003A7557"/>
    <w:rsid w:val="003F337C"/>
    <w:rsid w:val="003F34D8"/>
    <w:rsid w:val="004320DE"/>
    <w:rsid w:val="00466A3F"/>
    <w:rsid w:val="00491C84"/>
    <w:rsid w:val="004970C0"/>
    <w:rsid w:val="004A30BA"/>
    <w:rsid w:val="004A7BA2"/>
    <w:rsid w:val="004B0339"/>
    <w:rsid w:val="004C1596"/>
    <w:rsid w:val="004C3631"/>
    <w:rsid w:val="004C454B"/>
    <w:rsid w:val="005103EC"/>
    <w:rsid w:val="005220DD"/>
    <w:rsid w:val="00523A9E"/>
    <w:rsid w:val="0054321A"/>
    <w:rsid w:val="005824CD"/>
    <w:rsid w:val="00597B57"/>
    <w:rsid w:val="005A0318"/>
    <w:rsid w:val="005C16D8"/>
    <w:rsid w:val="005E51A1"/>
    <w:rsid w:val="006276AF"/>
    <w:rsid w:val="006643CC"/>
    <w:rsid w:val="00687061"/>
    <w:rsid w:val="00695D81"/>
    <w:rsid w:val="006976E8"/>
    <w:rsid w:val="006A5FE0"/>
    <w:rsid w:val="006B0CC2"/>
    <w:rsid w:val="006E51A5"/>
    <w:rsid w:val="006F0885"/>
    <w:rsid w:val="006F2FE0"/>
    <w:rsid w:val="007506E3"/>
    <w:rsid w:val="00750D26"/>
    <w:rsid w:val="0076515A"/>
    <w:rsid w:val="007C442F"/>
    <w:rsid w:val="007F5E34"/>
    <w:rsid w:val="007F63C4"/>
    <w:rsid w:val="00801BD9"/>
    <w:rsid w:val="008232A2"/>
    <w:rsid w:val="00826946"/>
    <w:rsid w:val="00845AC4"/>
    <w:rsid w:val="008606DA"/>
    <w:rsid w:val="0086161C"/>
    <w:rsid w:val="008900DF"/>
    <w:rsid w:val="008C6E40"/>
    <w:rsid w:val="00932F0A"/>
    <w:rsid w:val="00945600"/>
    <w:rsid w:val="009702E9"/>
    <w:rsid w:val="0097713B"/>
    <w:rsid w:val="00981B41"/>
    <w:rsid w:val="009A1BE5"/>
    <w:rsid w:val="009A2DF0"/>
    <w:rsid w:val="009D758B"/>
    <w:rsid w:val="009E2479"/>
    <w:rsid w:val="00A105EF"/>
    <w:rsid w:val="00A32196"/>
    <w:rsid w:val="00A52E1F"/>
    <w:rsid w:val="00AB43BB"/>
    <w:rsid w:val="00AC5D7F"/>
    <w:rsid w:val="00AF339C"/>
    <w:rsid w:val="00AF562A"/>
    <w:rsid w:val="00B27707"/>
    <w:rsid w:val="00BB2F40"/>
    <w:rsid w:val="00C41A44"/>
    <w:rsid w:val="00C50A34"/>
    <w:rsid w:val="00C818D7"/>
    <w:rsid w:val="00C95E0B"/>
    <w:rsid w:val="00CA1BDA"/>
    <w:rsid w:val="00CB128E"/>
    <w:rsid w:val="00CD0871"/>
    <w:rsid w:val="00DC331B"/>
    <w:rsid w:val="00DD44D5"/>
    <w:rsid w:val="00E23C5F"/>
    <w:rsid w:val="00EB2D4D"/>
    <w:rsid w:val="00ED03D4"/>
    <w:rsid w:val="00F22D07"/>
    <w:rsid w:val="00F62BF2"/>
    <w:rsid w:val="00F73D5E"/>
    <w:rsid w:val="00F87474"/>
    <w:rsid w:val="00F922EE"/>
    <w:rsid w:val="00FC4FD9"/>
    <w:rsid w:val="00FE127B"/>
    <w:rsid w:val="00FE3242"/>
    <w:rsid w:val="00FF6CE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CE9"/>
    <w:rPr>
      <w:rFonts w:ascii="Tahoma" w:hAnsi="Tahoma" w:cs="Tahoma"/>
      <w:sz w:val="16"/>
      <w:szCs w:val="16"/>
    </w:rPr>
  </w:style>
  <w:style w:type="paragraph" w:styleId="EndnoteText">
    <w:name w:val="endnote text"/>
    <w:basedOn w:val="Normal"/>
    <w:link w:val="EndnoteTextChar"/>
    <w:uiPriority w:val="99"/>
    <w:semiHidden/>
    <w:rsid w:val="00AB43B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B43BB"/>
    <w:rPr>
      <w:sz w:val="20"/>
      <w:szCs w:val="20"/>
    </w:rPr>
  </w:style>
  <w:style w:type="character" w:styleId="EndnoteReference">
    <w:name w:val="endnote reference"/>
    <w:basedOn w:val="DefaultParagraphFont"/>
    <w:uiPriority w:val="99"/>
    <w:semiHidden/>
    <w:rsid w:val="00AB43BB"/>
    <w:rPr>
      <w:vertAlign w:val="superscript"/>
    </w:rPr>
  </w:style>
  <w:style w:type="character" w:styleId="Hyperlink">
    <w:name w:val="Hyperlink"/>
    <w:basedOn w:val="DefaultParagraphFont"/>
    <w:uiPriority w:val="99"/>
    <w:rsid w:val="00AB43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osafe.org"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osafe.org" TargetMode="Externa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1179</Words>
  <Characters>6721</Characters>
  <Application>Microsoft Office Outlook</Application>
  <DocSecurity>0</DocSecurity>
  <Lines>0</Lines>
  <Paragraphs>0</Paragraphs>
  <ScaleCrop>false</ScaleCrop>
  <Company>MINGO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 - TDU</dc:creator>
  <cp:keywords/>
  <dc:description/>
  <cp:lastModifiedBy>RH - TDU</cp:lastModifiedBy>
  <cp:revision>2</cp:revision>
  <dcterms:created xsi:type="dcterms:W3CDTF">2015-07-10T06:30:00Z</dcterms:created>
  <dcterms:modified xsi:type="dcterms:W3CDTF">2015-07-10T06:30:00Z</dcterms:modified>
</cp:coreProperties>
</file>