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2259"/>
        <w:gridCol w:w="3339"/>
      </w:tblGrid>
      <w:tr w:rsidR="00DC5401" w:rsidRPr="007D4603" w:rsidTr="009C44BC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OBRAZAC</w:t>
            </w:r>
          </w:p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Naslov dokumenta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DA1CD7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 xml:space="preserve">Izvješće o provedenom savjetovanju sa zainteresiranom javnošću o </w:t>
            </w:r>
            <w:r w:rsidR="00404D79" w:rsidRPr="00404D79">
              <w:rPr>
                <w:rFonts w:ascii="Arial" w:eastAsia="Simsun (Founder Extended)" w:hAnsi="Arial" w:cs="Arial"/>
              </w:rPr>
              <w:t>Odlu</w:t>
            </w:r>
            <w:r w:rsidR="00404D79">
              <w:rPr>
                <w:rFonts w:ascii="Arial" w:eastAsia="Simsun (Founder Extended)" w:hAnsi="Arial" w:cs="Arial"/>
              </w:rPr>
              <w:t>ci</w:t>
            </w:r>
            <w:r w:rsidR="00404D79" w:rsidRPr="00404D79">
              <w:rPr>
                <w:rFonts w:ascii="Arial" w:eastAsia="Simsun (Founder Extended)" w:hAnsi="Arial" w:cs="Arial"/>
              </w:rPr>
              <w:t xml:space="preserve"> o izradi Okvirnog plana i programa istraživanja i eksploatacije ugljikovodika na </w:t>
            </w:r>
            <w:r w:rsidR="00DA1CD7">
              <w:rPr>
                <w:rFonts w:ascii="Arial" w:eastAsia="Simsun (Founder Extended)" w:hAnsi="Arial" w:cs="Arial"/>
              </w:rPr>
              <w:t>kopnu</w:t>
            </w:r>
            <w:r w:rsidR="00404D79" w:rsidRPr="00404D79">
              <w:rPr>
                <w:rFonts w:ascii="Arial" w:eastAsia="Simsun (Founder Extended)" w:hAnsi="Arial" w:cs="Arial"/>
              </w:rPr>
              <w:t xml:space="preserve"> i Odlu</w:t>
            </w:r>
            <w:r w:rsidR="00404D79">
              <w:rPr>
                <w:rFonts w:ascii="Arial" w:eastAsia="Simsun (Founder Extended)" w:hAnsi="Arial" w:cs="Arial"/>
              </w:rPr>
              <w:t>ci</w:t>
            </w:r>
            <w:r w:rsidR="00404D79" w:rsidRPr="00404D79">
              <w:rPr>
                <w:rFonts w:ascii="Arial" w:eastAsia="Simsun (Founder Extended)" w:hAnsi="Arial" w:cs="Arial"/>
              </w:rPr>
              <w:t xml:space="preserve"> o provođenju postupka strateške procjene utjecaja na okoliš Okvirnog plana i programa istraživanja i eksploatacije ugljikovodika na </w:t>
            </w:r>
            <w:r w:rsidR="00DA1CD7">
              <w:rPr>
                <w:rFonts w:ascii="Arial" w:eastAsia="Simsun (Founder Extended)" w:hAnsi="Arial" w:cs="Arial"/>
              </w:rPr>
              <w:t>kopnu</w:t>
            </w:r>
            <w:r w:rsidR="006975C3">
              <w:rPr>
                <w:rFonts w:ascii="Arial" w:eastAsia="Simsun (Founder Extended)" w:hAnsi="Arial" w:cs="Arial"/>
              </w:rPr>
              <w:t>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Stvaratelj dokumenta, tijelo koje provodi savjetovanje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</w:rPr>
              <w:t>gospodarstva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Svrha dokumenta</w:t>
            </w:r>
          </w:p>
        </w:tc>
        <w:tc>
          <w:tcPr>
            <w:tcW w:w="5598" w:type="dxa"/>
            <w:gridSpan w:val="2"/>
          </w:tcPr>
          <w:p w:rsidR="00DC5401" w:rsidRPr="00FA28B2" w:rsidRDefault="00404D79" w:rsidP="00DA1CD7">
            <w:pPr>
              <w:spacing w:after="120"/>
              <w:jc w:val="both"/>
              <w:rPr>
                <w:rFonts w:ascii="Arial" w:hAnsi="Arial" w:cs="Arial"/>
              </w:rPr>
            </w:pPr>
            <w:r w:rsidRPr="00404D79">
              <w:rPr>
                <w:rFonts w:ascii="Arial" w:eastAsia="Simsun (Founder Extended)" w:hAnsi="Arial" w:cs="Arial"/>
              </w:rPr>
              <w:t>Okvirni</w:t>
            </w:r>
            <w:r w:rsidRPr="00404D79">
              <w:rPr>
                <w:rFonts w:ascii="Arial" w:hAnsi="Arial" w:cs="Arial"/>
                <w:color w:val="000000"/>
              </w:rPr>
              <w:t xml:space="preserve"> plan i program izrađuje se u svrhu što točnijeg praćenja aktivnosti istraživanja i eksploatacije ugljikovodika na </w:t>
            </w:r>
            <w:r w:rsidR="00DA1CD7">
              <w:rPr>
                <w:rFonts w:ascii="Arial" w:hAnsi="Arial" w:cs="Arial"/>
                <w:color w:val="000000"/>
              </w:rPr>
              <w:t>kopnu</w:t>
            </w:r>
            <w:r w:rsidRPr="00404D79">
              <w:rPr>
                <w:rFonts w:ascii="Arial" w:hAnsi="Arial" w:cs="Arial"/>
                <w:color w:val="000000"/>
              </w:rPr>
              <w:t xml:space="preserve">, izdavanja dozvola, sklapanje ugovora, određivanje naknada, prekršajnih odredbi, te kvalitetnog uvida, praćenja i predviđanja stanja rezervi ugljikovodika </w:t>
            </w:r>
            <w:r w:rsidR="00DA1CD7">
              <w:rPr>
                <w:rFonts w:ascii="Arial" w:hAnsi="Arial" w:cs="Arial"/>
                <w:color w:val="000000"/>
              </w:rPr>
              <w:t>na kopnu</w:t>
            </w:r>
            <w:r w:rsidRPr="00404D79">
              <w:rPr>
                <w:rFonts w:ascii="Arial" w:hAnsi="Arial" w:cs="Arial"/>
                <w:color w:val="000000"/>
              </w:rPr>
              <w:t xml:space="preserve">, kako je to navedeno Zakonom o istraživanju i eksploataciji ugljikovodika. Ujedno je izvođenje Okvirnog plana i programa nužno za bolju učinkovitost i gospodarenje ugljikovodicima, kako je zajamčeno i Ustavom </w:t>
            </w:r>
            <w:r>
              <w:rPr>
                <w:rFonts w:ascii="Arial" w:hAnsi="Arial" w:cs="Arial"/>
                <w:color w:val="000000"/>
              </w:rPr>
              <w:t>Republike Hrvatske</w:t>
            </w:r>
            <w:r w:rsidRPr="00404D7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Datum dokumenta</w:t>
            </w:r>
          </w:p>
        </w:tc>
        <w:tc>
          <w:tcPr>
            <w:tcW w:w="5598" w:type="dxa"/>
            <w:gridSpan w:val="2"/>
          </w:tcPr>
          <w:p w:rsidR="00DC5401" w:rsidRPr="007D4603" w:rsidRDefault="00DA1CD7" w:rsidP="00404D79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>listopad</w:t>
            </w:r>
            <w:r w:rsidR="00FA28B2">
              <w:rPr>
                <w:rFonts w:ascii="Arial" w:eastAsia="Simsun (Founder Extended)" w:hAnsi="Arial" w:cs="Arial"/>
              </w:rPr>
              <w:t xml:space="preserve"> </w:t>
            </w:r>
            <w:r w:rsidR="00DC5401" w:rsidRPr="007D4603">
              <w:rPr>
                <w:rFonts w:ascii="Arial" w:eastAsia="Simsun (Founder Extended)" w:hAnsi="Arial" w:cs="Arial"/>
              </w:rPr>
              <w:t>201</w:t>
            </w:r>
            <w:r w:rsidR="00404D79">
              <w:rPr>
                <w:rFonts w:ascii="Arial" w:eastAsia="Simsun (Founder Extended)" w:hAnsi="Arial" w:cs="Arial"/>
              </w:rPr>
              <w:t>4</w:t>
            </w:r>
            <w:r w:rsidR="00DC5401" w:rsidRPr="007D4603">
              <w:rPr>
                <w:rFonts w:ascii="Arial" w:eastAsia="Simsun (Founder Extended)" w:hAnsi="Arial" w:cs="Arial"/>
              </w:rPr>
              <w:t>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Verzija dokumenta</w:t>
            </w:r>
          </w:p>
        </w:tc>
        <w:tc>
          <w:tcPr>
            <w:tcW w:w="5598" w:type="dxa"/>
            <w:gridSpan w:val="2"/>
          </w:tcPr>
          <w:p w:rsidR="00DC5401" w:rsidRPr="007D4603" w:rsidRDefault="005E62B3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>I.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Vrsta dokumenta</w:t>
            </w:r>
          </w:p>
        </w:tc>
        <w:tc>
          <w:tcPr>
            <w:tcW w:w="5598" w:type="dxa"/>
            <w:gridSpan w:val="2"/>
          </w:tcPr>
          <w:p w:rsidR="00DC5401" w:rsidRPr="007D4603" w:rsidRDefault="00404D79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>Odluke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598" w:type="dxa"/>
            <w:gridSpan w:val="2"/>
          </w:tcPr>
          <w:p w:rsidR="00DC5401" w:rsidRPr="00404D79" w:rsidRDefault="00404D79" w:rsidP="00DA1CD7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04D79">
              <w:rPr>
                <w:rFonts w:ascii="Arial" w:hAnsi="Arial" w:cs="Arial"/>
                <w:color w:val="000000"/>
              </w:rPr>
              <w:t xml:space="preserve">Odluka o izradi Okvirnog plana i programa istraživanja i eksploatacije ugljikovodika na </w:t>
            </w:r>
            <w:r w:rsidR="00DA1CD7">
              <w:rPr>
                <w:rFonts w:ascii="Arial" w:hAnsi="Arial" w:cs="Arial"/>
                <w:color w:val="000000"/>
              </w:rPr>
              <w:t>kopnu</w:t>
            </w:r>
            <w:r w:rsidRPr="00404D79">
              <w:rPr>
                <w:rFonts w:ascii="Arial" w:hAnsi="Arial" w:cs="Arial"/>
                <w:color w:val="000000"/>
              </w:rPr>
              <w:t xml:space="preserve"> i Odluka o provođenju postupka strateške procjene utjecaja na okoliš Okvirnog plana i programa istraživanja i eksploatacije ugljikovodika na </w:t>
            </w:r>
            <w:r w:rsidR="00DA1CD7">
              <w:rPr>
                <w:rFonts w:ascii="Arial" w:hAnsi="Arial" w:cs="Arial"/>
                <w:color w:val="000000"/>
              </w:rPr>
              <w:t>kopnu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  <w:p w:rsidR="00DC5401" w:rsidRPr="007D4603" w:rsidRDefault="00DC5401" w:rsidP="009C44BC">
            <w:pPr>
              <w:rPr>
                <w:rFonts w:ascii="Arial" w:hAnsi="Arial" w:cs="Arial"/>
                <w:lang w:eastAsia="zh-CN"/>
              </w:rPr>
            </w:pPr>
            <w:r w:rsidRPr="007D4603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404D79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Ministarstvo 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</w:rPr>
              <w:t>g</w:t>
            </w:r>
            <w:r w:rsidR="00404D79" w:rsidRPr="007D4603">
              <w:rPr>
                <w:rFonts w:ascii="Arial" w:eastAsia="Simsun (Founder Extended)" w:hAnsi="Arial" w:cs="Arial"/>
                <w:sz w:val="22"/>
                <w:szCs w:val="22"/>
              </w:rPr>
              <w:t>ospodarstv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</w:rPr>
              <w:t>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Del="005D53AE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598" w:type="dxa"/>
            <w:gridSpan w:val="2"/>
          </w:tcPr>
          <w:p w:rsidR="00404D79" w:rsidRDefault="00DC5401" w:rsidP="009D5F39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U 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okviru 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Ministarstv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A94C54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gospodarstva 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Uprav</w:t>
            </w:r>
            <w:r w:rsidR="006975C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e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za 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energetiku i rudarstvo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i Agencija za ugljikovodike 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z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adužen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su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za izradu </w:t>
            </w:r>
            <w:r w:rsidR="00404D79" w:rsidRP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Odlu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ke </w:t>
            </w:r>
            <w:r w:rsidR="00404D79" w:rsidRP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o izradi Okvirnog plana i programa istraživanja i eksploatacije ugljikovodika na 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kopnu</w:t>
            </w:r>
            <w:r w:rsidR="00404D79" w:rsidRP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i Odlu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ke</w:t>
            </w:r>
            <w:r w:rsidR="00404D79" w:rsidRP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o provođenju postupka strateške procjene utjecaja na okoliš Okvirnog plana i programa istraživanja i eksploatacije ugljikovodika na 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kopnu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</w:p>
          <w:p w:rsidR="00293D69" w:rsidRPr="007D4603" w:rsidRDefault="007523BC" w:rsidP="00E37002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7523BC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Za izradu predmetn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ih</w:t>
            </w:r>
            <w:r w:rsidRPr="007523BC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Odluka</w:t>
            </w:r>
            <w:r w:rsidRPr="007523BC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nije </w:t>
            </w:r>
            <w:r w:rsidRPr="007523BC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formirana stručna radna skupina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DC5401" w:rsidRPr="007D4603" w:rsidTr="00FA28B2">
        <w:trPr>
          <w:trHeight w:val="525"/>
        </w:trPr>
        <w:tc>
          <w:tcPr>
            <w:tcW w:w="3690" w:type="dxa"/>
            <w:vMerge w:val="restart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lastRenderedPageBreak/>
              <w:t xml:space="preserve">internetskim stranicama ili na drugi odgovarajući način? 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nije, zašto?</w:t>
            </w:r>
          </w:p>
        </w:tc>
        <w:tc>
          <w:tcPr>
            <w:tcW w:w="2259" w:type="dxa"/>
            <w:shd w:val="clear" w:color="auto" w:fill="auto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lastRenderedPageBreak/>
              <w:t>Ne</w:t>
            </w:r>
          </w:p>
        </w:tc>
        <w:tc>
          <w:tcPr>
            <w:tcW w:w="3339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Internetska stranice Vlade</w:t>
            </w:r>
          </w:p>
        </w:tc>
      </w:tr>
      <w:tr w:rsidR="00FA28B2" w:rsidRPr="007D4603" w:rsidTr="00FA28B2">
        <w:trPr>
          <w:trHeight w:val="1195"/>
        </w:trPr>
        <w:tc>
          <w:tcPr>
            <w:tcW w:w="3690" w:type="dxa"/>
            <w:vMerge/>
          </w:tcPr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  <w:p w:rsidR="00FA28B2" w:rsidRPr="007D4603" w:rsidRDefault="006975C3" w:rsidP="00E37002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6" w:history="1">
              <w:r w:rsidR="00FA28B2" w:rsidRPr="007D4603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www.mingo.hr</w:t>
              </w:r>
            </w:hyperlink>
            <w:r w:rsidR="00FA28B2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</w:tc>
        <w:tc>
          <w:tcPr>
            <w:tcW w:w="3339" w:type="dxa"/>
          </w:tcPr>
          <w:p w:rsidR="00FA28B2" w:rsidRPr="007D4603" w:rsidRDefault="00FA28B2" w:rsidP="007D4603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Internetska stranica Ministarstva gospodarstva </w:t>
            </w:r>
          </w:p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DC5401" w:rsidRPr="007D4603" w:rsidTr="00FA28B2">
        <w:trPr>
          <w:trHeight w:val="522"/>
        </w:trPr>
        <w:tc>
          <w:tcPr>
            <w:tcW w:w="3690" w:type="dxa"/>
            <w:vMerge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5598" w:type="dxa"/>
            <w:gridSpan w:val="2"/>
            <w:shd w:val="clear" w:color="auto" w:fill="auto"/>
          </w:tcPr>
          <w:p w:rsidR="00DC5401" w:rsidRPr="007D4603" w:rsidRDefault="00DC5401" w:rsidP="00DA1CD7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Internetsko savjetovanje sa zainteresiranom javnošću trajalo je u razdoblju od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27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. 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listopada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201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4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do 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27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. 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studenog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201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4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 godine.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598" w:type="dxa"/>
            <w:gridSpan w:val="2"/>
          </w:tcPr>
          <w:p w:rsidR="003C4467" w:rsidRDefault="00DC5401" w:rsidP="00FA28B2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Tijekom </w:t>
            </w:r>
            <w:r w:rsidR="006975C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</w:t>
            </w:r>
            <w:r w:rsidR="006975C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nternetsko</w:t>
            </w:r>
            <w:r w:rsidR="006975C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g</w:t>
            </w:r>
            <w:r w:rsidR="006975C3" w:rsidRPr="006975C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savjetovanj</w:t>
            </w:r>
            <w:r w:rsidR="006975C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a</w:t>
            </w:r>
            <w:bookmarkStart w:id="0" w:name="_GoBack"/>
            <w:bookmarkEnd w:id="0"/>
            <w:r w:rsidR="006975C3" w:rsidRPr="006975C3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sa zainteresiranom javnošću 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nisu dostavljana 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očitovanj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a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 xml:space="preserve"> na prijedlog </w:t>
            </w:r>
            <w:r w:rsidR="00404D79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Odluka</w:t>
            </w:r>
            <w:r w:rsidR="00DA1CD7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.</w:t>
            </w:r>
          </w:p>
          <w:p w:rsidR="00FA28B2" w:rsidRPr="007D4603" w:rsidRDefault="00FA28B2" w:rsidP="00E37002">
            <w:pPr>
              <w:pStyle w:val="BodyText"/>
              <w:spacing w:before="120"/>
              <w:ind w:left="-4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404D79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D5F39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DC5401" w:rsidRPr="007D4603" w:rsidRDefault="00DC5401" w:rsidP="00E37002">
      <w:pPr>
        <w:rPr>
          <w:rFonts w:ascii="Arial" w:hAnsi="Arial" w:cs="Arial"/>
        </w:rPr>
      </w:pPr>
    </w:p>
    <w:sectPr w:rsidR="00DC5401" w:rsidRPr="007D4603" w:rsidSect="004F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altName w:val="Arial Unicode MS"/>
    <w:charset w:val="86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C532C"/>
    <w:multiLevelType w:val="hybridMultilevel"/>
    <w:tmpl w:val="ECBC8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A011D"/>
    <w:multiLevelType w:val="hybridMultilevel"/>
    <w:tmpl w:val="A4B8B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2AFD"/>
    <w:multiLevelType w:val="hybridMultilevel"/>
    <w:tmpl w:val="CFE4F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vanicek">
    <w15:presenceInfo w15:providerId="None" w15:userId="vvani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01"/>
    <w:rsid w:val="00015D0F"/>
    <w:rsid w:val="00036B90"/>
    <w:rsid w:val="00065D71"/>
    <w:rsid w:val="00086009"/>
    <w:rsid w:val="000E4783"/>
    <w:rsid w:val="001E70E7"/>
    <w:rsid w:val="0021320A"/>
    <w:rsid w:val="002206F1"/>
    <w:rsid w:val="00242B71"/>
    <w:rsid w:val="00293D69"/>
    <w:rsid w:val="002D57F6"/>
    <w:rsid w:val="00327158"/>
    <w:rsid w:val="0033004C"/>
    <w:rsid w:val="003650E7"/>
    <w:rsid w:val="003C4467"/>
    <w:rsid w:val="003D4FEF"/>
    <w:rsid w:val="003D6341"/>
    <w:rsid w:val="00404D79"/>
    <w:rsid w:val="004215C6"/>
    <w:rsid w:val="0042415D"/>
    <w:rsid w:val="004315CE"/>
    <w:rsid w:val="004454B8"/>
    <w:rsid w:val="00473E4B"/>
    <w:rsid w:val="004C0009"/>
    <w:rsid w:val="004F0A3B"/>
    <w:rsid w:val="005E62B3"/>
    <w:rsid w:val="00620629"/>
    <w:rsid w:val="00685F33"/>
    <w:rsid w:val="006975C3"/>
    <w:rsid w:val="0071721C"/>
    <w:rsid w:val="007523BC"/>
    <w:rsid w:val="00764CA0"/>
    <w:rsid w:val="007B6BB6"/>
    <w:rsid w:val="007B6CAA"/>
    <w:rsid w:val="007D4603"/>
    <w:rsid w:val="008B1061"/>
    <w:rsid w:val="008E4D21"/>
    <w:rsid w:val="00952AAF"/>
    <w:rsid w:val="009674A6"/>
    <w:rsid w:val="009C44BC"/>
    <w:rsid w:val="009D1FBE"/>
    <w:rsid w:val="009D5F39"/>
    <w:rsid w:val="009F0A05"/>
    <w:rsid w:val="00A203E3"/>
    <w:rsid w:val="00A339C3"/>
    <w:rsid w:val="00A34D6A"/>
    <w:rsid w:val="00A94C54"/>
    <w:rsid w:val="00C70050"/>
    <w:rsid w:val="00CE0CC0"/>
    <w:rsid w:val="00CE5173"/>
    <w:rsid w:val="00D86586"/>
    <w:rsid w:val="00D91066"/>
    <w:rsid w:val="00DA1CD7"/>
    <w:rsid w:val="00DC5401"/>
    <w:rsid w:val="00DD62D0"/>
    <w:rsid w:val="00E04AFF"/>
    <w:rsid w:val="00E056F9"/>
    <w:rsid w:val="00E37002"/>
    <w:rsid w:val="00E7007B"/>
    <w:rsid w:val="00EC2546"/>
    <w:rsid w:val="00F1465E"/>
    <w:rsid w:val="00F403CD"/>
    <w:rsid w:val="00F57DA9"/>
    <w:rsid w:val="00FA28B2"/>
    <w:rsid w:val="00FD75C0"/>
    <w:rsid w:val="00FE2D9F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FA28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8B2"/>
    <w:pPr>
      <w:spacing w:after="100" w:line="276" w:lineRule="auto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A28B2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09"/>
    <w:rPr>
      <w:rFonts w:ascii="Segoe U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FA28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8B2"/>
    <w:pPr>
      <w:spacing w:after="100" w:line="276" w:lineRule="auto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A28B2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09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go.hr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jraic</dc:creator>
  <cp:lastModifiedBy>Mario Svrtan</cp:lastModifiedBy>
  <cp:revision>4</cp:revision>
  <cp:lastPrinted>2014-12-01T07:34:00Z</cp:lastPrinted>
  <dcterms:created xsi:type="dcterms:W3CDTF">2014-12-01T07:32:00Z</dcterms:created>
  <dcterms:modified xsi:type="dcterms:W3CDTF">2014-12-01T07:40:00Z</dcterms:modified>
</cp:coreProperties>
</file>