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B" w:rsidRDefault="003B538B" w:rsidP="00BA1B6B">
      <w:pPr>
        <w:pStyle w:val="Title"/>
        <w:jc w:val="left"/>
      </w:pPr>
      <w:r>
        <w:rPr>
          <w:noProof/>
          <w:lang w:eastAsia="hr-HR"/>
        </w:rPr>
        <w:drawing>
          <wp:inline distT="0" distB="0" distL="0" distR="0" wp14:anchorId="2A1806B0" wp14:editId="76C56946">
            <wp:extent cx="2031540" cy="1369899"/>
            <wp:effectExtent l="0" t="0" r="681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32204" r="32561"/>
                    <a:stretch>
                      <a:fillRect/>
                    </a:stretch>
                  </pic:blipFill>
                  <pic:spPr>
                    <a:xfrm>
                      <a:off x="0" y="0"/>
                      <a:ext cx="2031540" cy="1369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02DB" w:rsidRPr="00F202DB" w:rsidRDefault="00F202DB" w:rsidP="00F202DB"/>
    <w:p w:rsidR="005D0ED5" w:rsidRDefault="005D0ED5" w:rsidP="005D0ED5"/>
    <w:p w:rsidR="005D0ED5" w:rsidRDefault="005D0ED5" w:rsidP="005D0ED5"/>
    <w:p w:rsidR="005D0ED5" w:rsidRDefault="005D0ED5" w:rsidP="005D0ED5"/>
    <w:p w:rsidR="003D254D" w:rsidRDefault="003D254D" w:rsidP="005D0ED5"/>
    <w:p w:rsidR="003D254D" w:rsidRDefault="003D254D" w:rsidP="005D0ED5"/>
    <w:p w:rsidR="00483944" w:rsidRDefault="00483944" w:rsidP="005D0ED5"/>
    <w:p w:rsidR="00483944" w:rsidRDefault="00483944" w:rsidP="005D0ED5"/>
    <w:p w:rsidR="005D0ED5" w:rsidRDefault="005D0ED5" w:rsidP="005D0ED5"/>
    <w:p w:rsidR="005D0ED5" w:rsidRDefault="005D0ED5" w:rsidP="005D0ED5"/>
    <w:p w:rsidR="005D0ED5" w:rsidRDefault="005D0ED5" w:rsidP="005D0ED5"/>
    <w:p w:rsidR="005D0ED5" w:rsidRPr="005D0ED5" w:rsidRDefault="005D0ED5" w:rsidP="005D0ED5"/>
    <w:p w:rsidR="008B305F" w:rsidRPr="006E3538" w:rsidRDefault="008B305F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GODIŠNJE IZVJEŠĆE</w:t>
      </w:r>
    </w:p>
    <w:p w:rsidR="008B305F" w:rsidRPr="006E3538" w:rsidRDefault="008B305F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O IZVOZU I UVOZU ROBE VOJNE NAMJENE I NEVOJNIH UBOJNIH SREDSTAVA ZA KOMERCIJALNE SVRHE</w:t>
      </w:r>
    </w:p>
    <w:p w:rsidR="008B305F" w:rsidRPr="006E3538" w:rsidRDefault="00BA1B6B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ZA 201</w:t>
      </w:r>
      <w:r w:rsidR="003D1644">
        <w:rPr>
          <w:b w:val="0"/>
        </w:rPr>
        <w:t>8</w:t>
      </w:r>
      <w:r w:rsidR="008B305F" w:rsidRPr="006E3538">
        <w:rPr>
          <w:b w:val="0"/>
        </w:rPr>
        <w:t>. GODINU</w:t>
      </w:r>
    </w:p>
    <w:p w:rsidR="00B52E87" w:rsidRPr="006E3538" w:rsidRDefault="00B52E87" w:rsidP="00C81CEF">
      <w:pPr>
        <w:pStyle w:val="Title"/>
        <w:rPr>
          <w:b w:val="0"/>
        </w:rPr>
      </w:pPr>
    </w:p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>
      <w:pPr>
        <w:pBdr>
          <w:bottom w:val="single" w:sz="12" w:space="1" w:color="auto"/>
        </w:pBdr>
      </w:pPr>
    </w:p>
    <w:p w:rsidR="00B52E87" w:rsidRPr="006E3538" w:rsidRDefault="00BB266D" w:rsidP="008B305F">
      <w:pPr>
        <w:jc w:val="center"/>
      </w:pPr>
      <w:r>
        <w:t>lipanj</w:t>
      </w:r>
      <w:r w:rsidR="005E3209">
        <w:t xml:space="preserve"> 201</w:t>
      </w:r>
      <w:r w:rsidR="003D1644">
        <w:t>9</w:t>
      </w:r>
      <w:r w:rsidR="008B305F" w:rsidRPr="006E3538">
        <w:t>.</w:t>
      </w:r>
    </w:p>
    <w:p w:rsidR="008B305F" w:rsidRDefault="008B305F" w:rsidP="008B305F">
      <w:pPr>
        <w:jc w:val="center"/>
      </w:pPr>
    </w:p>
    <w:p w:rsidR="00A07961" w:rsidRDefault="00A07961" w:rsidP="00A974C8"/>
    <w:p w:rsidR="00A974C8" w:rsidRPr="00706ADC" w:rsidRDefault="00A974C8" w:rsidP="00A974C8">
      <w:r w:rsidRPr="00706ADC">
        <w:t>SADRŽAJ:</w:t>
      </w:r>
    </w:p>
    <w:p w:rsidR="00A974C8" w:rsidRPr="00706ADC" w:rsidRDefault="00A974C8" w:rsidP="00A974C8"/>
    <w:p w:rsidR="00E320D2" w:rsidRPr="00706ADC" w:rsidRDefault="00E320D2" w:rsidP="00A974C8"/>
    <w:p w:rsidR="00A974C8" w:rsidRPr="00706ADC" w:rsidRDefault="00A974C8" w:rsidP="005C309A">
      <w:pPr>
        <w:pStyle w:val="ListParagraph"/>
        <w:numPr>
          <w:ilvl w:val="0"/>
          <w:numId w:val="12"/>
        </w:numPr>
        <w:jc w:val="both"/>
      </w:pPr>
      <w:r w:rsidRPr="00706ADC">
        <w:t>UVOD</w:t>
      </w:r>
    </w:p>
    <w:p w:rsidR="005C309A" w:rsidRPr="00706ADC" w:rsidRDefault="005C309A" w:rsidP="005C309A">
      <w:pPr>
        <w:pStyle w:val="ListParagraph"/>
        <w:jc w:val="both"/>
      </w:pPr>
    </w:p>
    <w:p w:rsidR="005C309A" w:rsidRPr="00706ADC" w:rsidRDefault="00A974C8" w:rsidP="005C309A">
      <w:pPr>
        <w:pStyle w:val="ListParagraph"/>
        <w:numPr>
          <w:ilvl w:val="1"/>
          <w:numId w:val="12"/>
        </w:numPr>
        <w:jc w:val="both"/>
      </w:pPr>
      <w:r w:rsidRPr="00706ADC">
        <w:t>DEFINICIJE</w:t>
      </w:r>
    </w:p>
    <w:p w:rsidR="00906EB9" w:rsidRPr="00706ADC" w:rsidRDefault="00906EB9" w:rsidP="00906EB9">
      <w:pPr>
        <w:pStyle w:val="ListParagraph"/>
        <w:ind w:left="1440"/>
        <w:jc w:val="both"/>
      </w:pPr>
    </w:p>
    <w:p w:rsidR="00A974C8" w:rsidRPr="00706ADC" w:rsidRDefault="00A974C8" w:rsidP="005C309A">
      <w:pPr>
        <w:pStyle w:val="ListParagraph"/>
        <w:numPr>
          <w:ilvl w:val="1"/>
          <w:numId w:val="12"/>
        </w:numPr>
        <w:jc w:val="both"/>
      </w:pPr>
      <w:r w:rsidRPr="00706ADC">
        <w:t>UVJETI ZA IZVOZ I UVOZ ROBE VOJNE NAMJENE I NEVOJNIH UBOJNIH SREDSTAVA TE PRIJENOS</w:t>
      </w:r>
      <w:r w:rsidR="003D1644">
        <w:t xml:space="preserve"> </w:t>
      </w:r>
      <w:r w:rsidRPr="00706ADC">
        <w:t>OBRAMBENIH PROIZVODA UNUTAR   EUROPSKE UNIJE</w:t>
      </w:r>
    </w:p>
    <w:p w:rsidR="005C309A" w:rsidRPr="00706ADC" w:rsidRDefault="005C309A" w:rsidP="005C309A">
      <w:pPr>
        <w:jc w:val="both"/>
      </w:pPr>
    </w:p>
    <w:p w:rsidR="00A974C8" w:rsidRPr="00706ADC" w:rsidRDefault="00A974C8" w:rsidP="005C309A">
      <w:pPr>
        <w:pStyle w:val="ListParagraph"/>
        <w:numPr>
          <w:ilvl w:val="1"/>
          <w:numId w:val="12"/>
        </w:numPr>
        <w:jc w:val="both"/>
      </w:pPr>
      <w:r w:rsidRPr="00706ADC">
        <w:t>BAZA PODATAKA</w:t>
      </w:r>
    </w:p>
    <w:p w:rsidR="00A974C8" w:rsidRPr="00706ADC" w:rsidRDefault="00A974C8" w:rsidP="005C309A">
      <w:pPr>
        <w:jc w:val="both"/>
      </w:pPr>
    </w:p>
    <w:p w:rsidR="00A974C8" w:rsidRPr="00706ADC" w:rsidRDefault="00A974C8" w:rsidP="005C309A">
      <w:pPr>
        <w:pStyle w:val="ListParagraph"/>
        <w:numPr>
          <w:ilvl w:val="0"/>
          <w:numId w:val="12"/>
        </w:numPr>
        <w:jc w:val="both"/>
      </w:pPr>
      <w:r w:rsidRPr="00706ADC">
        <w:t>IZVJEŠĆE O IZDANIM DOZVOLAMA ZA IZVOZ/PRIJENOS, UVOZ/PRIJENOS I PRUŽANJE USLUGA</w:t>
      </w:r>
    </w:p>
    <w:p w:rsidR="005C309A" w:rsidRPr="00706ADC" w:rsidRDefault="005C309A" w:rsidP="005C309A">
      <w:pPr>
        <w:pStyle w:val="ListParagraph"/>
        <w:jc w:val="both"/>
      </w:pPr>
    </w:p>
    <w:p w:rsidR="00A974C8" w:rsidRPr="00706ADC" w:rsidRDefault="005C309A" w:rsidP="005C309A">
      <w:pPr>
        <w:pStyle w:val="ListParagraph"/>
        <w:numPr>
          <w:ilvl w:val="0"/>
          <w:numId w:val="12"/>
        </w:numPr>
        <w:jc w:val="both"/>
      </w:pPr>
      <w:r w:rsidRPr="00706ADC">
        <w:t>IZVJEŠĆE O FINANCIJSKIM  POKAZATELJIMA REALIZACIJE DOZVOLA</w:t>
      </w:r>
    </w:p>
    <w:p w:rsidR="005C309A" w:rsidRPr="00706ADC" w:rsidRDefault="005C309A" w:rsidP="005C309A">
      <w:pPr>
        <w:pStyle w:val="ListParagraph"/>
        <w:jc w:val="both"/>
      </w:pPr>
    </w:p>
    <w:p w:rsidR="005C309A" w:rsidRPr="00706ADC" w:rsidRDefault="005C309A" w:rsidP="005C309A">
      <w:pPr>
        <w:pStyle w:val="ListParagraph"/>
        <w:numPr>
          <w:ilvl w:val="1"/>
          <w:numId w:val="12"/>
        </w:numPr>
        <w:jc w:val="both"/>
      </w:pPr>
      <w:r w:rsidRPr="00706ADC">
        <w:t>FINANCIJSKA REALIZACIJA DOZVOLA IZDANIH U 201</w:t>
      </w:r>
      <w:r w:rsidR="003D1644">
        <w:t>8</w:t>
      </w:r>
      <w:r w:rsidRPr="00706ADC">
        <w:t>. GODINI</w:t>
      </w:r>
    </w:p>
    <w:p w:rsidR="005C309A" w:rsidRPr="00706ADC" w:rsidRDefault="005C309A" w:rsidP="005C309A">
      <w:pPr>
        <w:pStyle w:val="ListParagraph"/>
        <w:ind w:left="1440"/>
        <w:jc w:val="both"/>
      </w:pPr>
    </w:p>
    <w:p w:rsidR="005C309A" w:rsidRPr="00706ADC" w:rsidRDefault="005C309A" w:rsidP="005C309A">
      <w:pPr>
        <w:pStyle w:val="ListParagraph"/>
        <w:numPr>
          <w:ilvl w:val="1"/>
          <w:numId w:val="12"/>
        </w:numPr>
        <w:jc w:val="both"/>
      </w:pPr>
      <w:r w:rsidRPr="00706ADC">
        <w:t>UKUPNI  FINANCIJSKI  POKAZATELJI  REALIZACIJE  DOZVOLA U 201</w:t>
      </w:r>
      <w:r w:rsidR="003D1644">
        <w:t>8</w:t>
      </w:r>
      <w:r w:rsidR="00707449">
        <w:t>. GODINI S</w:t>
      </w:r>
      <w:r w:rsidRPr="00706ADC">
        <w:t xml:space="preserve"> DODANOM REALIZACIJOM DOZVOLA KOJE SU   IZDANE U 201</w:t>
      </w:r>
      <w:r w:rsidR="003D1644">
        <w:t>7</w:t>
      </w:r>
      <w:r w:rsidRPr="00706ADC">
        <w:t>. GODINI</w:t>
      </w:r>
      <w:r w:rsidR="008D45F1">
        <w:t>,</w:t>
      </w:r>
      <w:r w:rsidRPr="00706ADC">
        <w:t xml:space="preserve">  A  REALIZIRANE U 201</w:t>
      </w:r>
      <w:r w:rsidR="003D1644">
        <w:t>8</w:t>
      </w:r>
      <w:r w:rsidRPr="00706ADC">
        <w:t>.</w:t>
      </w:r>
      <w:r w:rsidR="00023F48">
        <w:t xml:space="preserve"> </w:t>
      </w:r>
      <w:r w:rsidRPr="00706ADC">
        <w:t>GODINI</w:t>
      </w:r>
    </w:p>
    <w:p w:rsidR="005C309A" w:rsidRPr="00706ADC" w:rsidRDefault="005C309A" w:rsidP="005C309A">
      <w:pPr>
        <w:pStyle w:val="ListParagraph"/>
        <w:numPr>
          <w:ilvl w:val="2"/>
          <w:numId w:val="12"/>
        </w:numPr>
        <w:ind w:left="2127" w:hanging="709"/>
        <w:jc w:val="both"/>
      </w:pPr>
      <w:r w:rsidRPr="00706ADC">
        <w:t>Izvoz/prijenos robe vojne namjene i nevojnih ubojnih sredstava</w:t>
      </w:r>
    </w:p>
    <w:p w:rsidR="005C309A" w:rsidRPr="00706ADC" w:rsidRDefault="005C309A" w:rsidP="005C309A">
      <w:pPr>
        <w:pStyle w:val="ListParagraph"/>
        <w:numPr>
          <w:ilvl w:val="2"/>
          <w:numId w:val="12"/>
        </w:numPr>
        <w:ind w:left="2127" w:hanging="709"/>
        <w:jc w:val="both"/>
      </w:pPr>
      <w:r w:rsidRPr="00706ADC">
        <w:t>Pružene usluge za robu vojne namjene</w:t>
      </w:r>
    </w:p>
    <w:p w:rsidR="005C309A" w:rsidRPr="00706ADC" w:rsidRDefault="005C309A" w:rsidP="005C309A">
      <w:pPr>
        <w:pStyle w:val="ListParagraph"/>
        <w:numPr>
          <w:ilvl w:val="2"/>
          <w:numId w:val="12"/>
        </w:numPr>
        <w:ind w:left="2127" w:hanging="709"/>
        <w:jc w:val="both"/>
      </w:pPr>
      <w:r w:rsidRPr="00706ADC">
        <w:t>Uvoz/prijenos robe vojne namjene i nevojnih ubojnih sredstava</w:t>
      </w:r>
    </w:p>
    <w:p w:rsidR="005C309A" w:rsidRPr="00706ADC" w:rsidRDefault="005C309A" w:rsidP="005C309A">
      <w:pPr>
        <w:pStyle w:val="ListParagraph"/>
        <w:ind w:left="1800"/>
        <w:jc w:val="both"/>
      </w:pPr>
    </w:p>
    <w:p w:rsidR="005C309A" w:rsidRPr="00706ADC" w:rsidRDefault="005C309A" w:rsidP="005C309A">
      <w:pPr>
        <w:pStyle w:val="ListParagraph"/>
        <w:numPr>
          <w:ilvl w:val="0"/>
          <w:numId w:val="12"/>
        </w:numPr>
        <w:jc w:val="both"/>
      </w:pPr>
      <w:r w:rsidRPr="00706ADC">
        <w:t>ZAKLJUČAK</w:t>
      </w:r>
    </w:p>
    <w:p w:rsidR="00A974C8" w:rsidRDefault="00A974C8" w:rsidP="00A974C8"/>
    <w:p w:rsidR="00A974C8" w:rsidRDefault="00A974C8" w:rsidP="00A974C8"/>
    <w:p w:rsidR="00A974C8" w:rsidRDefault="00A974C8" w:rsidP="00A974C8"/>
    <w:p w:rsidR="00A974C8" w:rsidRDefault="00A974C8">
      <w:r>
        <w:br w:type="page"/>
      </w:r>
    </w:p>
    <w:p w:rsidR="00A07961" w:rsidRDefault="00A07961" w:rsidP="007F12D5">
      <w:pPr>
        <w:pStyle w:val="Title"/>
        <w:spacing w:before="0" w:after="0" w:line="276" w:lineRule="auto"/>
        <w:rPr>
          <w:b w:val="0"/>
          <w:sz w:val="24"/>
          <w:szCs w:val="24"/>
        </w:rPr>
      </w:pPr>
    </w:p>
    <w:p w:rsidR="00A07961" w:rsidRDefault="00A07961" w:rsidP="007F12D5">
      <w:pPr>
        <w:pStyle w:val="Title"/>
        <w:spacing w:before="0" w:after="0" w:line="276" w:lineRule="auto"/>
        <w:rPr>
          <w:b w:val="0"/>
          <w:sz w:val="24"/>
          <w:szCs w:val="24"/>
        </w:rPr>
      </w:pPr>
    </w:p>
    <w:p w:rsidR="00C81CEF" w:rsidRPr="00706ADC" w:rsidRDefault="00C81CEF" w:rsidP="007F12D5">
      <w:pPr>
        <w:pStyle w:val="Title"/>
        <w:spacing w:before="0" w:after="0" w:line="276" w:lineRule="auto"/>
        <w:rPr>
          <w:b w:val="0"/>
          <w:sz w:val="24"/>
          <w:szCs w:val="24"/>
        </w:rPr>
      </w:pPr>
      <w:r w:rsidRPr="00706ADC">
        <w:rPr>
          <w:b w:val="0"/>
          <w:sz w:val="24"/>
          <w:szCs w:val="24"/>
        </w:rPr>
        <w:t>GODIŠNJE IZVJEŠĆE</w:t>
      </w:r>
    </w:p>
    <w:p w:rsidR="00C81CEF" w:rsidRDefault="00C81CEF" w:rsidP="007F12D5">
      <w:pPr>
        <w:pStyle w:val="Title"/>
        <w:spacing w:before="0" w:after="0" w:line="276" w:lineRule="auto"/>
        <w:rPr>
          <w:b w:val="0"/>
          <w:sz w:val="24"/>
          <w:szCs w:val="24"/>
        </w:rPr>
      </w:pPr>
      <w:r w:rsidRPr="00706ADC">
        <w:rPr>
          <w:b w:val="0"/>
          <w:sz w:val="24"/>
          <w:szCs w:val="24"/>
        </w:rPr>
        <w:t>O IZVOZU I UVOZU ROBE VOJNE NAMJENE I NEVOJNIH UBOJNIH SREDSTAVA ZA K</w:t>
      </w:r>
      <w:r w:rsidR="00BC5F2A" w:rsidRPr="00706ADC">
        <w:rPr>
          <w:b w:val="0"/>
          <w:sz w:val="24"/>
          <w:szCs w:val="24"/>
        </w:rPr>
        <w:t>OMERCIJALNE SVRHE</w:t>
      </w:r>
      <w:r w:rsidR="00C3442B">
        <w:rPr>
          <w:b w:val="0"/>
          <w:sz w:val="24"/>
          <w:szCs w:val="24"/>
        </w:rPr>
        <w:t xml:space="preserve"> </w:t>
      </w:r>
      <w:r w:rsidR="006E3538" w:rsidRPr="00706ADC">
        <w:rPr>
          <w:b w:val="0"/>
          <w:sz w:val="24"/>
          <w:szCs w:val="24"/>
        </w:rPr>
        <w:t>ZA 201</w:t>
      </w:r>
      <w:r w:rsidR="003D1644">
        <w:rPr>
          <w:b w:val="0"/>
          <w:sz w:val="24"/>
          <w:szCs w:val="24"/>
        </w:rPr>
        <w:t>8</w:t>
      </w:r>
      <w:r w:rsidRPr="00706ADC">
        <w:rPr>
          <w:b w:val="0"/>
          <w:sz w:val="24"/>
          <w:szCs w:val="24"/>
        </w:rPr>
        <w:t>. GODINU</w:t>
      </w:r>
    </w:p>
    <w:p w:rsidR="00A07961" w:rsidRPr="00A07961" w:rsidRDefault="00A07961" w:rsidP="00A07961"/>
    <w:p w:rsidR="00C81CEF" w:rsidRPr="006E3538" w:rsidRDefault="009A554B" w:rsidP="007F12D5">
      <w:pPr>
        <w:pStyle w:val="Heading1"/>
        <w:numPr>
          <w:ilvl w:val="0"/>
          <w:numId w:val="11"/>
        </w:numPr>
        <w:spacing w:line="276" w:lineRule="auto"/>
      </w:pPr>
      <w:r w:rsidRPr="006E3538">
        <w:t>UVOD</w:t>
      </w:r>
    </w:p>
    <w:p w:rsidR="005C16A3" w:rsidRPr="005C16A3" w:rsidRDefault="005C16A3" w:rsidP="007F12D5">
      <w:pPr>
        <w:spacing w:line="276" w:lineRule="auto"/>
      </w:pPr>
    </w:p>
    <w:p w:rsidR="00E320D2" w:rsidRDefault="00992A5B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Ministarstvo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</w:t>
      </w:r>
      <w:r w:rsidR="00E320D2">
        <w:rPr>
          <w:rFonts w:ascii="Times New Roman" w:eastAsia="Times New Roman" w:hAnsi="Times New Roman"/>
          <w:lang w:eastAsia="hr-HR"/>
        </w:rPr>
        <w:t>dužno je, temeljem</w:t>
      </w:r>
      <w:r w:rsidR="00E320D2" w:rsidRPr="00E320D2">
        <w:rPr>
          <w:rFonts w:ascii="Times New Roman" w:eastAsia="Times New Roman" w:hAnsi="Times New Roman"/>
          <w:lang w:eastAsia="hr-HR"/>
        </w:rPr>
        <w:t xml:space="preserve"> članka 25. stavka 2. Zakona o nadzoru prometa robe vojne namjene i nevojnih ubojnih sredstava (Narodne novine</w:t>
      </w:r>
      <w:r w:rsidR="008D191B">
        <w:rPr>
          <w:rFonts w:ascii="Times New Roman" w:eastAsia="Times New Roman" w:hAnsi="Times New Roman"/>
          <w:lang w:eastAsia="hr-HR"/>
        </w:rPr>
        <w:t>,</w:t>
      </w:r>
      <w:r w:rsidR="00E320D2" w:rsidRPr="00E320D2">
        <w:rPr>
          <w:rFonts w:ascii="Times New Roman" w:eastAsia="Times New Roman" w:hAnsi="Times New Roman"/>
          <w:lang w:eastAsia="hr-HR"/>
        </w:rPr>
        <w:t xml:space="preserve"> broj 80/13, u daljnjem tekstu</w:t>
      </w:r>
      <w:r w:rsidR="005A0A9C">
        <w:rPr>
          <w:rFonts w:ascii="Times New Roman" w:eastAsia="Times New Roman" w:hAnsi="Times New Roman"/>
          <w:lang w:eastAsia="hr-HR"/>
        </w:rPr>
        <w:t>:</w:t>
      </w:r>
      <w:r w:rsidR="00E320D2" w:rsidRPr="00E320D2">
        <w:rPr>
          <w:rFonts w:ascii="Times New Roman" w:eastAsia="Times New Roman" w:hAnsi="Times New Roman"/>
          <w:lang w:eastAsia="hr-HR"/>
        </w:rPr>
        <w:t xml:space="preserve"> Zakon), </w:t>
      </w:r>
      <w:r w:rsidR="00E320D2">
        <w:rPr>
          <w:rFonts w:ascii="Times New Roman" w:eastAsia="Times New Roman" w:hAnsi="Times New Roman"/>
          <w:lang w:eastAsia="hr-HR"/>
        </w:rPr>
        <w:t>do 30. travnja tekuće godine</w:t>
      </w:r>
      <w:r w:rsidRPr="00992A5B">
        <w:rPr>
          <w:rFonts w:ascii="Times New Roman" w:eastAsia="Times New Roman" w:hAnsi="Times New Roman"/>
          <w:lang w:eastAsia="hr-HR"/>
        </w:rPr>
        <w:t xml:space="preserve"> izraditi </w:t>
      </w:r>
      <w:r w:rsidR="00E320D2">
        <w:rPr>
          <w:rFonts w:ascii="Times New Roman" w:eastAsia="Times New Roman" w:hAnsi="Times New Roman"/>
          <w:lang w:eastAsia="hr-HR"/>
        </w:rPr>
        <w:t>g</w:t>
      </w:r>
      <w:r w:rsidRPr="006E3538">
        <w:rPr>
          <w:rFonts w:ascii="Times New Roman" w:eastAsia="Times New Roman" w:hAnsi="Times New Roman"/>
          <w:lang w:eastAsia="hr-HR"/>
        </w:rPr>
        <w:t>odišnje izvješće o izvozu i uvozu robe vojne namjene i nevojnih ubojnih sredstava za komercijalne svrhe za prethodnu godinu</w:t>
      </w:r>
      <w:r w:rsidR="00781C35" w:rsidRPr="006E3538">
        <w:rPr>
          <w:rFonts w:ascii="Times New Roman" w:eastAsia="Times New Roman" w:hAnsi="Times New Roman"/>
          <w:lang w:eastAsia="hr-HR"/>
        </w:rPr>
        <w:t xml:space="preserve"> </w:t>
      </w:r>
      <w:r w:rsidRPr="006E3538">
        <w:rPr>
          <w:rFonts w:ascii="Times New Roman" w:eastAsia="Times New Roman" w:hAnsi="Times New Roman"/>
          <w:lang w:eastAsia="hr-HR"/>
        </w:rPr>
        <w:t>i dostaviti ga na usvajanje Vladi Republike Hrvatske</w:t>
      </w:r>
      <w:r w:rsidR="00E320D2">
        <w:rPr>
          <w:rFonts w:ascii="Times New Roman" w:eastAsia="Times New Roman" w:hAnsi="Times New Roman"/>
          <w:lang w:eastAsia="hr-HR"/>
        </w:rPr>
        <w:t>.</w:t>
      </w:r>
      <w:r w:rsidR="006E3538">
        <w:rPr>
          <w:rFonts w:ascii="Times New Roman" w:eastAsia="Times New Roman" w:hAnsi="Times New Roman"/>
          <w:lang w:eastAsia="hr-HR"/>
        </w:rPr>
        <w:t xml:space="preserve"> 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Default="005A0A9C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Godišnje i</w:t>
      </w:r>
      <w:r w:rsidR="006E3538">
        <w:rPr>
          <w:rFonts w:ascii="Times New Roman" w:eastAsia="Times New Roman" w:hAnsi="Times New Roman"/>
          <w:lang w:eastAsia="hr-HR"/>
        </w:rPr>
        <w:t>zvješće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A0A9C">
        <w:rPr>
          <w:rFonts w:ascii="Times New Roman" w:eastAsia="Times New Roman" w:hAnsi="Times New Roman"/>
          <w:lang w:eastAsia="hr-HR"/>
        </w:rPr>
        <w:t>o izvozu i uvozu robe vojne namjene i nevojnih ubojnih sredstava za komercijalne svrhe</w:t>
      </w:r>
      <w:r w:rsidR="006E3538">
        <w:rPr>
          <w:rFonts w:ascii="Times New Roman" w:eastAsia="Times New Roman" w:hAnsi="Times New Roman"/>
          <w:lang w:eastAsia="hr-HR"/>
        </w:rPr>
        <w:t xml:space="preserve"> za 201</w:t>
      </w:r>
      <w:r w:rsidR="003D1644">
        <w:rPr>
          <w:rFonts w:ascii="Times New Roman" w:eastAsia="Times New Roman" w:hAnsi="Times New Roman"/>
          <w:lang w:eastAsia="hr-HR"/>
        </w:rPr>
        <w:t>8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. </w:t>
      </w:r>
      <w:r>
        <w:rPr>
          <w:rFonts w:ascii="Times New Roman" w:eastAsia="Times New Roman" w:hAnsi="Times New Roman"/>
          <w:lang w:eastAsia="hr-HR"/>
        </w:rPr>
        <w:t>g</w:t>
      </w:r>
      <w:r w:rsidR="00992A5B" w:rsidRPr="00992A5B">
        <w:rPr>
          <w:rFonts w:ascii="Times New Roman" w:eastAsia="Times New Roman" w:hAnsi="Times New Roman"/>
          <w:lang w:eastAsia="hr-HR"/>
        </w:rPr>
        <w:t>odinu</w:t>
      </w:r>
      <w:r>
        <w:rPr>
          <w:rFonts w:ascii="Times New Roman" w:eastAsia="Times New Roman" w:hAnsi="Times New Roman"/>
          <w:lang w:eastAsia="hr-HR"/>
        </w:rPr>
        <w:t xml:space="preserve"> (u daljnjem tekstu: Godišnje izvješće za 201</w:t>
      </w:r>
      <w:r w:rsidR="003D1644">
        <w:rPr>
          <w:rFonts w:ascii="Times New Roman" w:eastAsia="Times New Roman" w:hAnsi="Times New Roman"/>
          <w:lang w:eastAsia="hr-HR"/>
        </w:rPr>
        <w:t>8</w:t>
      </w:r>
      <w:r>
        <w:rPr>
          <w:rFonts w:ascii="Times New Roman" w:eastAsia="Times New Roman" w:hAnsi="Times New Roman"/>
          <w:lang w:eastAsia="hr-HR"/>
        </w:rPr>
        <w:t>.)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sadrži </w:t>
      </w:r>
      <w:r w:rsidR="00992A5B" w:rsidRPr="00C3720C">
        <w:rPr>
          <w:rFonts w:ascii="Times New Roman" w:eastAsia="Times New Roman" w:hAnsi="Times New Roman"/>
          <w:lang w:eastAsia="hr-HR"/>
        </w:rPr>
        <w:t>informacije o izdanim dozvola</w:t>
      </w:r>
      <w:r w:rsidR="00C3720C" w:rsidRPr="00C3720C">
        <w:rPr>
          <w:rFonts w:ascii="Times New Roman" w:eastAsia="Times New Roman" w:hAnsi="Times New Roman"/>
          <w:lang w:eastAsia="hr-HR"/>
        </w:rPr>
        <w:t>ma</w:t>
      </w:r>
      <w:r w:rsidR="00992A5B" w:rsidRPr="00C3720C">
        <w:rPr>
          <w:rFonts w:ascii="Times New Roman" w:eastAsia="Times New Roman" w:hAnsi="Times New Roman"/>
          <w:lang w:eastAsia="hr-HR"/>
        </w:rPr>
        <w:t xml:space="preserve"> </w:t>
      </w:r>
      <w:r w:rsidR="00992A5B" w:rsidRPr="00992A5B">
        <w:rPr>
          <w:rFonts w:ascii="Times New Roman" w:eastAsia="Times New Roman" w:hAnsi="Times New Roman"/>
          <w:lang w:eastAsia="hr-HR"/>
        </w:rPr>
        <w:t>za izvoz/prijenos i uvoz/prijenos robe vojne namjene i nevojnih ubojnih sredstava za komercijalne svrhe</w:t>
      </w:r>
      <w:r w:rsidR="003D1644">
        <w:rPr>
          <w:rFonts w:ascii="Times New Roman" w:eastAsia="Times New Roman" w:hAnsi="Times New Roman"/>
          <w:lang w:eastAsia="hr-HR"/>
        </w:rPr>
        <w:t>,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pružanje usluga </w:t>
      </w:r>
      <w:r w:rsidR="006D5DA5">
        <w:rPr>
          <w:rFonts w:ascii="Times New Roman" w:eastAsia="Times New Roman" w:hAnsi="Times New Roman"/>
          <w:lang w:eastAsia="hr-HR"/>
        </w:rPr>
        <w:t>za robu vojne namjene te financijske pokazatelje o realizaciji dozvola.</w:t>
      </w:r>
    </w:p>
    <w:p w:rsidR="002A2DA6" w:rsidRPr="00992A5B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Pr="00992A5B" w:rsidRDefault="00D73CB9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Pored Z</w:t>
      </w:r>
      <w:r w:rsidR="004031E8">
        <w:rPr>
          <w:rFonts w:ascii="Times New Roman" w:eastAsia="Times New Roman" w:hAnsi="Times New Roman"/>
          <w:lang w:eastAsia="hr-HR"/>
        </w:rPr>
        <w:t>akonom propisane obveze,</w:t>
      </w:r>
      <w:r w:rsidR="001A7CC9">
        <w:rPr>
          <w:rFonts w:ascii="Times New Roman" w:eastAsia="Times New Roman" w:hAnsi="Times New Roman"/>
          <w:lang w:eastAsia="hr-HR"/>
        </w:rPr>
        <w:t xml:space="preserve"> cilj</w:t>
      </w:r>
      <w:r w:rsidR="004031E8">
        <w:rPr>
          <w:rFonts w:ascii="Times New Roman" w:eastAsia="Times New Roman" w:hAnsi="Times New Roman"/>
          <w:lang w:eastAsia="hr-HR"/>
        </w:rPr>
        <w:t xml:space="preserve"> </w:t>
      </w:r>
      <w:r w:rsidR="004A0C54">
        <w:rPr>
          <w:rFonts w:ascii="Times New Roman" w:eastAsia="Times New Roman" w:hAnsi="Times New Roman"/>
          <w:lang w:eastAsia="hr-HR"/>
        </w:rPr>
        <w:t>Godišnje</w:t>
      </w:r>
      <w:r w:rsidR="001A7CC9">
        <w:rPr>
          <w:rFonts w:ascii="Times New Roman" w:eastAsia="Times New Roman" w:hAnsi="Times New Roman"/>
          <w:lang w:eastAsia="hr-HR"/>
        </w:rPr>
        <w:t>g</w:t>
      </w:r>
      <w:r w:rsidR="004A0C54">
        <w:rPr>
          <w:rFonts w:ascii="Times New Roman" w:eastAsia="Times New Roman" w:hAnsi="Times New Roman"/>
          <w:lang w:eastAsia="hr-HR"/>
        </w:rPr>
        <w:t xml:space="preserve"> izvješć</w:t>
      </w:r>
      <w:r w:rsidR="001A7CC9">
        <w:rPr>
          <w:rFonts w:ascii="Times New Roman" w:eastAsia="Times New Roman" w:hAnsi="Times New Roman"/>
          <w:lang w:eastAsia="hr-HR"/>
        </w:rPr>
        <w:t>a</w:t>
      </w:r>
      <w:r w:rsidR="004A0C54">
        <w:rPr>
          <w:rFonts w:ascii="Times New Roman" w:eastAsia="Times New Roman" w:hAnsi="Times New Roman"/>
          <w:lang w:eastAsia="hr-HR"/>
        </w:rPr>
        <w:t xml:space="preserve"> za 201</w:t>
      </w:r>
      <w:r w:rsidR="000C5C7B">
        <w:rPr>
          <w:rFonts w:ascii="Times New Roman" w:eastAsia="Times New Roman" w:hAnsi="Times New Roman"/>
          <w:lang w:eastAsia="hr-HR"/>
        </w:rPr>
        <w:t>8</w:t>
      </w:r>
      <w:r w:rsidR="004A0C54">
        <w:rPr>
          <w:rFonts w:ascii="Times New Roman" w:eastAsia="Times New Roman" w:hAnsi="Times New Roman"/>
          <w:lang w:eastAsia="hr-HR"/>
        </w:rPr>
        <w:t xml:space="preserve">. </w:t>
      </w:r>
      <w:r w:rsidR="001A7CC9">
        <w:rPr>
          <w:rFonts w:ascii="Times New Roman" w:eastAsia="Times New Roman" w:hAnsi="Times New Roman"/>
          <w:lang w:eastAsia="hr-HR"/>
        </w:rPr>
        <w:t>jest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transparentno informirati javnost o činjenicama od značaja za nacionalnu sigurnost, vanjsku politiku i gospodarske interese Republike Hrvatske. Isto tako cilj mu je objediniti sve aktivnosti koje su tijekom godine poduzimala nadležna javnopravna tijela Republike Hrvatske kako bi se uspostavio što uspješniji i </w:t>
      </w:r>
      <w:r w:rsidR="001A7CC9">
        <w:rPr>
          <w:rFonts w:ascii="Times New Roman" w:eastAsia="Times New Roman" w:hAnsi="Times New Roman"/>
          <w:lang w:eastAsia="hr-HR"/>
        </w:rPr>
        <w:t>učinkovitiji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sustav kontrole izvoza i uvoza robe vojne namjene i nevojnih ubojnih sredstava.</w:t>
      </w:r>
    </w:p>
    <w:p w:rsidR="006D5DA5" w:rsidRDefault="006D5DA5" w:rsidP="007F12D5">
      <w:pPr>
        <w:spacing w:line="276" w:lineRule="auto"/>
        <w:jc w:val="both"/>
      </w:pPr>
    </w:p>
    <w:p w:rsidR="00C81CEF" w:rsidRPr="00BA04FE" w:rsidRDefault="00BC5F2A" w:rsidP="007F12D5">
      <w:pPr>
        <w:pStyle w:val="Heading2"/>
        <w:spacing w:line="276" w:lineRule="auto"/>
      </w:pPr>
      <w:r>
        <w:t xml:space="preserve">   1.1. </w:t>
      </w:r>
      <w:r w:rsidR="00906EB9">
        <w:t>DEFINICIJE</w:t>
      </w:r>
    </w:p>
    <w:p w:rsidR="003B538B" w:rsidRPr="003B538B" w:rsidRDefault="003B538B" w:rsidP="007F12D5">
      <w:pPr>
        <w:spacing w:line="276" w:lineRule="auto"/>
      </w:pPr>
    </w:p>
    <w:p w:rsidR="005A0A9C" w:rsidRDefault="005D01A9" w:rsidP="007F12D5">
      <w:pPr>
        <w:spacing w:line="276" w:lineRule="auto"/>
        <w:ind w:right="-108"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odredbe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Zakona ugrađene su definicije preuzete iz regulative Europske unije </w:t>
      </w:r>
      <w:r w:rsidR="005A0A9C">
        <w:rPr>
          <w:rFonts w:ascii="Times New Roman" w:eastAsia="Times New Roman" w:hAnsi="Times New Roman"/>
          <w:lang w:eastAsia="hr-HR"/>
        </w:rPr>
        <w:t>te u smislu Zakona i  Godišnjeg izvješća za 201</w:t>
      </w:r>
      <w:r w:rsidR="000C5C7B">
        <w:rPr>
          <w:rFonts w:ascii="Times New Roman" w:eastAsia="Times New Roman" w:hAnsi="Times New Roman"/>
          <w:lang w:eastAsia="hr-HR"/>
        </w:rPr>
        <w:t>8</w:t>
      </w:r>
      <w:r w:rsidR="005A0A9C">
        <w:rPr>
          <w:rFonts w:ascii="Times New Roman" w:eastAsia="Times New Roman" w:hAnsi="Times New Roman"/>
          <w:lang w:eastAsia="hr-HR"/>
        </w:rPr>
        <w:t xml:space="preserve">. imaju sljedeće značenje: </w:t>
      </w:r>
    </w:p>
    <w:p w:rsidR="006E3538" w:rsidRPr="00B572DB" w:rsidRDefault="006E3538" w:rsidP="007F12D5">
      <w:pPr>
        <w:pStyle w:val="ListParagraph"/>
        <w:numPr>
          <w:ilvl w:val="0"/>
          <w:numId w:val="13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 w:rsidRPr="00B572DB">
        <w:rPr>
          <w:rFonts w:ascii="Times New Roman" w:eastAsia="Times New Roman" w:hAnsi="Times New Roman"/>
          <w:lang w:eastAsia="hr-HR"/>
        </w:rPr>
        <w:t>„</w:t>
      </w:r>
      <w:r w:rsidR="00992A5B" w:rsidRPr="00B572DB">
        <w:rPr>
          <w:rFonts w:ascii="Times New Roman" w:eastAsia="Times New Roman" w:hAnsi="Times New Roman"/>
          <w:lang w:eastAsia="hr-HR"/>
        </w:rPr>
        <w:t>Roba vojne namjene</w:t>
      </w:r>
      <w:r w:rsidRPr="00B572DB">
        <w:rPr>
          <w:rFonts w:ascii="Times New Roman" w:eastAsia="Times New Roman" w:hAnsi="Times New Roman"/>
          <w:lang w:eastAsia="hr-HR"/>
        </w:rPr>
        <w:t>“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je roba koja je uglavnom, ali ne isključivo, konstruirana, izrađena, sastavljena ili modificirana za vojnu namjenu, uključujući tehnologiju i softver povezan uz tu robu te je navedena u Popisu rob</w:t>
      </w:r>
      <w:r w:rsidR="004A0C54">
        <w:rPr>
          <w:rFonts w:ascii="Times New Roman" w:eastAsia="Times New Roman" w:hAnsi="Times New Roman"/>
          <w:lang w:eastAsia="hr-HR"/>
        </w:rPr>
        <w:t>e vojne namjene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F66369" w:rsidRPr="00B572DB" w:rsidRDefault="00A7799F" w:rsidP="007F12D5">
      <w:pPr>
        <w:pStyle w:val="ListParagraph"/>
        <w:numPr>
          <w:ilvl w:val="0"/>
          <w:numId w:val="13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 w:rsidRPr="00B572DB">
        <w:rPr>
          <w:rFonts w:ascii="Times New Roman" w:eastAsia="Times New Roman" w:hAnsi="Times New Roman"/>
          <w:lang w:eastAsia="hr-HR"/>
        </w:rPr>
        <w:t>„</w:t>
      </w:r>
      <w:r w:rsidR="00992A5B" w:rsidRPr="00B572DB">
        <w:rPr>
          <w:rFonts w:ascii="Times New Roman" w:eastAsia="Times New Roman" w:hAnsi="Times New Roman"/>
          <w:lang w:eastAsia="hr-HR"/>
        </w:rPr>
        <w:t>Obrambeni proizvod</w:t>
      </w:r>
      <w:r w:rsidRPr="00B572DB">
        <w:rPr>
          <w:rFonts w:ascii="Times New Roman" w:eastAsia="Times New Roman" w:hAnsi="Times New Roman"/>
          <w:lang w:eastAsia="hr-HR"/>
        </w:rPr>
        <w:t>“</w:t>
      </w:r>
      <w:r w:rsidR="0099015B" w:rsidRPr="00B572DB">
        <w:rPr>
          <w:rFonts w:ascii="Times New Roman" w:eastAsia="Times New Roman" w:hAnsi="Times New Roman"/>
          <w:lang w:eastAsia="hr-HR"/>
        </w:rPr>
        <w:t xml:space="preserve"> </w:t>
      </w:r>
      <w:r w:rsidR="00992A5B" w:rsidRPr="00B572DB">
        <w:rPr>
          <w:rFonts w:ascii="Times New Roman" w:eastAsia="Times New Roman" w:hAnsi="Times New Roman"/>
          <w:lang w:eastAsia="hr-HR"/>
        </w:rPr>
        <w:t>podrazumijeva svaki proizvod naveden u Popisu obrambenih pr</w:t>
      </w:r>
      <w:r w:rsidR="00D73CB9" w:rsidRPr="00B572DB">
        <w:rPr>
          <w:rFonts w:ascii="Times New Roman" w:eastAsia="Times New Roman" w:hAnsi="Times New Roman"/>
          <w:lang w:eastAsia="hr-HR"/>
        </w:rPr>
        <w:t>oizvoda koji određuje Europska k</w:t>
      </w:r>
      <w:r w:rsidR="004A0C54">
        <w:rPr>
          <w:rFonts w:ascii="Times New Roman" w:eastAsia="Times New Roman" w:hAnsi="Times New Roman"/>
          <w:lang w:eastAsia="hr-HR"/>
        </w:rPr>
        <w:t>omisija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992A5B" w:rsidRPr="00B572DB" w:rsidRDefault="00A7799F" w:rsidP="007F12D5">
      <w:pPr>
        <w:pStyle w:val="ListParagraph"/>
        <w:numPr>
          <w:ilvl w:val="0"/>
          <w:numId w:val="13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 w:rsidRPr="00B572DB">
        <w:rPr>
          <w:rFonts w:ascii="Times New Roman" w:eastAsia="Times New Roman" w:hAnsi="Times New Roman"/>
          <w:lang w:eastAsia="hr-HR"/>
        </w:rPr>
        <w:t>„</w:t>
      </w:r>
      <w:r w:rsidR="00992A5B" w:rsidRPr="00B572DB">
        <w:rPr>
          <w:rFonts w:ascii="Times New Roman" w:eastAsia="Times New Roman" w:hAnsi="Times New Roman"/>
          <w:lang w:eastAsia="hr-HR"/>
        </w:rPr>
        <w:t>Nevojna ubojna sredstva</w:t>
      </w:r>
      <w:r w:rsidRPr="00B572DB">
        <w:rPr>
          <w:rFonts w:ascii="Times New Roman" w:eastAsia="Times New Roman" w:hAnsi="Times New Roman"/>
          <w:lang w:eastAsia="hr-HR"/>
        </w:rPr>
        <w:t>“</w:t>
      </w:r>
      <w:r w:rsidR="0099015B" w:rsidRPr="00B572DB">
        <w:rPr>
          <w:rFonts w:ascii="Times New Roman" w:eastAsia="Times New Roman" w:hAnsi="Times New Roman"/>
          <w:lang w:eastAsia="hr-HR"/>
        </w:rPr>
        <w:t xml:space="preserve"> </w:t>
      </w:r>
      <w:r w:rsidR="00992A5B" w:rsidRPr="00B572DB">
        <w:rPr>
          <w:rFonts w:ascii="Times New Roman" w:eastAsia="Times New Roman" w:hAnsi="Times New Roman"/>
          <w:lang w:eastAsia="hr-HR"/>
        </w:rPr>
        <w:t>podrazumijevaju robu navedenu u Popisu nevojnih ubojnih sredstava za komercijalne svrhe. Popis nevojnih ubojnih sredstava</w:t>
      </w:r>
      <w:r w:rsidR="006D5DA5">
        <w:rPr>
          <w:rFonts w:ascii="Times New Roman" w:eastAsia="Times New Roman" w:hAnsi="Times New Roman"/>
          <w:lang w:eastAsia="hr-HR"/>
        </w:rPr>
        <w:t xml:space="preserve">, definiran u Prilogu III. </w:t>
      </w:r>
      <w:r w:rsidR="006D5DA5" w:rsidRPr="006D5DA5">
        <w:rPr>
          <w:rFonts w:ascii="Times New Roman" w:eastAsia="Times New Roman" w:hAnsi="Times New Roman"/>
          <w:lang w:eastAsia="hr-HR"/>
        </w:rPr>
        <w:t>Uredb</w:t>
      </w:r>
      <w:r w:rsidR="006D5DA5">
        <w:rPr>
          <w:rFonts w:ascii="Times New Roman" w:eastAsia="Times New Roman" w:hAnsi="Times New Roman"/>
          <w:lang w:eastAsia="hr-HR"/>
        </w:rPr>
        <w:t>e</w:t>
      </w:r>
      <w:r w:rsidR="006D5DA5" w:rsidRPr="006D5DA5">
        <w:rPr>
          <w:rFonts w:ascii="Times New Roman" w:eastAsia="Times New Roman" w:hAnsi="Times New Roman"/>
          <w:lang w:eastAsia="hr-HR"/>
        </w:rPr>
        <w:t xml:space="preserve"> o  popisu robe vojne namjene, obrambenih proizvoda i nevojnih ubojnih sredstava (Narodne novine, br</w:t>
      </w:r>
      <w:r w:rsidR="000C5C7B">
        <w:rPr>
          <w:rFonts w:ascii="Times New Roman" w:eastAsia="Times New Roman" w:hAnsi="Times New Roman"/>
          <w:lang w:eastAsia="hr-HR"/>
        </w:rPr>
        <w:t>.</w:t>
      </w:r>
      <w:r w:rsidR="006D5DA5" w:rsidRPr="006D5DA5">
        <w:rPr>
          <w:rFonts w:ascii="Times New Roman" w:eastAsia="Times New Roman" w:hAnsi="Times New Roman"/>
          <w:lang w:eastAsia="hr-HR"/>
        </w:rPr>
        <w:t xml:space="preserve"> 26/18</w:t>
      </w:r>
      <w:r w:rsidR="000C5C7B">
        <w:rPr>
          <w:rFonts w:ascii="Times New Roman" w:eastAsia="Times New Roman" w:hAnsi="Times New Roman"/>
          <w:lang w:eastAsia="hr-HR"/>
        </w:rPr>
        <w:t xml:space="preserve"> i 37/18</w:t>
      </w:r>
      <w:r w:rsidR="006D5DA5" w:rsidRPr="006D5DA5">
        <w:rPr>
          <w:rFonts w:ascii="Times New Roman" w:eastAsia="Times New Roman" w:hAnsi="Times New Roman"/>
          <w:lang w:eastAsia="hr-HR"/>
        </w:rPr>
        <w:t>)</w:t>
      </w:r>
      <w:r w:rsidR="006D5DA5">
        <w:rPr>
          <w:rFonts w:ascii="Times New Roman" w:eastAsia="Times New Roman" w:hAnsi="Times New Roman"/>
          <w:lang w:eastAsia="hr-HR"/>
        </w:rPr>
        <w:t>,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je n</w:t>
      </w:r>
      <w:r w:rsidR="00A70A06" w:rsidRPr="00B572DB">
        <w:rPr>
          <w:rFonts w:ascii="Times New Roman" w:eastAsia="Times New Roman" w:hAnsi="Times New Roman"/>
          <w:lang w:eastAsia="hr-HR"/>
        </w:rPr>
        <w:t>acionalni propis, a svaka država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članica Europske unije ima mogućnost sama odlučivati koja vrsta ubojnih sredstava će se nalaziti na </w:t>
      </w:r>
      <w:r w:rsidR="002E4C08">
        <w:rPr>
          <w:rFonts w:ascii="Times New Roman" w:eastAsia="Times New Roman" w:hAnsi="Times New Roman"/>
          <w:lang w:eastAsia="hr-HR"/>
        </w:rPr>
        <w:t>njezinom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nacionalnom popisu. U nevojna ubojna sredstva spadaju lovačko i sportsko oružje te dijelovi tog </w:t>
      </w:r>
      <w:r w:rsidR="00992A5B" w:rsidRPr="00B572DB">
        <w:rPr>
          <w:rFonts w:ascii="Times New Roman" w:eastAsia="Times New Roman" w:hAnsi="Times New Roman"/>
          <w:lang w:eastAsia="hr-HR"/>
        </w:rPr>
        <w:lastRenderedPageBreak/>
        <w:t xml:space="preserve">oružja, lovačko i sportsko streljivo i njegovi dijelovi te gospodarski eksplozivi, baruti i </w:t>
      </w:r>
      <w:r w:rsidR="004A0C54">
        <w:rPr>
          <w:rFonts w:ascii="Times New Roman" w:eastAsia="Times New Roman" w:hAnsi="Times New Roman"/>
          <w:lang w:eastAsia="hr-HR"/>
        </w:rPr>
        <w:t>određeni pirotehnički proizvodi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992A5B" w:rsidRDefault="00A7799F" w:rsidP="007F12D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 w:rsidRPr="00B572DB">
        <w:rPr>
          <w:rFonts w:ascii="Times New Roman" w:eastAsia="Times New Roman" w:hAnsi="Times New Roman"/>
          <w:lang w:eastAsia="hr-HR"/>
        </w:rPr>
        <w:t>„</w:t>
      </w:r>
      <w:r w:rsidR="00992A5B" w:rsidRPr="00B572DB">
        <w:rPr>
          <w:rFonts w:ascii="Times New Roman" w:eastAsia="Times New Roman" w:hAnsi="Times New Roman"/>
          <w:lang w:eastAsia="hr-HR"/>
        </w:rPr>
        <w:t>Usluge</w:t>
      </w:r>
      <w:r w:rsidRPr="00B572DB">
        <w:rPr>
          <w:rFonts w:ascii="Times New Roman" w:eastAsia="Times New Roman" w:hAnsi="Times New Roman"/>
          <w:lang w:eastAsia="hr-HR"/>
        </w:rPr>
        <w:t>“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čine pribavljanje koristi, prenošenje prava te ostale poslovne aktivnosti koje se odnose na robu vojne namjene, uključujući br</w:t>
      </w:r>
      <w:r w:rsidR="004A0C54">
        <w:rPr>
          <w:rFonts w:ascii="Times New Roman" w:eastAsia="Times New Roman" w:hAnsi="Times New Roman"/>
          <w:lang w:eastAsia="hr-HR"/>
        </w:rPr>
        <w:t>okerske usluge i tehničku pomoć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C3720C" w:rsidRPr="00C3720C" w:rsidRDefault="00C3720C" w:rsidP="007F12D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„Brokerske </w:t>
      </w:r>
      <w:r w:rsidR="00992A5B" w:rsidRPr="00C3720C">
        <w:rPr>
          <w:rFonts w:ascii="Times New Roman" w:eastAsia="Times New Roman" w:hAnsi="Times New Roman"/>
          <w:lang w:eastAsia="hr-HR"/>
        </w:rPr>
        <w:t>usluge</w:t>
      </w:r>
      <w:r w:rsidR="00A7799F" w:rsidRPr="00C3720C">
        <w:rPr>
          <w:rFonts w:ascii="Times New Roman" w:eastAsia="Times New Roman" w:hAnsi="Times New Roman"/>
          <w:lang w:eastAsia="hr-HR"/>
        </w:rPr>
        <w:t>“</w:t>
      </w:r>
      <w:r w:rsidR="00992A5B" w:rsidRPr="00C3720C">
        <w:rPr>
          <w:rFonts w:ascii="Times New Roman" w:eastAsia="Times New Roman" w:hAnsi="Times New Roman"/>
          <w:lang w:eastAsia="hr-HR"/>
        </w:rPr>
        <w:t xml:space="preserve"> čini pregovaranje ili ugovaranje poslova za kupnju, prodaju ili nabavu robe vojne namjene, navedenu u Popisu robe vojne namjene, iz jedne strane države u bilo koju drugu stranu državu te prodaju i ku</w:t>
      </w:r>
      <w:r w:rsidR="005D01A9" w:rsidRPr="00C3720C">
        <w:rPr>
          <w:rFonts w:ascii="Times New Roman" w:eastAsia="Times New Roman" w:hAnsi="Times New Roman"/>
          <w:lang w:eastAsia="hr-HR"/>
        </w:rPr>
        <w:t>pnju robe vojne namjene navedene</w:t>
      </w:r>
      <w:r w:rsidR="00992A5B" w:rsidRPr="00C3720C">
        <w:rPr>
          <w:rFonts w:ascii="Times New Roman" w:eastAsia="Times New Roman" w:hAnsi="Times New Roman"/>
          <w:lang w:eastAsia="hr-HR"/>
        </w:rPr>
        <w:t xml:space="preserve"> u Popisu robe vojne namjene koja se nalazi u jednoj stranoj državi za prijenos u drugu stranu državu.</w:t>
      </w:r>
      <w:r w:rsidRPr="00C3720C">
        <w:rPr>
          <w:rFonts w:ascii="Times New Roman" w:eastAsia="Times New Roman" w:hAnsi="Times New Roman"/>
          <w:lang w:eastAsia="hr-HR"/>
        </w:rPr>
        <w:t xml:space="preserve"> Brokerskim uslugama ne smatraju se pomoćne usluge. Pomoćne usluge su prijevozništvo, financijske usluge, osiguranje ili reosigura</w:t>
      </w:r>
      <w:r w:rsidR="004A0C54">
        <w:rPr>
          <w:rFonts w:ascii="Times New Roman" w:eastAsia="Times New Roman" w:hAnsi="Times New Roman"/>
          <w:lang w:eastAsia="hr-HR"/>
        </w:rPr>
        <w:t>nje i oglašavanje ili promidžba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992A5B" w:rsidRPr="00B572DB" w:rsidRDefault="00C3720C" w:rsidP="007F12D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 w:rsidR="00B572DB">
        <w:rPr>
          <w:rFonts w:ascii="Times New Roman" w:eastAsia="Times New Roman" w:hAnsi="Times New Roman"/>
          <w:lang w:eastAsia="hr-HR"/>
        </w:rPr>
        <w:t>„</w:t>
      </w:r>
      <w:r w:rsidR="00992A5B" w:rsidRPr="00B572DB">
        <w:rPr>
          <w:rFonts w:ascii="Times New Roman" w:eastAsia="Times New Roman" w:hAnsi="Times New Roman"/>
          <w:lang w:eastAsia="hr-HR"/>
        </w:rPr>
        <w:t>Tehničk</w:t>
      </w:r>
      <w:r w:rsidR="00B572DB">
        <w:rPr>
          <w:rFonts w:ascii="Times New Roman" w:eastAsia="Times New Roman" w:hAnsi="Times New Roman"/>
          <w:lang w:eastAsia="hr-HR"/>
        </w:rPr>
        <w:t>a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pomoć</w:t>
      </w:r>
      <w:r w:rsidR="00B572DB">
        <w:rPr>
          <w:rFonts w:ascii="Times New Roman" w:eastAsia="Times New Roman" w:hAnsi="Times New Roman"/>
          <w:lang w:eastAsia="hr-HR"/>
        </w:rPr>
        <w:t>“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predstavlja svak</w:t>
      </w:r>
      <w:r w:rsidR="006D5DA5">
        <w:rPr>
          <w:rFonts w:ascii="Times New Roman" w:eastAsia="Times New Roman" w:hAnsi="Times New Roman"/>
          <w:lang w:eastAsia="hr-HR"/>
        </w:rPr>
        <w:t>u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pomoć u svezi s popravkom, razvojem, proizvodnjom, sastavljanjem, testiranjem ili održavanjem robe vojne namjene te bilo koja druga pomoć koja</w:t>
      </w:r>
      <w:r w:rsidR="006D5DA5">
        <w:rPr>
          <w:rFonts w:ascii="Times New Roman" w:eastAsia="Times New Roman" w:hAnsi="Times New Roman"/>
          <w:lang w:eastAsia="hr-HR"/>
        </w:rPr>
        <w:t xml:space="preserve"> se </w:t>
      </w:r>
      <w:r w:rsidR="002666DC">
        <w:rPr>
          <w:rFonts w:ascii="Times New Roman" w:eastAsia="Times New Roman" w:hAnsi="Times New Roman"/>
          <w:lang w:eastAsia="hr-HR"/>
        </w:rPr>
        <w:t>tehničk</w:t>
      </w:r>
      <w:r w:rsidR="006D5DA5">
        <w:rPr>
          <w:rFonts w:ascii="Times New Roman" w:eastAsia="Times New Roman" w:hAnsi="Times New Roman"/>
          <w:lang w:eastAsia="hr-HR"/>
        </w:rPr>
        <w:t>i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odnosi na robu vojne namjene</w:t>
      </w:r>
      <w:r w:rsidR="006D5DA5">
        <w:rPr>
          <w:rFonts w:ascii="Times New Roman" w:eastAsia="Times New Roman" w:hAnsi="Times New Roman"/>
          <w:lang w:eastAsia="hr-HR"/>
        </w:rPr>
        <w:t xml:space="preserve"> te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koja može imati oblik upute, osposobljavanja, prijenosa p</w:t>
      </w:r>
      <w:r w:rsidR="005D01A9" w:rsidRPr="00B572DB">
        <w:rPr>
          <w:rFonts w:ascii="Times New Roman" w:eastAsia="Times New Roman" w:hAnsi="Times New Roman"/>
          <w:lang w:eastAsia="hr-HR"/>
        </w:rPr>
        <w:t>oslovnog znanja i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stručnih ili savjetodavnih usluga.</w:t>
      </w:r>
      <w:r w:rsidR="00B572DB">
        <w:rPr>
          <w:rFonts w:ascii="Times New Roman" w:eastAsia="Times New Roman" w:hAnsi="Times New Roman"/>
          <w:lang w:eastAsia="hr-HR"/>
        </w:rPr>
        <w:t xml:space="preserve"> </w:t>
      </w:r>
      <w:r w:rsidR="00992A5B" w:rsidRPr="00B572DB">
        <w:rPr>
          <w:rFonts w:ascii="Times New Roman" w:eastAsia="Times New Roman" w:hAnsi="Times New Roman"/>
          <w:lang w:eastAsia="hr-HR"/>
        </w:rPr>
        <w:t>Tehnička pomoć uključuje i usmene oblike pomoći, pisane ili glasovne instrukcije, treninge, prijenose poslovnog znanja ili vj</w:t>
      </w:r>
      <w:r w:rsidR="004A0C54">
        <w:rPr>
          <w:rFonts w:ascii="Times New Roman" w:eastAsia="Times New Roman" w:hAnsi="Times New Roman"/>
          <w:lang w:eastAsia="hr-HR"/>
        </w:rPr>
        <w:t>eština ili konzultantske usluge</w:t>
      </w:r>
      <w:r w:rsidR="000C5C7B">
        <w:rPr>
          <w:rFonts w:ascii="Times New Roman" w:eastAsia="Times New Roman" w:hAnsi="Times New Roman"/>
          <w:lang w:eastAsia="hr-HR"/>
        </w:rPr>
        <w:t>.</w:t>
      </w:r>
    </w:p>
    <w:p w:rsidR="005E79A1" w:rsidRPr="006E3538" w:rsidRDefault="00A7799F" w:rsidP="007F12D5">
      <w:pPr>
        <w:pStyle w:val="ListParagraph"/>
        <w:numPr>
          <w:ilvl w:val="0"/>
          <w:numId w:val="13"/>
        </w:numPr>
        <w:spacing w:line="276" w:lineRule="auto"/>
        <w:jc w:val="both"/>
      </w:pPr>
      <w:r w:rsidRPr="00B572DB">
        <w:rPr>
          <w:rFonts w:ascii="Times New Roman" w:eastAsia="Times New Roman" w:hAnsi="Times New Roman"/>
          <w:lang w:eastAsia="hr-HR"/>
        </w:rPr>
        <w:t>„</w:t>
      </w:r>
      <w:r w:rsidR="005D01A9" w:rsidRPr="00B572DB">
        <w:rPr>
          <w:rFonts w:ascii="Times New Roman" w:eastAsia="Times New Roman" w:hAnsi="Times New Roman"/>
          <w:lang w:eastAsia="hr-HR"/>
        </w:rPr>
        <w:t>Prijenos</w:t>
      </w:r>
      <w:r w:rsidRPr="00B572DB">
        <w:rPr>
          <w:rFonts w:ascii="Times New Roman" w:eastAsia="Times New Roman" w:hAnsi="Times New Roman"/>
          <w:lang w:eastAsia="hr-HR"/>
        </w:rPr>
        <w:t>“</w:t>
      </w:r>
      <w:r w:rsidR="00992A5B" w:rsidRPr="00B572DB">
        <w:rPr>
          <w:rFonts w:ascii="Times New Roman" w:eastAsia="Times New Roman" w:hAnsi="Times New Roman"/>
          <w:lang w:eastAsia="hr-HR"/>
        </w:rPr>
        <w:t xml:space="preserve"> podrazumijeva svaki transfer ili kretanje obrambenih proizvoda od dobavljača u jednoj državi članici Europske unije do primatelja u drugoj državi članici Europske unije.</w:t>
      </w:r>
    </w:p>
    <w:p w:rsidR="005E79A1" w:rsidRDefault="005E79A1" w:rsidP="007F12D5">
      <w:pPr>
        <w:spacing w:line="276" w:lineRule="auto"/>
        <w:jc w:val="both"/>
      </w:pPr>
    </w:p>
    <w:p w:rsidR="00F33DF5" w:rsidRPr="00F33DF5" w:rsidRDefault="004A7495" w:rsidP="007F12D5">
      <w:pPr>
        <w:pStyle w:val="Heading2"/>
        <w:spacing w:line="276" w:lineRule="auto"/>
      </w:pPr>
      <w:r w:rsidRPr="00BA04FE">
        <w:t>1.</w:t>
      </w:r>
      <w:r w:rsidR="00C81CEF" w:rsidRPr="00BA04FE">
        <w:t>2.</w:t>
      </w:r>
      <w:r w:rsidR="00C81CEF">
        <w:t xml:space="preserve"> </w:t>
      </w:r>
      <w:r w:rsidR="00C81CEF" w:rsidRPr="00C81CEF">
        <w:t>UVJETI ZA IZVOZ I UVOZ ROBE VOJNE NAMJENE I NEVOJNIH UBOJNIH SREDSTAVA TE PRIJE</w:t>
      </w:r>
      <w:r w:rsidR="00BA04FE">
        <w:t xml:space="preserve">NOS OBRAMBENIH PROIZVODA UNUTAR   </w:t>
      </w:r>
      <w:r w:rsidR="00C81CEF" w:rsidRPr="00C81CEF">
        <w:t>EUROPSKE</w:t>
      </w:r>
      <w:r w:rsidR="00BA04FE">
        <w:t xml:space="preserve"> </w:t>
      </w:r>
      <w:r w:rsidR="00F33DF5">
        <w:t>UNIJE</w:t>
      </w:r>
    </w:p>
    <w:p w:rsidR="006E3538" w:rsidRPr="006E3538" w:rsidRDefault="006E3538" w:rsidP="007F12D5">
      <w:pPr>
        <w:spacing w:line="276" w:lineRule="auto"/>
      </w:pPr>
    </w:p>
    <w:p w:rsidR="00992A5B" w:rsidRDefault="00992A5B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Zakonom su propisani uvjeti za izvoz i uvoz robe, pružanje usluga te prijenos obrambenih proizvoda između država članica Europske unije, ovlasti za izdavanje dozvola za izvoz/uvoz, prijenos obrambenih proizvoda te pružanje usluga koje se odnose na robu vojne namjene, nadležnosti tijela državne uprave koja sudjeluju u njegovoj provedbi, prava i obveze izvoznika, uvoznika i pružatelja usluga, uvjeti za obavljanje djelatnosti propisanih navedenim Zakonom te nadzor i upravne mjere za prekršitelje Zakona kada su ugroženi nacionalni ili vanjskopolitički interesi Republike Hrvatske.</w:t>
      </w:r>
    </w:p>
    <w:p w:rsidR="002A2DA6" w:rsidRPr="00992A5B" w:rsidRDefault="002A2DA6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Default="00992A5B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Izvoz/uvoz robe vojne namjene i nevojnih ubojnih sredstava te prijenos obrambenih proizvoda, temeljem Zakona, mogu obavljati samo pravne i fizičke osobe – obrtnici upisane u Očevidnik izvoznika i uvoznika robe vojne namjene i nevojnih ubojnih sredstava.</w:t>
      </w:r>
    </w:p>
    <w:p w:rsidR="002A2DA6" w:rsidRPr="00992A5B" w:rsidRDefault="002A2DA6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Pr="00992A5B" w:rsidRDefault="00992A5B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Pružanjem usluga mogu se baviti osobe registrirane za obavljanje djelatnosti proizvodnje, odnosno posredovanja na domaćem i inozemnom tržištu robom navedenom u Popisu robe vojne namjene, sa sjedištem na teritoriju Republike Hrvatske te upisane u Očevidnik pružatelja usluga za robu vojne namjene.</w:t>
      </w:r>
    </w:p>
    <w:p w:rsidR="00992A5B" w:rsidRDefault="00992A5B">
      <w:pPr>
        <w:rPr>
          <w:rFonts w:ascii="Times New Roman" w:hAnsi="Times New Roman"/>
        </w:rPr>
      </w:pPr>
    </w:p>
    <w:p w:rsidR="00706ADC" w:rsidRDefault="00706ADC" w:rsidP="00531ADD">
      <w:pPr>
        <w:ind w:left="2268" w:hanging="1559"/>
        <w:jc w:val="both"/>
        <w:rPr>
          <w:rFonts w:ascii="Times New Roman" w:hAnsi="Times New Roman"/>
        </w:rPr>
      </w:pPr>
    </w:p>
    <w:p w:rsidR="00425C4A" w:rsidRDefault="00425C4A" w:rsidP="00531ADD">
      <w:pPr>
        <w:ind w:left="2268" w:hanging="1559"/>
        <w:jc w:val="both"/>
        <w:rPr>
          <w:rFonts w:ascii="Times New Roman" w:hAnsi="Times New Roman"/>
        </w:rPr>
      </w:pPr>
    </w:p>
    <w:p w:rsidR="00C81CEF" w:rsidRDefault="00F039BE" w:rsidP="00531ADD">
      <w:pPr>
        <w:ind w:left="2268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br.</w:t>
      </w:r>
      <w:r w:rsidR="00531ADD">
        <w:rPr>
          <w:rFonts w:ascii="Times New Roman" w:hAnsi="Times New Roman"/>
        </w:rPr>
        <w:t xml:space="preserve"> 1.</w:t>
      </w:r>
      <w:r w:rsidR="00531ADD">
        <w:rPr>
          <w:rFonts w:ascii="Times New Roman" w:hAnsi="Times New Roman"/>
        </w:rPr>
        <w:tab/>
      </w:r>
      <w:r w:rsidR="00F37D31">
        <w:rPr>
          <w:rFonts w:ascii="Times New Roman" w:hAnsi="Times New Roman"/>
        </w:rPr>
        <w:t>Broj trgovačkih društava</w:t>
      </w:r>
      <w:r w:rsidR="00C81CEF" w:rsidRPr="00830C50">
        <w:rPr>
          <w:rFonts w:ascii="Times New Roman" w:hAnsi="Times New Roman"/>
        </w:rPr>
        <w:t xml:space="preserve"> upi</w:t>
      </w:r>
      <w:r w:rsidR="001716B0">
        <w:rPr>
          <w:rFonts w:ascii="Times New Roman" w:hAnsi="Times New Roman"/>
        </w:rPr>
        <w:t xml:space="preserve">sanih u Očevidnike do 31. prosinca </w:t>
      </w:r>
      <w:r w:rsidR="003B538B">
        <w:rPr>
          <w:rFonts w:ascii="Times New Roman" w:hAnsi="Times New Roman"/>
        </w:rPr>
        <w:t>201</w:t>
      </w:r>
      <w:r w:rsidR="000C5C7B">
        <w:rPr>
          <w:rFonts w:ascii="Times New Roman" w:hAnsi="Times New Roman"/>
        </w:rPr>
        <w:t>8</w:t>
      </w:r>
      <w:r w:rsidR="002753EC">
        <w:rPr>
          <w:rFonts w:ascii="Times New Roman" w:hAnsi="Times New Roman"/>
        </w:rPr>
        <w:t>.</w:t>
      </w:r>
      <w:r w:rsidR="00BC5F2A">
        <w:rPr>
          <w:rFonts w:ascii="Times New Roman" w:hAnsi="Times New Roman"/>
        </w:rPr>
        <w:t xml:space="preserve"> </w:t>
      </w:r>
      <w:r w:rsidR="0099015B">
        <w:rPr>
          <w:rFonts w:ascii="Times New Roman" w:hAnsi="Times New Roman"/>
        </w:rPr>
        <w:t>g</w:t>
      </w:r>
      <w:r w:rsidR="00C81CEF" w:rsidRPr="00830C50">
        <w:rPr>
          <w:rFonts w:ascii="Times New Roman" w:hAnsi="Times New Roman"/>
        </w:rPr>
        <w:t>odine</w:t>
      </w:r>
    </w:p>
    <w:p w:rsidR="0099015B" w:rsidRDefault="0099015B" w:rsidP="00C81CEF">
      <w:pPr>
        <w:jc w:val="both"/>
        <w:rPr>
          <w:rFonts w:ascii="Times New Roman" w:hAnsi="Times New Roman"/>
        </w:rPr>
      </w:pPr>
    </w:p>
    <w:tbl>
      <w:tblPr>
        <w:tblW w:w="483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79"/>
        <w:gridCol w:w="2552"/>
      </w:tblGrid>
      <w:tr w:rsidR="00C81CEF" w:rsidRPr="00C81CEF" w:rsidTr="002666DC">
        <w:tc>
          <w:tcPr>
            <w:tcW w:w="3571" w:type="pct"/>
            <w:shd w:val="clear" w:color="auto" w:fill="auto"/>
            <w:vAlign w:val="center"/>
          </w:tcPr>
          <w:p w:rsidR="00C81CEF" w:rsidRPr="00F66369" w:rsidRDefault="00F37D31" w:rsidP="00C81CEF">
            <w:pPr>
              <w:rPr>
                <w:rFonts w:ascii="Times New Roman" w:eastAsia="Times New Roman" w:hAnsi="Times New Roman"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lang w:eastAsia="hr-HR"/>
              </w:rPr>
              <w:t>Trgovačka društva upisana</w:t>
            </w:r>
            <w:r w:rsidR="00C81CEF" w:rsidRPr="00F66369">
              <w:rPr>
                <w:rFonts w:ascii="Times New Roman" w:eastAsia="Times New Roman" w:hAnsi="Times New Roman"/>
                <w:lang w:eastAsia="hr-HR"/>
              </w:rPr>
              <w:t xml:space="preserve"> u Očevidnik izvoznika i uvoznika robe vojne namjene i nevojnih ubojnih sredstava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81CEF" w:rsidRPr="00865908" w:rsidRDefault="008B6A9F">
            <w:pPr>
              <w:jc w:val="center"/>
              <w:rPr>
                <w:rFonts w:ascii="Times New Roman" w:eastAsia="Times New Roman" w:hAnsi="Times New Roman"/>
                <w:caps/>
                <w:lang w:eastAsia="hr-HR"/>
              </w:rPr>
            </w:pPr>
            <w:r w:rsidRPr="00D46DA9">
              <w:rPr>
                <w:rFonts w:ascii="Times New Roman" w:eastAsia="Times New Roman" w:hAnsi="Times New Roman"/>
                <w:caps/>
                <w:lang w:eastAsia="hr-HR"/>
              </w:rPr>
              <w:t>2</w:t>
            </w:r>
            <w:r w:rsidR="002E35E5" w:rsidRPr="00FB013A">
              <w:rPr>
                <w:rFonts w:ascii="Times New Roman" w:eastAsia="Times New Roman" w:hAnsi="Times New Roman"/>
                <w:caps/>
                <w:lang w:eastAsia="hr-HR"/>
              </w:rPr>
              <w:t>38</w:t>
            </w:r>
          </w:p>
        </w:tc>
      </w:tr>
      <w:tr w:rsidR="00C81CEF" w:rsidRPr="00C81CEF" w:rsidTr="002666DC">
        <w:trPr>
          <w:trHeight w:val="752"/>
        </w:trPr>
        <w:tc>
          <w:tcPr>
            <w:tcW w:w="3571" w:type="pct"/>
            <w:shd w:val="clear" w:color="auto" w:fill="auto"/>
            <w:vAlign w:val="center"/>
          </w:tcPr>
          <w:p w:rsidR="00C81CEF" w:rsidRPr="00F66369" w:rsidRDefault="00F37D31" w:rsidP="00C81CEF">
            <w:pPr>
              <w:rPr>
                <w:rFonts w:ascii="Times New Roman" w:eastAsia="Times New Roman" w:hAnsi="Times New Roman"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lang w:eastAsia="hr-HR"/>
              </w:rPr>
              <w:t>Trgovačka društva upisana</w:t>
            </w:r>
            <w:r w:rsidR="00C81CEF" w:rsidRPr="00F66369">
              <w:rPr>
                <w:rFonts w:ascii="Times New Roman" w:eastAsia="Times New Roman" w:hAnsi="Times New Roman"/>
                <w:lang w:eastAsia="hr-HR"/>
              </w:rPr>
              <w:t xml:space="preserve"> u Očevidnik pružatelja usluga za robu vojne namjene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81CEF" w:rsidRPr="00865908" w:rsidRDefault="0086664A" w:rsidP="008B6A9F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FB013A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Pr="00D46DA9">
              <w:rPr>
                <w:rFonts w:ascii="Times New Roman" w:eastAsia="Times New Roman" w:hAnsi="Times New Roman"/>
                <w:lang w:eastAsia="hr-HR"/>
              </w:rPr>
              <w:t>3</w:t>
            </w:r>
            <w:r w:rsidR="00D46DA9" w:rsidRPr="00FB013A">
              <w:rPr>
                <w:rFonts w:ascii="Times New Roman" w:eastAsia="Times New Roman" w:hAnsi="Times New Roman"/>
                <w:lang w:eastAsia="hr-HR"/>
              </w:rPr>
              <w:t>9</w:t>
            </w:r>
          </w:p>
        </w:tc>
      </w:tr>
    </w:tbl>
    <w:p w:rsidR="009616EC" w:rsidRDefault="009616EC" w:rsidP="00C81CEF">
      <w:pPr>
        <w:jc w:val="both"/>
      </w:pPr>
    </w:p>
    <w:p w:rsidR="00C81CEF" w:rsidRDefault="00C81CEF" w:rsidP="00C81CEF">
      <w:pPr>
        <w:jc w:val="both"/>
      </w:pPr>
      <w:r w:rsidRPr="00C81CEF">
        <w:t xml:space="preserve">* </w:t>
      </w:r>
      <w:r w:rsidR="004031E8">
        <w:rPr>
          <w:sz w:val="20"/>
          <w:szCs w:val="20"/>
        </w:rPr>
        <w:t>Izvor: e</w:t>
      </w:r>
      <w:r w:rsidRPr="00C81CEF">
        <w:rPr>
          <w:sz w:val="20"/>
          <w:szCs w:val="20"/>
        </w:rPr>
        <w:t>vid</w:t>
      </w:r>
      <w:r>
        <w:rPr>
          <w:sz w:val="20"/>
          <w:szCs w:val="20"/>
        </w:rPr>
        <w:t>encija Ministarstva gospodarstva</w:t>
      </w:r>
      <w:r w:rsidR="006E3538">
        <w:rPr>
          <w:sz w:val="20"/>
          <w:szCs w:val="20"/>
        </w:rPr>
        <w:t>, poduzetništva i obrta</w:t>
      </w:r>
    </w:p>
    <w:p w:rsidR="00C81CEF" w:rsidRDefault="00C81CEF" w:rsidP="00C81CEF">
      <w:pPr>
        <w:jc w:val="both"/>
      </w:pPr>
    </w:p>
    <w:p w:rsidR="00787B03" w:rsidRDefault="00992A5B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U skladu s člankom 5. Zakona</w:t>
      </w:r>
      <w:r w:rsidR="006C344F">
        <w:rPr>
          <w:rFonts w:ascii="Times New Roman" w:eastAsia="Times New Roman" w:hAnsi="Times New Roman"/>
          <w:lang w:eastAsia="hr-HR"/>
        </w:rPr>
        <w:t xml:space="preserve">, </w:t>
      </w:r>
      <w:r w:rsidRPr="00992A5B">
        <w:rPr>
          <w:rFonts w:ascii="Times New Roman" w:eastAsia="Times New Roman" w:hAnsi="Times New Roman"/>
          <w:lang w:eastAsia="hr-HR"/>
        </w:rPr>
        <w:t>propisano je da dozvole za izvoz i uvoz, pružanje usluga i prijenos obrambenih proizvoda, izdaje ministarstvo nadležno za gospodarstvo temeljem suglasnosti Povjerenstva za davanje suglasnosti za izvoz i uvoz robe vojne namjene i nevojnih ubojnih sredstava, prijenos obrambenih proizvoda te pružanj</w:t>
      </w:r>
      <w:r w:rsidR="00513CD8">
        <w:rPr>
          <w:rFonts w:ascii="Times New Roman" w:eastAsia="Times New Roman" w:hAnsi="Times New Roman"/>
          <w:lang w:eastAsia="hr-HR"/>
        </w:rPr>
        <w:t>e usluga za robu vojne namjene</w:t>
      </w:r>
      <w:r w:rsidR="000C5C7B">
        <w:rPr>
          <w:rFonts w:ascii="Times New Roman" w:eastAsia="Times New Roman" w:hAnsi="Times New Roman"/>
          <w:lang w:eastAsia="hr-HR"/>
        </w:rPr>
        <w:t xml:space="preserve"> (u daljnjem tekstu: Povjerenstvo)</w:t>
      </w:r>
      <w:r w:rsidR="00513CD8">
        <w:rPr>
          <w:rFonts w:ascii="Times New Roman" w:eastAsia="Times New Roman" w:hAnsi="Times New Roman"/>
          <w:lang w:eastAsia="hr-HR"/>
        </w:rPr>
        <w:t>.</w:t>
      </w:r>
      <w:r w:rsidR="00787B03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Povjerenstvo čine predstavnici ministarstava nadležnih za obranu, unutarnje poslove, vanjske poslove, carinu i gospodarstvo. Suglasnost za izdavanje dozvola daje se jednoglasnom odlukom</w:t>
      </w:r>
      <w:r w:rsidR="00513CD8">
        <w:rPr>
          <w:rFonts w:ascii="Times New Roman" w:eastAsia="Times New Roman" w:hAnsi="Times New Roman"/>
          <w:lang w:eastAsia="hr-HR"/>
        </w:rPr>
        <w:t xml:space="preserve"> svih članova Povjerenstva.</w:t>
      </w:r>
      <w:r w:rsidR="003A199F">
        <w:rPr>
          <w:rFonts w:ascii="Times New Roman" w:eastAsia="Times New Roman" w:hAnsi="Times New Roman"/>
          <w:lang w:eastAsia="hr-HR"/>
        </w:rPr>
        <w:t xml:space="preserve"> </w:t>
      </w:r>
    </w:p>
    <w:p w:rsidR="00787B03" w:rsidRDefault="00787B03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3A199F" w:rsidRDefault="00787B03" w:rsidP="003758DD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 2018. godini </w:t>
      </w:r>
      <w:r w:rsidR="003A199F" w:rsidRPr="003A199F">
        <w:rPr>
          <w:rFonts w:ascii="Times New Roman" w:eastAsia="Times New Roman" w:hAnsi="Times New Roman"/>
          <w:bCs/>
          <w:lang w:eastAsia="hr-HR"/>
        </w:rPr>
        <w:t>Povjerenstvo je održalo 26 sjednica.</w:t>
      </w:r>
      <w:r>
        <w:rPr>
          <w:rFonts w:ascii="Times New Roman" w:eastAsia="Times New Roman" w:hAnsi="Times New Roman"/>
          <w:bCs/>
          <w:lang w:eastAsia="hr-HR"/>
        </w:rPr>
        <w:t xml:space="preserve"> Na dnevnom redu </w:t>
      </w:r>
      <w:r w:rsidR="002075F4">
        <w:rPr>
          <w:rFonts w:ascii="Times New Roman" w:eastAsia="Times New Roman" w:hAnsi="Times New Roman"/>
          <w:bCs/>
          <w:lang w:eastAsia="hr-HR"/>
        </w:rPr>
        <w:t>sjednica</w:t>
      </w:r>
      <w:r>
        <w:rPr>
          <w:rFonts w:ascii="Times New Roman" w:eastAsia="Times New Roman" w:hAnsi="Times New Roman"/>
          <w:bCs/>
          <w:lang w:eastAsia="hr-HR"/>
        </w:rPr>
        <w:t xml:space="preserve"> Povjerenstva bilo je 1086 zahtjeva za izdavanje dozvola</w:t>
      </w:r>
      <w:r w:rsidR="001569B1">
        <w:rPr>
          <w:rFonts w:ascii="Times New Roman" w:eastAsia="Times New Roman" w:hAnsi="Times New Roman"/>
          <w:bCs/>
          <w:lang w:eastAsia="hr-HR"/>
        </w:rPr>
        <w:t>. Za 15 zahtjeva postupak je obustavljen, odnosno zahtjevi su odbijeni ili odbačeni</w:t>
      </w:r>
      <w:r w:rsidR="00D03F70">
        <w:rPr>
          <w:rFonts w:ascii="Times New Roman" w:eastAsia="Times New Roman" w:hAnsi="Times New Roman"/>
          <w:bCs/>
          <w:lang w:eastAsia="hr-HR"/>
        </w:rPr>
        <w:t>.</w:t>
      </w:r>
      <w:r w:rsidR="002075F4">
        <w:rPr>
          <w:rFonts w:ascii="Times New Roman" w:eastAsia="Times New Roman" w:hAnsi="Times New Roman"/>
          <w:bCs/>
          <w:lang w:eastAsia="hr-HR"/>
        </w:rPr>
        <w:t xml:space="preserve"> </w:t>
      </w:r>
      <w:r w:rsidR="002075F4" w:rsidRPr="002075F4">
        <w:rPr>
          <w:rFonts w:ascii="Times New Roman" w:eastAsia="Times New Roman" w:hAnsi="Times New Roman"/>
          <w:bCs/>
          <w:lang w:eastAsia="hr-HR"/>
        </w:rPr>
        <w:t>Povjerenstvo je dalo suglasnost za izdavanje</w:t>
      </w:r>
      <w:r w:rsidR="00D03F70">
        <w:rPr>
          <w:rFonts w:ascii="Times New Roman" w:eastAsia="Times New Roman" w:hAnsi="Times New Roman"/>
          <w:bCs/>
          <w:lang w:eastAsia="hr-HR"/>
        </w:rPr>
        <w:t xml:space="preserve"> ukupno </w:t>
      </w:r>
      <w:r w:rsidR="002075F4" w:rsidRPr="002075F4">
        <w:rPr>
          <w:rFonts w:ascii="Times New Roman" w:eastAsia="Times New Roman" w:hAnsi="Times New Roman"/>
          <w:bCs/>
          <w:lang w:eastAsia="hr-HR"/>
        </w:rPr>
        <w:t>1071 dozvole</w:t>
      </w:r>
      <w:r w:rsidR="00D03F70">
        <w:rPr>
          <w:rFonts w:ascii="Times New Roman" w:eastAsia="Times New Roman" w:hAnsi="Times New Roman"/>
          <w:bCs/>
          <w:lang w:eastAsia="hr-HR"/>
        </w:rPr>
        <w:t>,</w:t>
      </w:r>
      <w:r w:rsidR="002075F4">
        <w:rPr>
          <w:rFonts w:ascii="Times New Roman" w:eastAsia="Times New Roman" w:hAnsi="Times New Roman"/>
          <w:bCs/>
          <w:lang w:eastAsia="hr-HR"/>
        </w:rPr>
        <w:t xml:space="preserve"> </w:t>
      </w:r>
      <w:r w:rsidR="00D03F70">
        <w:rPr>
          <w:rFonts w:ascii="Times New Roman" w:eastAsia="Times New Roman" w:hAnsi="Times New Roman"/>
          <w:bCs/>
          <w:lang w:eastAsia="hr-HR"/>
        </w:rPr>
        <w:t>o</w:t>
      </w:r>
      <w:r w:rsidR="002075F4">
        <w:rPr>
          <w:rFonts w:ascii="Times New Roman" w:eastAsia="Times New Roman" w:hAnsi="Times New Roman"/>
          <w:bCs/>
          <w:lang w:eastAsia="hr-HR"/>
        </w:rPr>
        <w:t>d tog</w:t>
      </w:r>
      <w:r w:rsidR="00D03F70">
        <w:rPr>
          <w:rFonts w:ascii="Times New Roman" w:eastAsia="Times New Roman" w:hAnsi="Times New Roman"/>
          <w:bCs/>
          <w:lang w:eastAsia="hr-HR"/>
        </w:rPr>
        <w:t>a</w:t>
      </w:r>
      <w:r w:rsidR="002075F4">
        <w:rPr>
          <w:rFonts w:ascii="Times New Roman" w:eastAsia="Times New Roman" w:hAnsi="Times New Roman"/>
          <w:bCs/>
          <w:lang w:eastAsia="hr-HR"/>
        </w:rPr>
        <w:t xml:space="preserve"> </w:t>
      </w:r>
      <w:r w:rsidR="00D03F70">
        <w:rPr>
          <w:rFonts w:ascii="Times New Roman" w:eastAsia="Times New Roman" w:hAnsi="Times New Roman"/>
          <w:bCs/>
          <w:lang w:eastAsia="hr-HR"/>
        </w:rPr>
        <w:t xml:space="preserve">za </w:t>
      </w:r>
      <w:r w:rsidR="002075F4">
        <w:rPr>
          <w:rFonts w:ascii="Times New Roman" w:eastAsia="Times New Roman" w:hAnsi="Times New Roman"/>
          <w:bCs/>
          <w:lang w:eastAsia="hr-HR"/>
        </w:rPr>
        <w:t>866 pojedinačn</w:t>
      </w:r>
      <w:r w:rsidR="00D03F70">
        <w:rPr>
          <w:rFonts w:ascii="Times New Roman" w:eastAsia="Times New Roman" w:hAnsi="Times New Roman"/>
          <w:bCs/>
          <w:lang w:eastAsia="hr-HR"/>
        </w:rPr>
        <w:t>ih</w:t>
      </w:r>
      <w:r w:rsidR="002075F4">
        <w:rPr>
          <w:rFonts w:ascii="Times New Roman" w:eastAsia="Times New Roman" w:hAnsi="Times New Roman"/>
          <w:bCs/>
          <w:lang w:eastAsia="hr-HR"/>
        </w:rPr>
        <w:t xml:space="preserve"> dozvol</w:t>
      </w:r>
      <w:r w:rsidR="00D03F70">
        <w:rPr>
          <w:rFonts w:ascii="Times New Roman" w:eastAsia="Times New Roman" w:hAnsi="Times New Roman"/>
          <w:bCs/>
          <w:lang w:eastAsia="hr-HR"/>
        </w:rPr>
        <w:t>a</w:t>
      </w:r>
      <w:r w:rsidR="002075F4">
        <w:rPr>
          <w:rFonts w:ascii="Times New Roman" w:eastAsia="Times New Roman" w:hAnsi="Times New Roman"/>
          <w:bCs/>
          <w:lang w:eastAsia="hr-HR"/>
        </w:rPr>
        <w:t xml:space="preserve"> za izvoz/uvoz/prijenos, 35 globalnih dozvola i 8 dozvola za pružanje usluga.</w:t>
      </w:r>
      <w:r w:rsidR="00A350FD">
        <w:rPr>
          <w:rFonts w:ascii="Times New Roman" w:eastAsia="Times New Roman" w:hAnsi="Times New Roman"/>
          <w:bCs/>
          <w:lang w:eastAsia="hr-HR"/>
        </w:rPr>
        <w:t xml:space="preserve"> Izdane su i 162 dozvole za privremeni izvoz, uvoz ili prijenos u svrhu slanja robe na sajmove, izložbe, </w:t>
      </w:r>
      <w:r w:rsidR="009C48A4">
        <w:rPr>
          <w:rFonts w:ascii="Times New Roman" w:eastAsia="Times New Roman" w:hAnsi="Times New Roman"/>
          <w:bCs/>
          <w:lang w:eastAsia="hr-HR"/>
        </w:rPr>
        <w:t>prezentacije, popravke i sl.</w:t>
      </w:r>
    </w:p>
    <w:p w:rsidR="002A2DA6" w:rsidRPr="003A199F" w:rsidRDefault="002A2DA6" w:rsidP="007F12D5">
      <w:pPr>
        <w:autoSpaceDE w:val="0"/>
        <w:autoSpaceDN w:val="0"/>
        <w:adjustRightInd w:val="0"/>
        <w:spacing w:line="276" w:lineRule="auto"/>
        <w:ind w:right="72"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992A5B" w:rsidRDefault="00992A5B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 xml:space="preserve">Zakon omogućava i izdavanje globalne izvozne dozvole za izvoz istovrsne robe vojne namjene u jednu ili više država, uzimajući u obzir vrstu robe i dugoročnost izvoznog posla te državu u koju se ta roba izvozi. Međutim, globalna izvozna dozvola može se izdati samo za izvoz oklopne ili zaštitne opreme, konstrukcija i komponenti iz kategorije ML13. Popisa robe </w:t>
      </w:r>
      <w:r w:rsidR="000A76A9">
        <w:rPr>
          <w:rFonts w:ascii="Times New Roman" w:eastAsia="Times New Roman" w:hAnsi="Times New Roman"/>
          <w:lang w:eastAsia="hr-HR"/>
        </w:rPr>
        <w:t>vojne namjene za potrebe međunarodnih javnih natječaja</w:t>
      </w:r>
      <w:r w:rsidRPr="00992A5B">
        <w:rPr>
          <w:rFonts w:ascii="Times New Roman" w:eastAsia="Times New Roman" w:hAnsi="Times New Roman"/>
          <w:lang w:eastAsia="hr-HR"/>
        </w:rPr>
        <w:t>, ispitivanja, izložbe ili prezentacije, s rokom važenja do jedne godine i ne može se više produžiti.</w:t>
      </w:r>
    </w:p>
    <w:p w:rsidR="002A2DA6" w:rsidRPr="00992A5B" w:rsidRDefault="002A2DA6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6E3538" w:rsidRDefault="00992A5B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S obzirom</w:t>
      </w:r>
      <w:r w:rsidR="00D7652C">
        <w:rPr>
          <w:rFonts w:ascii="Times New Roman" w:eastAsia="Times New Roman" w:hAnsi="Times New Roman"/>
          <w:lang w:eastAsia="hr-HR"/>
        </w:rPr>
        <w:t xml:space="preserve"> na to</w:t>
      </w:r>
      <w:r w:rsidRPr="00992A5B">
        <w:rPr>
          <w:rFonts w:ascii="Times New Roman" w:eastAsia="Times New Roman" w:hAnsi="Times New Roman"/>
          <w:lang w:eastAsia="hr-HR"/>
        </w:rPr>
        <w:t xml:space="preserve"> da postupak izda</w:t>
      </w:r>
      <w:r w:rsidR="006C344F">
        <w:rPr>
          <w:rFonts w:ascii="Times New Roman" w:eastAsia="Times New Roman" w:hAnsi="Times New Roman"/>
          <w:lang w:eastAsia="hr-HR"/>
        </w:rPr>
        <w:t>vanja dozvola zahtijeva određeno vremensko razdoblje</w:t>
      </w:r>
      <w:r w:rsidRPr="00992A5B">
        <w:rPr>
          <w:rFonts w:ascii="Times New Roman" w:eastAsia="Times New Roman" w:hAnsi="Times New Roman"/>
          <w:lang w:eastAsia="hr-HR"/>
        </w:rPr>
        <w:t>, propisivanjem ove odredbe omogućeno je domaćim proizvođačima zaštitne opreme sudjelovanje na međunarodni</w:t>
      </w:r>
      <w:r w:rsidR="005E3209">
        <w:rPr>
          <w:rFonts w:ascii="Times New Roman" w:eastAsia="Times New Roman" w:hAnsi="Times New Roman"/>
          <w:lang w:eastAsia="hr-HR"/>
        </w:rPr>
        <w:t xml:space="preserve">m javnim </w:t>
      </w:r>
      <w:r w:rsidR="00A70A06">
        <w:rPr>
          <w:rFonts w:ascii="Times New Roman" w:eastAsia="Times New Roman" w:hAnsi="Times New Roman"/>
          <w:lang w:eastAsia="hr-HR"/>
        </w:rPr>
        <w:t>natječajima</w:t>
      </w:r>
      <w:r w:rsidR="005D01A9">
        <w:rPr>
          <w:rFonts w:ascii="Times New Roman" w:eastAsia="Times New Roman" w:hAnsi="Times New Roman"/>
          <w:lang w:eastAsia="hr-HR"/>
        </w:rPr>
        <w:t>,</w:t>
      </w:r>
      <w:r w:rsidRPr="00992A5B">
        <w:rPr>
          <w:rFonts w:ascii="Times New Roman" w:eastAsia="Times New Roman" w:hAnsi="Times New Roman"/>
          <w:lang w:eastAsia="hr-HR"/>
        </w:rPr>
        <w:t xml:space="preserve"> ispitivanjima</w:t>
      </w:r>
      <w:r w:rsidR="005D01A9">
        <w:rPr>
          <w:rFonts w:ascii="Times New Roman" w:eastAsia="Times New Roman" w:hAnsi="Times New Roman"/>
          <w:lang w:eastAsia="hr-HR"/>
        </w:rPr>
        <w:t>,</w:t>
      </w:r>
      <w:r w:rsidRPr="00992A5B">
        <w:rPr>
          <w:rFonts w:ascii="Times New Roman" w:eastAsia="Times New Roman" w:hAnsi="Times New Roman"/>
          <w:lang w:eastAsia="hr-HR"/>
        </w:rPr>
        <w:t xml:space="preserve"> izložbama ili prezentacijama u dužem vremenskom razdoblju</w:t>
      </w:r>
      <w:r w:rsidR="00513CD8">
        <w:rPr>
          <w:rFonts w:ascii="Times New Roman" w:eastAsia="Times New Roman" w:hAnsi="Times New Roman"/>
          <w:lang w:eastAsia="hr-HR"/>
        </w:rPr>
        <w:t>.</w:t>
      </w:r>
    </w:p>
    <w:p w:rsidR="002A2DA6" w:rsidRDefault="002A2DA6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6E3538" w:rsidRDefault="00992A5B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Globalna dozvola za prijenos</w:t>
      </w:r>
      <w:r w:rsidR="00F37D31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izdaje se za prijenos obrambenih proizvoda prema prim</w:t>
      </w:r>
      <w:r w:rsidR="00DA0171">
        <w:rPr>
          <w:rFonts w:ascii="Times New Roman" w:eastAsia="Times New Roman" w:hAnsi="Times New Roman"/>
          <w:lang w:eastAsia="hr-HR"/>
        </w:rPr>
        <w:t>ateljima u državama članicama Europske unije</w:t>
      </w:r>
      <w:r w:rsidRPr="00992A5B">
        <w:rPr>
          <w:rFonts w:ascii="Times New Roman" w:eastAsia="Times New Roman" w:hAnsi="Times New Roman"/>
          <w:lang w:eastAsia="hr-HR"/>
        </w:rPr>
        <w:t>.</w:t>
      </w:r>
      <w:r w:rsidR="00F37D31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 xml:space="preserve">Stranka temeljem te dozvole ima pravo prijenosa u neograničenoj količini i vrijednosti robe temeljem jedne dozvole tijekom 3 godine. Na taj se način pridonosi ubrzavanju procesa isporuke i smanjenju administrativnih </w:t>
      </w:r>
      <w:r w:rsidR="00524260">
        <w:rPr>
          <w:rFonts w:ascii="Times New Roman" w:eastAsia="Times New Roman" w:hAnsi="Times New Roman"/>
          <w:lang w:eastAsia="hr-HR"/>
        </w:rPr>
        <w:t>prepreka</w:t>
      </w:r>
      <w:r w:rsidRPr="00992A5B">
        <w:rPr>
          <w:rFonts w:ascii="Times New Roman" w:eastAsia="Times New Roman" w:hAnsi="Times New Roman"/>
          <w:lang w:eastAsia="hr-HR"/>
        </w:rPr>
        <w:t>.</w:t>
      </w:r>
    </w:p>
    <w:p w:rsidR="002A2DA6" w:rsidRPr="006E3538" w:rsidRDefault="002A2DA6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Default="005E3209" w:rsidP="007F12D5">
      <w:pPr>
        <w:spacing w:line="276" w:lineRule="auto"/>
        <w:ind w:firstLine="708"/>
        <w:jc w:val="both"/>
        <w:rPr>
          <w:rFonts w:cstheme="minorHAnsi"/>
        </w:rPr>
      </w:pPr>
      <w:r>
        <w:rPr>
          <w:rFonts w:ascii="Times New Roman" w:eastAsia="Times New Roman" w:hAnsi="Times New Roman"/>
          <w:lang w:eastAsia="hr-HR"/>
        </w:rPr>
        <w:t xml:space="preserve">Opća dozvola za prijenos </w:t>
      </w:r>
      <w:r w:rsidR="00992A5B" w:rsidRPr="00992A5B">
        <w:rPr>
          <w:rFonts w:ascii="Times New Roman" w:eastAsia="Times New Roman" w:hAnsi="Times New Roman"/>
          <w:lang w:eastAsia="hr-HR"/>
        </w:rPr>
        <w:t>izdaje</w:t>
      </w:r>
      <w:r>
        <w:rPr>
          <w:rFonts w:ascii="Times New Roman" w:eastAsia="Times New Roman" w:hAnsi="Times New Roman"/>
          <w:lang w:eastAsia="hr-HR"/>
        </w:rPr>
        <w:t xml:space="preserve"> se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za prijenos obrambenih proizvoda primateljim</w:t>
      </w:r>
      <w:r w:rsidR="00DA0171">
        <w:rPr>
          <w:rFonts w:ascii="Times New Roman" w:eastAsia="Times New Roman" w:hAnsi="Times New Roman"/>
          <w:lang w:eastAsia="hr-HR"/>
        </w:rPr>
        <w:t>a u drugim državama članicama Europske unije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te primateljima u Republici Hrvatskoj koji zadovoljavaju uvjete navedene u dozvoli.</w:t>
      </w:r>
      <w:r w:rsidR="00457520">
        <w:rPr>
          <w:rFonts w:ascii="Times New Roman" w:eastAsia="Times New Roman" w:hAnsi="Times New Roman"/>
          <w:lang w:eastAsia="hr-HR"/>
        </w:rPr>
        <w:t xml:space="preserve"> Opća dozvola nalazi se na </w:t>
      </w:r>
      <w:r w:rsidR="002B25B0">
        <w:rPr>
          <w:rFonts w:cstheme="minorHAnsi"/>
        </w:rPr>
        <w:t>internetskoj</w:t>
      </w:r>
      <w:r w:rsidR="00457520" w:rsidRPr="00457520">
        <w:rPr>
          <w:rFonts w:cstheme="minorHAnsi"/>
        </w:rPr>
        <w:t xml:space="preserve"> stranici</w:t>
      </w:r>
      <w:r w:rsidR="00457520">
        <w:rPr>
          <w:rFonts w:cstheme="minorHAnsi"/>
        </w:rPr>
        <w:t xml:space="preserve"> Ministarstva gospodarstva,</w:t>
      </w:r>
      <w:r w:rsidR="003B538B">
        <w:rPr>
          <w:rFonts w:cstheme="minorHAnsi"/>
        </w:rPr>
        <w:t xml:space="preserve"> poduzetništva i obrta,</w:t>
      </w:r>
      <w:r w:rsidR="00457520">
        <w:rPr>
          <w:rFonts w:cstheme="minorHAnsi"/>
        </w:rPr>
        <w:t xml:space="preserve"> </w:t>
      </w:r>
      <w:hyperlink r:id="rId10" w:history="1">
        <w:r w:rsidR="00457520" w:rsidRPr="00D75943">
          <w:rPr>
            <w:rStyle w:val="Hyperlink"/>
            <w:rFonts w:cstheme="minorHAnsi"/>
          </w:rPr>
          <w:t>www.mingo.hr</w:t>
        </w:r>
      </w:hyperlink>
      <w:r w:rsidR="00E609FA">
        <w:t xml:space="preserve"> </w:t>
      </w:r>
      <w:r w:rsidR="00457520" w:rsidRPr="00457520">
        <w:rPr>
          <w:rFonts w:cstheme="minorHAnsi"/>
        </w:rPr>
        <w:t>te se stranke ne obraćaju Ministarstvu za nje</w:t>
      </w:r>
      <w:r w:rsidR="002206C6">
        <w:rPr>
          <w:rFonts w:cstheme="minorHAnsi"/>
        </w:rPr>
        <w:t xml:space="preserve">zino </w:t>
      </w:r>
      <w:r w:rsidR="00457520" w:rsidRPr="00457520">
        <w:rPr>
          <w:rFonts w:cstheme="minorHAnsi"/>
        </w:rPr>
        <w:t>izdavanje. Stranke imaju pravo izvoza u neograničenoj količini i vrijednosti robe temeljem jed</w:t>
      </w:r>
      <w:r w:rsidR="006E3538">
        <w:rPr>
          <w:rFonts w:cstheme="minorHAnsi"/>
        </w:rPr>
        <w:t>ne dozvole tijekom 5 godina. Na taj način</w:t>
      </w:r>
      <w:r w:rsidR="00457520" w:rsidRPr="00457520">
        <w:rPr>
          <w:rFonts w:cstheme="minorHAnsi"/>
        </w:rPr>
        <w:t xml:space="preserve"> se uvelike smanjuju administrativne </w:t>
      </w:r>
      <w:r w:rsidR="00524260">
        <w:rPr>
          <w:rFonts w:cstheme="minorHAnsi"/>
        </w:rPr>
        <w:t>prepreke</w:t>
      </w:r>
      <w:r w:rsidR="00457520" w:rsidRPr="00457520">
        <w:rPr>
          <w:rFonts w:cstheme="minorHAnsi"/>
        </w:rPr>
        <w:t xml:space="preserve"> jer nije potrebno</w:t>
      </w:r>
      <w:r w:rsidR="00524260">
        <w:rPr>
          <w:rFonts w:cstheme="minorHAnsi"/>
        </w:rPr>
        <w:t xml:space="preserve"> </w:t>
      </w:r>
      <w:r w:rsidR="00524260" w:rsidRPr="00524260">
        <w:rPr>
          <w:rFonts w:cstheme="minorHAnsi"/>
        </w:rPr>
        <w:t>tražiti dozvolu</w:t>
      </w:r>
      <w:r w:rsidR="00457520" w:rsidRPr="00457520">
        <w:rPr>
          <w:rFonts w:cstheme="minorHAnsi"/>
        </w:rPr>
        <w:t xml:space="preserve"> za svaki prijenos.</w:t>
      </w:r>
    </w:p>
    <w:p w:rsidR="007A01E2" w:rsidRDefault="007A01E2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992A5B" w:rsidRDefault="00992A5B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Preduvjet za izdavanje globalne dozvole za prijenos i opće dozvole za prijenos je uspostavljen program unutarnje usklađenosti (</w:t>
      </w:r>
      <w:r w:rsidR="00BB4181">
        <w:rPr>
          <w:rFonts w:ascii="Times New Roman" w:eastAsia="Times New Roman" w:hAnsi="Times New Roman"/>
          <w:lang w:eastAsia="hr-HR"/>
        </w:rPr>
        <w:t xml:space="preserve">u daljnjem tekstu: </w:t>
      </w:r>
      <w:r w:rsidRPr="00992A5B">
        <w:rPr>
          <w:rFonts w:ascii="Times New Roman" w:eastAsia="Times New Roman" w:hAnsi="Times New Roman"/>
          <w:lang w:eastAsia="hr-HR"/>
        </w:rPr>
        <w:t>PUU),</w:t>
      </w:r>
      <w:r w:rsidR="00E609FA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kojim su utvrđena pravila postupa</w:t>
      </w:r>
      <w:r w:rsidR="00F37D31">
        <w:rPr>
          <w:rFonts w:ascii="Times New Roman" w:eastAsia="Times New Roman" w:hAnsi="Times New Roman"/>
          <w:lang w:eastAsia="hr-HR"/>
        </w:rPr>
        <w:t xml:space="preserve">nja i odgovornosti unutar </w:t>
      </w:r>
      <w:r w:rsidR="007A01E2">
        <w:rPr>
          <w:rFonts w:ascii="Times New Roman" w:eastAsia="Times New Roman" w:hAnsi="Times New Roman"/>
          <w:lang w:eastAsia="hr-HR"/>
        </w:rPr>
        <w:t>gospodarskog subjekta</w:t>
      </w:r>
      <w:r w:rsidRPr="00992A5B">
        <w:rPr>
          <w:rFonts w:ascii="Times New Roman" w:eastAsia="Times New Roman" w:hAnsi="Times New Roman"/>
          <w:lang w:eastAsia="hr-HR"/>
        </w:rPr>
        <w:t xml:space="preserve"> (imenovanje zaposlenika odgovornih za kontrolu prijenosa odnosno izvoza/uvoza, vođenje administrativne i transakcijske evidencije, obuka zaposlenika, obrada naloga u skladu s PUU</w:t>
      </w:r>
      <w:r w:rsidR="00DC2447">
        <w:rPr>
          <w:rFonts w:ascii="Times New Roman" w:eastAsia="Times New Roman" w:hAnsi="Times New Roman"/>
          <w:lang w:eastAsia="hr-HR"/>
        </w:rPr>
        <w:t>-om</w:t>
      </w:r>
      <w:r w:rsidRPr="00992A5B">
        <w:rPr>
          <w:rFonts w:ascii="Times New Roman" w:eastAsia="Times New Roman" w:hAnsi="Times New Roman"/>
          <w:lang w:eastAsia="hr-HR"/>
        </w:rPr>
        <w:t xml:space="preserve"> i dr.)</w:t>
      </w:r>
      <w:r w:rsidR="00513CD8">
        <w:rPr>
          <w:rFonts w:ascii="Times New Roman" w:eastAsia="Times New Roman" w:hAnsi="Times New Roman"/>
          <w:lang w:eastAsia="hr-HR"/>
        </w:rPr>
        <w:t>.</w:t>
      </w:r>
    </w:p>
    <w:p w:rsidR="002A2DA6" w:rsidRPr="006E3538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457520" w:rsidRDefault="00992A5B" w:rsidP="002206C6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 xml:space="preserve">Zahtjev za verifikaciju </w:t>
      </w:r>
      <w:r w:rsidR="007A01E2">
        <w:rPr>
          <w:rFonts w:ascii="Times New Roman" w:eastAsia="Times New Roman" w:hAnsi="Times New Roman"/>
          <w:lang w:eastAsia="hr-HR"/>
        </w:rPr>
        <w:t>PUU</w:t>
      </w:r>
      <w:r w:rsidR="002206C6">
        <w:rPr>
          <w:rFonts w:ascii="Times New Roman" w:eastAsia="Times New Roman" w:hAnsi="Times New Roman"/>
          <w:lang w:eastAsia="hr-HR"/>
        </w:rPr>
        <w:t xml:space="preserve">-a </w:t>
      </w:r>
      <w:r w:rsidR="007A01E2">
        <w:rPr>
          <w:rFonts w:ascii="Times New Roman" w:eastAsia="Times New Roman" w:hAnsi="Times New Roman"/>
          <w:lang w:eastAsia="hr-HR"/>
        </w:rPr>
        <w:t xml:space="preserve">pravna osoba ili fizička osoba </w:t>
      </w:r>
      <w:r w:rsidR="002206C6">
        <w:rPr>
          <w:rFonts w:ascii="Times New Roman" w:eastAsia="Times New Roman" w:hAnsi="Times New Roman"/>
          <w:lang w:eastAsia="hr-HR"/>
        </w:rPr>
        <w:t>–</w:t>
      </w:r>
      <w:r w:rsidR="007A01E2">
        <w:rPr>
          <w:rFonts w:ascii="Times New Roman" w:eastAsia="Times New Roman" w:hAnsi="Times New Roman"/>
          <w:lang w:eastAsia="hr-HR"/>
        </w:rPr>
        <w:t xml:space="preserve"> obrtnik</w:t>
      </w:r>
      <w:r w:rsidRPr="00992A5B">
        <w:rPr>
          <w:rFonts w:ascii="Times New Roman" w:eastAsia="Times New Roman" w:hAnsi="Times New Roman"/>
          <w:lang w:eastAsia="hr-HR"/>
        </w:rPr>
        <w:t xml:space="preserve"> dostavlja Ministarstvu</w:t>
      </w:r>
      <w:r w:rsidR="00DA0171">
        <w:rPr>
          <w:rFonts w:ascii="Times New Roman" w:eastAsia="Times New Roman" w:hAnsi="Times New Roman"/>
          <w:lang w:eastAsia="hr-HR"/>
        </w:rPr>
        <w:t xml:space="preserve">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 w:rsidR="007A01E2">
        <w:rPr>
          <w:rFonts w:ascii="Times New Roman" w:eastAsia="Times New Roman" w:hAnsi="Times New Roman"/>
          <w:lang w:eastAsia="hr-HR"/>
        </w:rPr>
        <w:t>. Verifikaciju usklađenosti PUU</w:t>
      </w:r>
      <w:r w:rsidR="00EB4289">
        <w:rPr>
          <w:rFonts w:ascii="Times New Roman" w:eastAsia="Times New Roman" w:hAnsi="Times New Roman"/>
          <w:lang w:eastAsia="hr-HR"/>
        </w:rPr>
        <w:t>-a</w:t>
      </w:r>
      <w:r w:rsidR="001716B0">
        <w:rPr>
          <w:rFonts w:ascii="Times New Roman" w:eastAsia="Times New Roman" w:hAnsi="Times New Roman"/>
          <w:lang w:eastAsia="hr-HR"/>
        </w:rPr>
        <w:t xml:space="preserve"> </w:t>
      </w:r>
      <w:r w:rsidR="007A01E2">
        <w:rPr>
          <w:rFonts w:ascii="Times New Roman" w:eastAsia="Times New Roman" w:hAnsi="Times New Roman"/>
          <w:lang w:eastAsia="hr-HR"/>
        </w:rPr>
        <w:t>s propisanim</w:t>
      </w:r>
      <w:r w:rsidR="001716B0">
        <w:rPr>
          <w:rFonts w:ascii="Times New Roman" w:eastAsia="Times New Roman" w:hAnsi="Times New Roman"/>
          <w:lang w:eastAsia="hr-HR"/>
        </w:rPr>
        <w:t xml:space="preserve"> uvjetima </w:t>
      </w:r>
      <w:r w:rsidR="007A01E2">
        <w:rPr>
          <w:rFonts w:ascii="Times New Roman" w:eastAsia="Times New Roman" w:hAnsi="Times New Roman"/>
          <w:lang w:eastAsia="hr-HR"/>
        </w:rPr>
        <w:t xml:space="preserve">obavlja Povjerenstvo, a </w:t>
      </w:r>
      <w:r w:rsidR="006E3538">
        <w:rPr>
          <w:rFonts w:ascii="Times New Roman" w:eastAsia="Times New Roman" w:hAnsi="Times New Roman"/>
          <w:lang w:eastAsia="hr-HR"/>
        </w:rPr>
        <w:t>Ministarstvo gospodarstva, poduzetništva i obrta</w:t>
      </w:r>
      <w:r w:rsidR="007A01E2">
        <w:rPr>
          <w:rFonts w:ascii="Times New Roman" w:eastAsia="Times New Roman" w:hAnsi="Times New Roman"/>
          <w:lang w:eastAsia="hr-HR"/>
        </w:rPr>
        <w:t>, nakon pozitivnog mišljenja Povjerenstva,</w:t>
      </w:r>
      <w:r w:rsidR="001716B0">
        <w:rPr>
          <w:rFonts w:ascii="Times New Roman" w:eastAsia="Times New Roman" w:hAnsi="Times New Roman"/>
          <w:lang w:eastAsia="hr-HR"/>
        </w:rPr>
        <w:t xml:space="preserve"> izdaje</w:t>
      </w:r>
      <w:r w:rsidRPr="00992A5B">
        <w:rPr>
          <w:rFonts w:ascii="Times New Roman" w:eastAsia="Times New Roman" w:hAnsi="Times New Roman"/>
          <w:lang w:eastAsia="hr-HR"/>
        </w:rPr>
        <w:t xml:space="preserve"> rješenje o uspostavljenom PUU</w:t>
      </w:r>
      <w:r w:rsidR="001E49A7">
        <w:rPr>
          <w:rFonts w:ascii="Times New Roman" w:eastAsia="Times New Roman" w:hAnsi="Times New Roman"/>
          <w:lang w:eastAsia="hr-HR"/>
        </w:rPr>
        <w:t>,</w:t>
      </w:r>
      <w:r w:rsidRPr="00992A5B">
        <w:rPr>
          <w:rFonts w:ascii="Times New Roman" w:eastAsia="Times New Roman" w:hAnsi="Times New Roman"/>
          <w:lang w:eastAsia="hr-HR"/>
        </w:rPr>
        <w:t xml:space="preserve"> temeljem čega</w:t>
      </w:r>
      <w:r w:rsidR="008E4D11">
        <w:rPr>
          <w:rFonts w:ascii="Times New Roman" w:eastAsia="Times New Roman" w:hAnsi="Times New Roman"/>
          <w:lang w:eastAsia="hr-HR"/>
        </w:rPr>
        <w:t xml:space="preserve"> </w:t>
      </w:r>
      <w:r w:rsidR="007A01E2">
        <w:rPr>
          <w:rFonts w:ascii="Times New Roman" w:eastAsia="Times New Roman" w:hAnsi="Times New Roman"/>
          <w:lang w:eastAsia="hr-HR"/>
        </w:rPr>
        <w:t>gospodarski subjekt</w:t>
      </w:r>
      <w:r w:rsidR="007A01E2" w:rsidRPr="00992A5B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stječe pravo na korištenje globalne i opće dozvole za prijenos.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457520" w:rsidRDefault="00457520" w:rsidP="00EB428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Pravne i fizičke osobe</w:t>
      </w:r>
      <w:r w:rsidR="00EB4289">
        <w:rPr>
          <w:rFonts w:ascii="Times New Roman" w:eastAsia="Times New Roman" w:hAnsi="Times New Roman"/>
          <w:lang w:eastAsia="hr-HR"/>
        </w:rPr>
        <w:t xml:space="preserve"> – </w:t>
      </w:r>
      <w:r>
        <w:rPr>
          <w:rFonts w:ascii="Times New Roman" w:eastAsia="Times New Roman" w:hAnsi="Times New Roman"/>
          <w:lang w:eastAsia="hr-HR"/>
        </w:rPr>
        <w:t>obrtnici koji će obrambene proizvode primati temeljem opće dozvole za prijenos izdane od druge države članice Europske unije podnose Ministarstvu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EB4289" w:rsidRPr="00EB4289">
        <w:rPr>
          <w:rFonts w:ascii="Times New Roman" w:eastAsia="Times New Roman" w:hAnsi="Times New Roman"/>
          <w:lang w:eastAsia="hr-HR"/>
        </w:rPr>
        <w:t>pisani zahtjev</w:t>
      </w:r>
      <w:r w:rsidR="00EB428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za izdavanje certifikata.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457520" w:rsidRDefault="00457520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Izdanim certifikatom potvrđuje</w:t>
      </w:r>
      <w:r w:rsidR="001046E2">
        <w:rPr>
          <w:rFonts w:ascii="Times New Roman" w:eastAsia="Times New Roman" w:hAnsi="Times New Roman"/>
          <w:lang w:eastAsia="hr-HR"/>
        </w:rPr>
        <w:t xml:space="preserve"> se</w:t>
      </w:r>
      <w:r>
        <w:rPr>
          <w:rFonts w:ascii="Times New Roman" w:eastAsia="Times New Roman" w:hAnsi="Times New Roman"/>
          <w:lang w:eastAsia="hr-HR"/>
        </w:rPr>
        <w:t xml:space="preserve"> pouzdanost primatelja, posebno što se tiče njegove sposobnosti pošt</w:t>
      </w:r>
      <w:r w:rsidR="001046E2">
        <w:rPr>
          <w:rFonts w:ascii="Times New Roman" w:eastAsia="Times New Roman" w:hAnsi="Times New Roman"/>
          <w:lang w:eastAsia="hr-HR"/>
        </w:rPr>
        <w:t>ivanja</w:t>
      </w:r>
      <w:r>
        <w:rPr>
          <w:rFonts w:ascii="Times New Roman" w:eastAsia="Times New Roman" w:hAnsi="Times New Roman"/>
          <w:lang w:eastAsia="hr-HR"/>
        </w:rPr>
        <w:t xml:space="preserve"> izvozn</w:t>
      </w:r>
      <w:r w:rsidR="001046E2">
        <w:rPr>
          <w:rFonts w:ascii="Times New Roman" w:eastAsia="Times New Roman" w:hAnsi="Times New Roman"/>
          <w:lang w:eastAsia="hr-HR"/>
        </w:rPr>
        <w:t>ih</w:t>
      </w:r>
      <w:r>
        <w:rPr>
          <w:rFonts w:ascii="Times New Roman" w:eastAsia="Times New Roman" w:hAnsi="Times New Roman"/>
          <w:lang w:eastAsia="hr-HR"/>
        </w:rPr>
        <w:t xml:space="preserve"> ograničenja obrambenih proizvoda primljenih temeljem dozvole za prijenos iz druge države članice Europske unije.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F039BE" w:rsidRPr="00992A5B" w:rsidRDefault="00F039BE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Do kraja 201</w:t>
      </w:r>
      <w:r w:rsidR="000C5C7B">
        <w:rPr>
          <w:rFonts w:ascii="Times New Roman" w:eastAsia="Times New Roman" w:hAnsi="Times New Roman"/>
          <w:lang w:eastAsia="hr-HR"/>
        </w:rPr>
        <w:t>8</w:t>
      </w:r>
      <w:r>
        <w:rPr>
          <w:rFonts w:ascii="Times New Roman" w:eastAsia="Times New Roman" w:hAnsi="Times New Roman"/>
          <w:lang w:eastAsia="hr-HR"/>
        </w:rPr>
        <w:t xml:space="preserve">. godine dva trgovačka društva su ispunila uvjete za dobivanje </w:t>
      </w:r>
      <w:r w:rsidR="00252C87">
        <w:rPr>
          <w:rFonts w:ascii="Times New Roman" w:eastAsia="Times New Roman" w:hAnsi="Times New Roman"/>
          <w:lang w:eastAsia="hr-HR"/>
        </w:rPr>
        <w:t>c</w:t>
      </w:r>
      <w:r>
        <w:rPr>
          <w:rFonts w:ascii="Times New Roman" w:eastAsia="Times New Roman" w:hAnsi="Times New Roman"/>
          <w:lang w:eastAsia="hr-HR"/>
        </w:rPr>
        <w:t xml:space="preserve">ertifikata. </w:t>
      </w:r>
    </w:p>
    <w:p w:rsidR="005E79A1" w:rsidRPr="005E79A1" w:rsidRDefault="005E79A1" w:rsidP="007F12D5">
      <w:pPr>
        <w:spacing w:line="276" w:lineRule="auto"/>
      </w:pPr>
    </w:p>
    <w:p w:rsidR="00C81CEF" w:rsidRDefault="00C81CEF" w:rsidP="007F12D5">
      <w:pPr>
        <w:pStyle w:val="Heading2"/>
        <w:spacing w:line="276" w:lineRule="auto"/>
      </w:pPr>
      <w:r>
        <w:t>1.3. BAZA PODATAKA</w:t>
      </w:r>
    </w:p>
    <w:p w:rsidR="005C16A3" w:rsidRPr="005C16A3" w:rsidRDefault="005C16A3" w:rsidP="007F12D5">
      <w:pPr>
        <w:spacing w:line="276" w:lineRule="auto"/>
      </w:pPr>
    </w:p>
    <w:p w:rsidR="00992A5B" w:rsidRDefault="00992A5B" w:rsidP="007F12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Kako bi Ministarstvo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raspolagalo vjerodostojnim i točnim podacima o</w:t>
      </w:r>
      <w:r w:rsidR="00C1099D">
        <w:rPr>
          <w:rFonts w:ascii="Times New Roman" w:eastAsia="Times New Roman" w:hAnsi="Times New Roman"/>
          <w:lang w:eastAsia="hr-HR"/>
        </w:rPr>
        <w:t xml:space="preserve"> zatraženim, izdanim, odbijenim i</w:t>
      </w:r>
      <w:r w:rsidRPr="00992A5B">
        <w:rPr>
          <w:rFonts w:ascii="Times New Roman" w:eastAsia="Times New Roman" w:hAnsi="Times New Roman"/>
          <w:lang w:eastAsia="hr-HR"/>
        </w:rPr>
        <w:t xml:space="preserve"> realiziranim dozvolama, Zakon propisuje d</w:t>
      </w:r>
      <w:r w:rsidR="005D01A9">
        <w:rPr>
          <w:rFonts w:ascii="Times New Roman" w:eastAsia="Times New Roman" w:hAnsi="Times New Roman"/>
          <w:lang w:eastAsia="hr-HR"/>
        </w:rPr>
        <w:t xml:space="preserve">a su pravne osobe </w:t>
      </w:r>
      <w:r w:rsidRPr="00992A5B">
        <w:rPr>
          <w:rFonts w:ascii="Times New Roman" w:eastAsia="Times New Roman" w:hAnsi="Times New Roman"/>
          <w:lang w:eastAsia="hr-HR"/>
        </w:rPr>
        <w:t>ili fizičke osobe – obrtnici koji ob</w:t>
      </w:r>
      <w:r w:rsidR="005D01A9">
        <w:rPr>
          <w:rFonts w:ascii="Times New Roman" w:eastAsia="Times New Roman" w:hAnsi="Times New Roman"/>
          <w:lang w:eastAsia="hr-HR"/>
        </w:rPr>
        <w:t>avljaju djelatnost izvoza/uvoza ili</w:t>
      </w:r>
      <w:r w:rsidRPr="00992A5B">
        <w:rPr>
          <w:rFonts w:ascii="Times New Roman" w:eastAsia="Times New Roman" w:hAnsi="Times New Roman"/>
          <w:lang w:eastAsia="hr-HR"/>
        </w:rPr>
        <w:t xml:space="preserve"> prijenosa navedenih roba i pružanja usluga, dužne u roku 15 dana od izvršenja posla izvijestiti Ministarstvo</w:t>
      </w:r>
      <w:r w:rsidR="00DA0171">
        <w:rPr>
          <w:rFonts w:ascii="Times New Roman" w:eastAsia="Times New Roman" w:hAnsi="Times New Roman"/>
          <w:lang w:eastAsia="hr-HR"/>
        </w:rPr>
        <w:t xml:space="preserve">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pisanim putem ili putem elektroničke pošte o izvršenom izvo</w:t>
      </w:r>
      <w:r w:rsidR="005D01A9">
        <w:rPr>
          <w:rFonts w:ascii="Times New Roman" w:eastAsia="Times New Roman" w:hAnsi="Times New Roman"/>
          <w:lang w:eastAsia="hr-HR"/>
        </w:rPr>
        <w:t>zu/uvozu ili</w:t>
      </w:r>
      <w:r w:rsidRPr="00992A5B">
        <w:rPr>
          <w:rFonts w:ascii="Times New Roman" w:eastAsia="Times New Roman" w:hAnsi="Times New Roman"/>
          <w:lang w:eastAsia="hr-HR"/>
        </w:rPr>
        <w:t xml:space="preserve"> prijenosu te priložiti dokumentaciju teme</w:t>
      </w:r>
      <w:r w:rsidR="005D01A9">
        <w:rPr>
          <w:rFonts w:ascii="Times New Roman" w:eastAsia="Times New Roman" w:hAnsi="Times New Roman"/>
          <w:lang w:eastAsia="hr-HR"/>
        </w:rPr>
        <w:t>ljem koje je izvršen izvoz/uvoz/</w:t>
      </w:r>
      <w:r w:rsidRPr="00992A5B">
        <w:rPr>
          <w:rFonts w:ascii="Times New Roman" w:eastAsia="Times New Roman" w:hAnsi="Times New Roman"/>
          <w:lang w:eastAsia="hr-HR"/>
        </w:rPr>
        <w:t xml:space="preserve">prijenos. Navedena dokumentacija mora sadržavati: obavijest o izvršenom prijenosu, presliku dozvole, presliku carinske </w:t>
      </w:r>
      <w:r w:rsidR="00B92D21" w:rsidRPr="00992A5B">
        <w:rPr>
          <w:rFonts w:ascii="Times New Roman" w:eastAsia="Times New Roman" w:hAnsi="Times New Roman"/>
          <w:lang w:eastAsia="hr-HR"/>
        </w:rPr>
        <w:t>deklaracije</w:t>
      </w:r>
      <w:r w:rsidRPr="00992A5B">
        <w:rPr>
          <w:rFonts w:ascii="Times New Roman" w:eastAsia="Times New Roman" w:hAnsi="Times New Roman"/>
          <w:lang w:eastAsia="hr-HR"/>
        </w:rPr>
        <w:t xml:space="preserve"> (u slučaju da je prijenosu obrambenog proizvoda prethodio njegov uvoz na teritorij Republike Hrvatske), serijske brojeve oružja, kao i ostalu dokumentaciju ovisno o vrsti robe.</w:t>
      </w:r>
    </w:p>
    <w:p w:rsidR="003D5752" w:rsidRDefault="00992A5B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lastRenderedPageBreak/>
        <w:t>Ministarstvo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="00BB4181">
        <w:rPr>
          <w:rFonts w:ascii="Times New Roman" w:eastAsia="Times New Roman" w:hAnsi="Times New Roman"/>
          <w:lang w:eastAsia="hr-HR"/>
        </w:rPr>
        <w:t xml:space="preserve"> o</w:t>
      </w:r>
      <w:r w:rsidR="00EC2E78">
        <w:rPr>
          <w:rFonts w:ascii="Times New Roman" w:eastAsia="Times New Roman" w:hAnsi="Times New Roman"/>
          <w:lang w:eastAsia="hr-HR"/>
        </w:rPr>
        <w:t>d</w:t>
      </w:r>
      <w:r w:rsidR="00BB4181">
        <w:rPr>
          <w:rFonts w:ascii="Times New Roman" w:eastAsia="Times New Roman" w:hAnsi="Times New Roman"/>
          <w:lang w:eastAsia="hr-HR"/>
        </w:rPr>
        <w:t xml:space="preserve"> 1. </w:t>
      </w:r>
      <w:r w:rsidR="00EC2E78">
        <w:rPr>
          <w:rFonts w:ascii="Times New Roman" w:eastAsia="Times New Roman" w:hAnsi="Times New Roman"/>
          <w:lang w:eastAsia="hr-HR"/>
        </w:rPr>
        <w:t>siječnja</w:t>
      </w:r>
      <w:r w:rsidR="00BB4181">
        <w:rPr>
          <w:rFonts w:ascii="Times New Roman" w:eastAsia="Times New Roman" w:hAnsi="Times New Roman"/>
          <w:lang w:eastAsia="hr-HR"/>
        </w:rPr>
        <w:t xml:space="preserve"> 201</w:t>
      </w:r>
      <w:r w:rsidR="00456CDB">
        <w:rPr>
          <w:rFonts w:ascii="Times New Roman" w:eastAsia="Times New Roman" w:hAnsi="Times New Roman"/>
          <w:lang w:eastAsia="hr-HR"/>
        </w:rPr>
        <w:t>8</w:t>
      </w:r>
      <w:r w:rsidR="00BB4181">
        <w:rPr>
          <w:rFonts w:ascii="Times New Roman" w:eastAsia="Times New Roman" w:hAnsi="Times New Roman"/>
          <w:lang w:eastAsia="hr-HR"/>
        </w:rPr>
        <w:t>.</w:t>
      </w:r>
      <w:r w:rsidRPr="00992A5B">
        <w:rPr>
          <w:rFonts w:ascii="Times New Roman" w:eastAsia="Times New Roman" w:hAnsi="Times New Roman"/>
          <w:lang w:eastAsia="hr-HR"/>
        </w:rPr>
        <w:t xml:space="preserve"> </w:t>
      </w:r>
      <w:r w:rsidR="00EC2E78">
        <w:rPr>
          <w:rFonts w:ascii="Times New Roman" w:eastAsia="Times New Roman" w:hAnsi="Times New Roman"/>
          <w:lang w:eastAsia="hr-HR"/>
        </w:rPr>
        <w:t xml:space="preserve">priprema </w:t>
      </w:r>
      <w:r w:rsidRPr="00992A5B">
        <w:rPr>
          <w:rFonts w:ascii="Times New Roman" w:eastAsia="Times New Roman" w:hAnsi="Times New Roman"/>
          <w:lang w:eastAsia="hr-HR"/>
        </w:rPr>
        <w:t xml:space="preserve">dozvole </w:t>
      </w:r>
      <w:r w:rsidR="00EC2E78">
        <w:rPr>
          <w:rFonts w:ascii="Times New Roman" w:eastAsia="Times New Roman" w:hAnsi="Times New Roman"/>
          <w:lang w:eastAsia="hr-HR"/>
        </w:rPr>
        <w:t>u</w:t>
      </w:r>
      <w:r w:rsidRPr="00992A5B">
        <w:rPr>
          <w:rFonts w:ascii="Times New Roman" w:eastAsia="Times New Roman" w:hAnsi="Times New Roman"/>
          <w:lang w:eastAsia="hr-HR"/>
        </w:rPr>
        <w:t xml:space="preserve"> </w:t>
      </w:r>
      <w:r w:rsidR="003220D8">
        <w:rPr>
          <w:rFonts w:ascii="Times New Roman" w:eastAsia="Times New Roman" w:hAnsi="Times New Roman"/>
          <w:lang w:eastAsia="hr-HR"/>
        </w:rPr>
        <w:t xml:space="preserve">novoj </w:t>
      </w:r>
      <w:r w:rsidRPr="00992A5B">
        <w:rPr>
          <w:rFonts w:ascii="Times New Roman" w:eastAsia="Times New Roman" w:hAnsi="Times New Roman"/>
          <w:lang w:eastAsia="hr-HR"/>
        </w:rPr>
        <w:t>elektroničk</w:t>
      </w:r>
      <w:r w:rsidR="00EC2E78">
        <w:rPr>
          <w:rFonts w:ascii="Times New Roman" w:eastAsia="Times New Roman" w:hAnsi="Times New Roman"/>
          <w:lang w:eastAsia="hr-HR"/>
        </w:rPr>
        <w:t>oj aplikaciji</w:t>
      </w:r>
      <w:r w:rsidRPr="00992A5B">
        <w:rPr>
          <w:rFonts w:ascii="Times New Roman" w:eastAsia="Times New Roman" w:hAnsi="Times New Roman"/>
          <w:lang w:eastAsia="hr-HR"/>
        </w:rPr>
        <w:t xml:space="preserve"> za izdavanje dozvola</w:t>
      </w:r>
      <w:r w:rsidR="000A654B">
        <w:rPr>
          <w:rFonts w:ascii="Times New Roman" w:eastAsia="Times New Roman" w:hAnsi="Times New Roman"/>
          <w:lang w:eastAsia="hr-HR"/>
        </w:rPr>
        <w:t>.</w:t>
      </w:r>
      <w:r w:rsidR="003220D8">
        <w:rPr>
          <w:rFonts w:ascii="Times New Roman" w:eastAsia="Times New Roman" w:hAnsi="Times New Roman"/>
          <w:lang w:eastAsia="hr-HR"/>
        </w:rPr>
        <w:t xml:space="preserve"> Predmetna aplikacija </w:t>
      </w:r>
      <w:r w:rsidR="001716B0">
        <w:rPr>
          <w:rFonts w:ascii="Times New Roman" w:eastAsia="Times New Roman" w:hAnsi="Times New Roman"/>
          <w:bCs/>
          <w:lang w:eastAsia="hr-HR"/>
        </w:rPr>
        <w:t>koristi</w:t>
      </w:r>
      <w:r w:rsidR="003220D8">
        <w:rPr>
          <w:rFonts w:ascii="Times New Roman" w:eastAsia="Times New Roman" w:hAnsi="Times New Roman"/>
          <w:bCs/>
          <w:lang w:eastAsia="hr-HR"/>
        </w:rPr>
        <w:t xml:space="preserve"> se</w:t>
      </w:r>
      <w:r w:rsidR="001716B0">
        <w:rPr>
          <w:rFonts w:ascii="Times New Roman" w:eastAsia="Times New Roman" w:hAnsi="Times New Roman"/>
          <w:bCs/>
          <w:lang w:eastAsia="hr-HR"/>
        </w:rPr>
        <w:t xml:space="preserve"> i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kao baza po</w:t>
      </w:r>
      <w:r w:rsidR="001716B0">
        <w:rPr>
          <w:rFonts w:ascii="Times New Roman" w:eastAsia="Times New Roman" w:hAnsi="Times New Roman"/>
          <w:bCs/>
          <w:lang w:eastAsia="hr-HR"/>
        </w:rPr>
        <w:t>dataka na te</w:t>
      </w:r>
      <w:r w:rsidR="004031E8">
        <w:rPr>
          <w:rFonts w:ascii="Times New Roman" w:eastAsia="Times New Roman" w:hAnsi="Times New Roman"/>
          <w:bCs/>
          <w:lang w:eastAsia="hr-HR"/>
        </w:rPr>
        <w:t>melju kojih je sačinjeno i ovo i</w:t>
      </w:r>
      <w:r w:rsidR="001716B0">
        <w:rPr>
          <w:rFonts w:ascii="Times New Roman" w:eastAsia="Times New Roman" w:hAnsi="Times New Roman"/>
          <w:bCs/>
          <w:lang w:eastAsia="hr-HR"/>
        </w:rPr>
        <w:t>zvješće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. </w:t>
      </w:r>
      <w:r w:rsidR="00BB4181">
        <w:rPr>
          <w:rFonts w:ascii="Times New Roman" w:eastAsia="Times New Roman" w:hAnsi="Times New Roman"/>
          <w:bCs/>
          <w:lang w:eastAsia="hr-HR"/>
        </w:rPr>
        <w:t xml:space="preserve">Podatke u sustav unose službenici 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Ministarstva </w:t>
      </w:r>
      <w:r w:rsidR="001716B0">
        <w:rPr>
          <w:rFonts w:ascii="Times New Roman" w:eastAsia="Times New Roman" w:hAnsi="Times New Roman"/>
          <w:bCs/>
          <w:lang w:eastAsia="hr-HR"/>
        </w:rPr>
        <w:t>gospodarstva</w:t>
      </w:r>
      <w:r w:rsidR="0010321A">
        <w:rPr>
          <w:rFonts w:ascii="Times New Roman" w:eastAsia="Times New Roman" w:hAnsi="Times New Roman"/>
          <w:bCs/>
          <w:lang w:eastAsia="hr-HR"/>
        </w:rPr>
        <w:t>, poduzetništva i obrta</w:t>
      </w:r>
      <w:r w:rsidR="001716B0">
        <w:rPr>
          <w:rFonts w:ascii="Times New Roman" w:eastAsia="Times New Roman" w:hAnsi="Times New Roman"/>
          <w:bCs/>
          <w:lang w:eastAsia="hr-HR"/>
        </w:rPr>
        <w:t xml:space="preserve">. </w:t>
      </w:r>
      <w:r w:rsidR="00776A79">
        <w:rPr>
          <w:rFonts w:ascii="Times New Roman" w:eastAsia="Times New Roman" w:hAnsi="Times New Roman"/>
          <w:bCs/>
          <w:lang w:eastAsia="hr-HR"/>
        </w:rPr>
        <w:t>S o</w:t>
      </w:r>
      <w:r w:rsidR="001716B0">
        <w:rPr>
          <w:rFonts w:ascii="Times New Roman" w:eastAsia="Times New Roman" w:hAnsi="Times New Roman"/>
          <w:bCs/>
          <w:lang w:eastAsia="hr-HR"/>
        </w:rPr>
        <w:t>bzirom</w:t>
      </w:r>
      <w:r w:rsidR="00776A79">
        <w:rPr>
          <w:rFonts w:ascii="Times New Roman" w:eastAsia="Times New Roman" w:hAnsi="Times New Roman"/>
          <w:bCs/>
          <w:lang w:eastAsia="hr-HR"/>
        </w:rPr>
        <w:t xml:space="preserve"> na to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da od 6. srpnja 2014. godine Ministarstvo financija</w:t>
      </w:r>
      <w:r w:rsidR="005E3209">
        <w:rPr>
          <w:rFonts w:ascii="Times New Roman" w:eastAsia="Times New Roman" w:hAnsi="Times New Roman"/>
          <w:bCs/>
          <w:lang w:eastAsia="hr-HR"/>
        </w:rPr>
        <w:t xml:space="preserve"> </w:t>
      </w:r>
      <w:r w:rsidRPr="00992A5B">
        <w:rPr>
          <w:rFonts w:ascii="Times New Roman" w:eastAsia="Times New Roman" w:hAnsi="Times New Roman"/>
          <w:bCs/>
          <w:lang w:eastAsia="hr-HR"/>
        </w:rPr>
        <w:t>- Carinska uprava nije u obvezi vodi</w:t>
      </w:r>
      <w:r w:rsidR="005D01A9">
        <w:rPr>
          <w:rFonts w:ascii="Times New Roman" w:eastAsia="Times New Roman" w:hAnsi="Times New Roman"/>
          <w:bCs/>
          <w:lang w:eastAsia="hr-HR"/>
        </w:rPr>
        <w:t>ti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po</w:t>
      </w:r>
      <w:r w:rsidR="00DA0171">
        <w:rPr>
          <w:rFonts w:ascii="Times New Roman" w:eastAsia="Times New Roman" w:hAnsi="Times New Roman"/>
          <w:bCs/>
          <w:lang w:eastAsia="hr-HR"/>
        </w:rPr>
        <w:t>datke o prijenosu robe unutar Europske unije</w:t>
      </w:r>
      <w:r w:rsidR="006F6F75">
        <w:rPr>
          <w:rFonts w:ascii="Times New Roman" w:eastAsia="Times New Roman" w:hAnsi="Times New Roman"/>
          <w:bCs/>
          <w:lang w:eastAsia="hr-HR"/>
        </w:rPr>
        <w:t>,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izv</w:t>
      </w:r>
      <w:r w:rsidR="00DA0171">
        <w:rPr>
          <w:rFonts w:ascii="Times New Roman" w:eastAsia="Times New Roman" w:hAnsi="Times New Roman"/>
          <w:bCs/>
          <w:lang w:eastAsia="hr-HR"/>
        </w:rPr>
        <w:t>ješće o prijenosu robe unutar Europske unije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temelji</w:t>
      </w:r>
      <w:r w:rsidR="006F6F75">
        <w:rPr>
          <w:rFonts w:ascii="Times New Roman" w:eastAsia="Times New Roman" w:hAnsi="Times New Roman"/>
          <w:bCs/>
          <w:lang w:eastAsia="hr-HR"/>
        </w:rPr>
        <w:t xml:space="preserve"> se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samo na izvješćima o realizaciji </w:t>
      </w:r>
      <w:r w:rsidR="00776A79">
        <w:rPr>
          <w:rFonts w:ascii="Times New Roman" w:eastAsia="Times New Roman" w:hAnsi="Times New Roman"/>
          <w:bCs/>
          <w:lang w:eastAsia="hr-HR"/>
        </w:rPr>
        <w:t xml:space="preserve">po </w:t>
      </w:r>
      <w:r w:rsidRPr="00992A5B">
        <w:rPr>
          <w:rFonts w:ascii="Times New Roman" w:eastAsia="Times New Roman" w:hAnsi="Times New Roman"/>
          <w:bCs/>
          <w:lang w:eastAsia="hr-HR"/>
        </w:rPr>
        <w:t>izd</w:t>
      </w:r>
      <w:r w:rsidR="006F6F75">
        <w:rPr>
          <w:rFonts w:ascii="Times New Roman" w:eastAsia="Times New Roman" w:hAnsi="Times New Roman"/>
          <w:bCs/>
          <w:lang w:eastAsia="hr-HR"/>
        </w:rPr>
        <w:t>ani</w:t>
      </w:r>
      <w:r w:rsidR="00776A79">
        <w:rPr>
          <w:rFonts w:ascii="Times New Roman" w:eastAsia="Times New Roman" w:hAnsi="Times New Roman"/>
          <w:bCs/>
          <w:lang w:eastAsia="hr-HR"/>
        </w:rPr>
        <w:t>m</w:t>
      </w:r>
      <w:r w:rsidR="006F6F75">
        <w:rPr>
          <w:rFonts w:ascii="Times New Roman" w:eastAsia="Times New Roman" w:hAnsi="Times New Roman"/>
          <w:bCs/>
          <w:lang w:eastAsia="hr-HR"/>
        </w:rPr>
        <w:t xml:space="preserve"> dozvola</w:t>
      </w:r>
      <w:r w:rsidR="00776A79">
        <w:rPr>
          <w:rFonts w:ascii="Times New Roman" w:eastAsia="Times New Roman" w:hAnsi="Times New Roman"/>
          <w:bCs/>
          <w:lang w:eastAsia="hr-HR"/>
        </w:rPr>
        <w:t>ma</w:t>
      </w:r>
      <w:r w:rsidR="006F6F75">
        <w:rPr>
          <w:rFonts w:ascii="Times New Roman" w:eastAsia="Times New Roman" w:hAnsi="Times New Roman"/>
          <w:bCs/>
          <w:lang w:eastAsia="hr-HR"/>
        </w:rPr>
        <w:t xml:space="preserve"> koje stranke dostave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Ministarstvu</w:t>
      </w:r>
      <w:r w:rsidR="00DA0171">
        <w:rPr>
          <w:rFonts w:ascii="Times New Roman" w:eastAsia="Times New Roman" w:hAnsi="Times New Roman"/>
          <w:bCs/>
          <w:lang w:eastAsia="hr-HR"/>
        </w:rPr>
        <w:t xml:space="preserve"> gospodarstva</w:t>
      </w:r>
      <w:r w:rsidR="004031E8">
        <w:rPr>
          <w:rFonts w:ascii="Times New Roman" w:eastAsia="Times New Roman" w:hAnsi="Times New Roman"/>
          <w:bCs/>
          <w:lang w:eastAsia="hr-HR"/>
        </w:rPr>
        <w:t>, poduzetništva i obrta.</w:t>
      </w:r>
    </w:p>
    <w:p w:rsidR="003220D8" w:rsidRDefault="003220D8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3220D8" w:rsidRDefault="003220D8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Sukladno odredbama članka 6. Zakona</w:t>
      </w:r>
      <w:r w:rsidR="00776A79">
        <w:rPr>
          <w:rFonts w:ascii="Times New Roman" w:eastAsia="Times New Roman" w:hAnsi="Times New Roman"/>
          <w:bCs/>
          <w:lang w:eastAsia="hr-HR"/>
        </w:rPr>
        <w:t>,</w:t>
      </w:r>
      <w:r>
        <w:rPr>
          <w:rFonts w:ascii="Times New Roman" w:eastAsia="Times New Roman" w:hAnsi="Times New Roman"/>
          <w:bCs/>
          <w:lang w:eastAsia="hr-HR"/>
        </w:rPr>
        <w:t xml:space="preserve"> ministarstvo nadležno za obranu izdaje dozvole za uvoz za potrebe oružanih snaga Republike Hrvatske, a ministarstvo nadležno za unutarnje poslove izdaje dozvole za uvoz za potrebe policije. Također, dozvole za izvoz robe temeljem donacije Vlade izdaje </w:t>
      </w:r>
      <w:r w:rsidRPr="003220D8">
        <w:rPr>
          <w:rFonts w:ascii="Times New Roman" w:eastAsia="Times New Roman" w:hAnsi="Times New Roman"/>
          <w:bCs/>
          <w:lang w:eastAsia="hr-HR"/>
        </w:rPr>
        <w:t>ministarstvo nadležno za obranu</w:t>
      </w:r>
      <w:r>
        <w:rPr>
          <w:rFonts w:ascii="Times New Roman" w:eastAsia="Times New Roman" w:hAnsi="Times New Roman"/>
          <w:bCs/>
          <w:lang w:eastAsia="hr-HR"/>
        </w:rPr>
        <w:t xml:space="preserve">, odnosno </w:t>
      </w:r>
      <w:r w:rsidRPr="003220D8">
        <w:rPr>
          <w:rFonts w:ascii="Times New Roman" w:eastAsia="Times New Roman" w:hAnsi="Times New Roman"/>
          <w:bCs/>
          <w:lang w:eastAsia="hr-HR"/>
        </w:rPr>
        <w:t>ministarstvo nadležno za unutarnje poslove</w:t>
      </w:r>
      <w:r>
        <w:rPr>
          <w:rFonts w:ascii="Times New Roman" w:eastAsia="Times New Roman" w:hAnsi="Times New Roman"/>
          <w:bCs/>
          <w:lang w:eastAsia="hr-HR"/>
        </w:rPr>
        <w:t xml:space="preserve"> u slučaju da se radi o robi iz njihove nadležnosti. Dozvole za izvoz robe temeljem međunarodnih vojnih sporazuma</w:t>
      </w:r>
      <w:r w:rsidR="0010045D">
        <w:rPr>
          <w:rFonts w:ascii="Times New Roman" w:eastAsia="Times New Roman" w:hAnsi="Times New Roman"/>
          <w:bCs/>
          <w:lang w:eastAsia="hr-HR"/>
        </w:rPr>
        <w:t>,</w:t>
      </w:r>
      <w:r>
        <w:rPr>
          <w:rFonts w:ascii="Times New Roman" w:eastAsia="Times New Roman" w:hAnsi="Times New Roman"/>
          <w:bCs/>
          <w:lang w:eastAsia="hr-HR"/>
        </w:rPr>
        <w:t xml:space="preserve"> čiji</w:t>
      </w:r>
      <w:r w:rsidR="0010045D">
        <w:rPr>
          <w:rFonts w:ascii="Times New Roman" w:eastAsia="Times New Roman" w:hAnsi="Times New Roman"/>
          <w:bCs/>
          <w:lang w:eastAsia="hr-HR"/>
        </w:rPr>
        <w:t xml:space="preserve"> je potpisnik Republika Hrvatska</w:t>
      </w:r>
      <w:r w:rsidR="00A25A02">
        <w:rPr>
          <w:rFonts w:ascii="Times New Roman" w:eastAsia="Times New Roman" w:hAnsi="Times New Roman"/>
          <w:bCs/>
          <w:lang w:eastAsia="hr-HR"/>
        </w:rPr>
        <w:t>,</w:t>
      </w:r>
      <w:r>
        <w:rPr>
          <w:rFonts w:ascii="Times New Roman" w:eastAsia="Times New Roman" w:hAnsi="Times New Roman"/>
          <w:bCs/>
          <w:lang w:eastAsia="hr-HR"/>
        </w:rPr>
        <w:t xml:space="preserve"> izdaje ministarstvo nadležno za obranu.</w:t>
      </w:r>
    </w:p>
    <w:p w:rsidR="0021095F" w:rsidRDefault="0021095F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095F" w:rsidRDefault="002E257B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Sukladno odredbama Zakona o nadzoru robe s dvojnom namjenom (</w:t>
      </w:r>
      <w:r w:rsidR="00273745" w:rsidRPr="00273745">
        <w:rPr>
          <w:rFonts w:ascii="Times New Roman" w:eastAsia="Times New Roman" w:hAnsi="Times New Roman"/>
          <w:bCs/>
          <w:lang w:eastAsia="hr-HR"/>
        </w:rPr>
        <w:t>Narodne novine</w:t>
      </w:r>
      <w:r w:rsidR="00273745">
        <w:rPr>
          <w:rFonts w:ascii="Times New Roman" w:eastAsia="Times New Roman" w:hAnsi="Times New Roman"/>
          <w:bCs/>
          <w:lang w:eastAsia="hr-HR"/>
        </w:rPr>
        <w:t xml:space="preserve">, br. </w:t>
      </w:r>
      <w:r>
        <w:rPr>
          <w:rFonts w:ascii="Times New Roman" w:eastAsia="Times New Roman" w:hAnsi="Times New Roman"/>
          <w:bCs/>
          <w:lang w:eastAsia="hr-HR"/>
        </w:rPr>
        <w:t xml:space="preserve">80/11 i 68/13) </w:t>
      </w:r>
      <w:r w:rsidR="0021095F">
        <w:rPr>
          <w:rFonts w:ascii="Times New Roman" w:eastAsia="Times New Roman" w:hAnsi="Times New Roman"/>
          <w:bCs/>
          <w:lang w:eastAsia="hr-HR"/>
        </w:rPr>
        <w:t>Ministarstvo vanjsk</w:t>
      </w:r>
      <w:r>
        <w:rPr>
          <w:rFonts w:ascii="Times New Roman" w:eastAsia="Times New Roman" w:hAnsi="Times New Roman"/>
          <w:bCs/>
          <w:lang w:eastAsia="hr-HR"/>
        </w:rPr>
        <w:t>ih i europskih poslova izdaje dozvole za izvoz robe s dvojnom namjenom.</w:t>
      </w:r>
    </w:p>
    <w:p w:rsidR="003C0279" w:rsidRDefault="00C81CEF" w:rsidP="007F12D5">
      <w:pPr>
        <w:pStyle w:val="Heading1"/>
        <w:numPr>
          <w:ilvl w:val="0"/>
          <w:numId w:val="10"/>
        </w:numPr>
        <w:spacing w:line="276" w:lineRule="auto"/>
      </w:pPr>
      <w:r>
        <w:t>IZVJEŠĆE O IZDANIM DOZV</w:t>
      </w:r>
      <w:r w:rsidR="00A96748">
        <w:t>OLA</w:t>
      </w:r>
      <w:r w:rsidR="00C610A2">
        <w:t>MA ZA IZVOZ/PRIJENOS,</w:t>
      </w:r>
      <w:r w:rsidR="006F6F75">
        <w:t xml:space="preserve"> </w:t>
      </w:r>
      <w:r>
        <w:t>UVOZ/PRIJENOS</w:t>
      </w:r>
      <w:r w:rsidR="005E79A1">
        <w:t xml:space="preserve"> I</w:t>
      </w:r>
      <w:r w:rsidR="00C610A2">
        <w:t xml:space="preserve"> PRUŽANJE USLUGA</w:t>
      </w:r>
    </w:p>
    <w:p w:rsidR="002753EC" w:rsidRPr="002753EC" w:rsidRDefault="002753EC" w:rsidP="007F12D5">
      <w:pPr>
        <w:spacing w:line="276" w:lineRule="auto"/>
      </w:pPr>
    </w:p>
    <w:p w:rsidR="00C2174B" w:rsidRDefault="00A1779F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temelju </w:t>
      </w:r>
      <w:r w:rsidR="002016EF" w:rsidRPr="002016EF">
        <w:rPr>
          <w:rFonts w:ascii="Times New Roman" w:eastAsia="Times New Roman" w:hAnsi="Times New Roman"/>
          <w:lang w:eastAsia="hr-HR"/>
        </w:rPr>
        <w:t>odredb</w:t>
      </w:r>
      <w:r>
        <w:rPr>
          <w:rFonts w:ascii="Times New Roman" w:eastAsia="Times New Roman" w:hAnsi="Times New Roman"/>
          <w:lang w:eastAsia="hr-HR"/>
        </w:rPr>
        <w:t>i</w:t>
      </w:r>
      <w:r w:rsidR="002016EF" w:rsidRPr="002016EF">
        <w:rPr>
          <w:rFonts w:ascii="Times New Roman" w:eastAsia="Times New Roman" w:hAnsi="Times New Roman"/>
          <w:lang w:eastAsia="hr-HR"/>
        </w:rPr>
        <w:t xml:space="preserve"> članka 25. Zakona o nadzoru prometa robe vojne namjene i nevojnih ubojnih sredstava, Ministarstvo gospodarstva, pod</w:t>
      </w:r>
      <w:r w:rsidR="004031E8">
        <w:rPr>
          <w:rFonts w:ascii="Times New Roman" w:eastAsia="Times New Roman" w:hAnsi="Times New Roman"/>
          <w:lang w:eastAsia="hr-HR"/>
        </w:rPr>
        <w:t xml:space="preserve">uzetništva i obrta izradilo je </w:t>
      </w:r>
      <w:r w:rsidR="00A46AF6">
        <w:rPr>
          <w:rFonts w:ascii="Times New Roman" w:eastAsia="Times New Roman" w:hAnsi="Times New Roman"/>
          <w:lang w:eastAsia="hr-HR"/>
        </w:rPr>
        <w:t>G</w:t>
      </w:r>
      <w:r w:rsidR="002016EF" w:rsidRPr="002016EF">
        <w:rPr>
          <w:rFonts w:ascii="Times New Roman" w:eastAsia="Times New Roman" w:hAnsi="Times New Roman"/>
          <w:lang w:eastAsia="hr-HR"/>
        </w:rPr>
        <w:t>odišnje izvješće o izvozu i uvozu robe vojne namjene i nevojnih ubojnih sredstava za komercijalne svrhe za 201</w:t>
      </w:r>
      <w:r w:rsidR="00414E5D">
        <w:rPr>
          <w:rFonts w:ascii="Times New Roman" w:eastAsia="Times New Roman" w:hAnsi="Times New Roman"/>
          <w:lang w:eastAsia="hr-HR"/>
        </w:rPr>
        <w:t>8</w:t>
      </w:r>
      <w:r w:rsidR="002016EF" w:rsidRPr="002016EF">
        <w:rPr>
          <w:rFonts w:ascii="Times New Roman" w:eastAsia="Times New Roman" w:hAnsi="Times New Roman"/>
          <w:lang w:eastAsia="hr-HR"/>
        </w:rPr>
        <w:t xml:space="preserve">. </w:t>
      </w:r>
      <w:r w:rsidR="004031E8">
        <w:rPr>
          <w:rFonts w:ascii="Times New Roman" w:eastAsia="Times New Roman" w:hAnsi="Times New Roman"/>
          <w:lang w:eastAsia="hr-HR"/>
        </w:rPr>
        <w:t xml:space="preserve">godinu. 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3758DD" w:rsidRDefault="00DE5417" w:rsidP="003758DD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</w:t>
      </w:r>
      <w:r w:rsidRPr="00DE5417">
        <w:rPr>
          <w:rFonts w:ascii="Times New Roman" w:eastAsia="Times New Roman" w:hAnsi="Times New Roman"/>
          <w:lang w:eastAsia="hr-HR"/>
        </w:rPr>
        <w:t xml:space="preserve"> 2018. godini </w:t>
      </w:r>
      <w:r w:rsidR="002016EF" w:rsidRPr="002016EF">
        <w:rPr>
          <w:rFonts w:ascii="Times New Roman" w:eastAsia="Times New Roman" w:hAnsi="Times New Roman"/>
          <w:lang w:eastAsia="hr-HR"/>
        </w:rPr>
        <w:t>Ministarstvo gospodarstva</w:t>
      </w:r>
      <w:r w:rsidR="005E3209">
        <w:rPr>
          <w:rFonts w:ascii="Times New Roman" w:eastAsia="Times New Roman" w:hAnsi="Times New Roman"/>
          <w:lang w:eastAsia="hr-HR"/>
        </w:rPr>
        <w:t>, poduzetništva i obrta</w:t>
      </w:r>
      <w:r w:rsidR="002016EF" w:rsidRPr="002016EF">
        <w:rPr>
          <w:rFonts w:ascii="Times New Roman" w:eastAsia="Times New Roman" w:hAnsi="Times New Roman"/>
          <w:lang w:eastAsia="hr-HR"/>
        </w:rPr>
        <w:t xml:space="preserve"> izdalo</w:t>
      </w:r>
      <w:r w:rsidR="00531ADD">
        <w:rPr>
          <w:rFonts w:ascii="Times New Roman" w:eastAsia="Times New Roman" w:hAnsi="Times New Roman"/>
          <w:lang w:eastAsia="hr-HR"/>
        </w:rPr>
        <w:t xml:space="preserve"> </w:t>
      </w:r>
      <w:r w:rsidR="00531ADD" w:rsidRPr="00827128">
        <w:rPr>
          <w:rFonts w:ascii="Times New Roman" w:eastAsia="Times New Roman" w:hAnsi="Times New Roman"/>
          <w:lang w:eastAsia="hr-HR"/>
        </w:rPr>
        <w:t>je</w:t>
      </w:r>
      <w:r w:rsidR="00BB77D7">
        <w:rPr>
          <w:rFonts w:ascii="Times New Roman" w:eastAsia="Times New Roman" w:hAnsi="Times New Roman"/>
          <w:lang w:eastAsia="hr-HR"/>
        </w:rPr>
        <w:t xml:space="preserve"> ukupno</w:t>
      </w:r>
      <w:r w:rsidR="002016EF" w:rsidRPr="00827128">
        <w:rPr>
          <w:rFonts w:ascii="Times New Roman" w:eastAsia="Times New Roman" w:hAnsi="Times New Roman"/>
          <w:lang w:eastAsia="hr-HR"/>
        </w:rPr>
        <w:t xml:space="preserve"> </w:t>
      </w:r>
      <w:r w:rsidR="00BB77D7">
        <w:rPr>
          <w:rFonts w:ascii="Times New Roman" w:eastAsia="Times New Roman" w:hAnsi="Times New Roman"/>
          <w:lang w:eastAsia="hr-HR"/>
        </w:rPr>
        <w:t>1071</w:t>
      </w:r>
      <w:r w:rsidR="002016EF" w:rsidRPr="00FB013A"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  <w:r w:rsidR="002016EF" w:rsidRPr="00037500">
        <w:rPr>
          <w:rFonts w:ascii="Times New Roman" w:eastAsia="Times New Roman" w:hAnsi="Times New Roman"/>
          <w:lang w:eastAsia="hr-HR"/>
        </w:rPr>
        <w:t>dozvol</w:t>
      </w:r>
      <w:r w:rsidR="00BB77D7">
        <w:rPr>
          <w:rFonts w:ascii="Times New Roman" w:eastAsia="Times New Roman" w:hAnsi="Times New Roman"/>
          <w:lang w:eastAsia="hr-HR"/>
        </w:rPr>
        <w:t>u</w:t>
      </w:r>
      <w:r w:rsidR="002016EF" w:rsidRPr="00827128">
        <w:rPr>
          <w:rFonts w:ascii="Times New Roman" w:eastAsia="Times New Roman" w:hAnsi="Times New Roman"/>
          <w:lang w:eastAsia="hr-HR"/>
        </w:rPr>
        <w:t xml:space="preserve">, od čega </w:t>
      </w:r>
      <w:r w:rsidR="00BB77D7">
        <w:rPr>
          <w:rFonts w:ascii="Times New Roman" w:eastAsia="Times New Roman" w:hAnsi="Times New Roman"/>
          <w:lang w:eastAsia="hr-HR"/>
        </w:rPr>
        <w:t>866</w:t>
      </w:r>
      <w:r w:rsidR="002016EF" w:rsidRPr="00827128">
        <w:rPr>
          <w:rFonts w:ascii="Times New Roman" w:eastAsia="Times New Roman" w:hAnsi="Times New Roman"/>
          <w:lang w:eastAsia="hr-HR"/>
        </w:rPr>
        <w:t xml:space="preserve"> </w:t>
      </w:r>
      <w:r w:rsidR="003758DD">
        <w:rPr>
          <w:rFonts w:ascii="Times New Roman" w:eastAsia="Times New Roman" w:hAnsi="Times New Roman"/>
          <w:lang w:eastAsia="hr-HR"/>
        </w:rPr>
        <w:t xml:space="preserve">pojedinačnih </w:t>
      </w:r>
      <w:r w:rsidR="002016EF" w:rsidRPr="00827128">
        <w:rPr>
          <w:rFonts w:ascii="Times New Roman" w:eastAsia="Times New Roman" w:hAnsi="Times New Roman"/>
          <w:lang w:eastAsia="hr-HR"/>
        </w:rPr>
        <w:t>dozvo</w:t>
      </w:r>
      <w:r w:rsidR="00F039BE" w:rsidRPr="00827128">
        <w:rPr>
          <w:rFonts w:ascii="Times New Roman" w:eastAsia="Times New Roman" w:hAnsi="Times New Roman"/>
          <w:lang w:eastAsia="hr-HR"/>
        </w:rPr>
        <w:t>l</w:t>
      </w:r>
      <w:r w:rsidR="00BB77D7">
        <w:rPr>
          <w:rFonts w:ascii="Times New Roman" w:eastAsia="Times New Roman" w:hAnsi="Times New Roman"/>
          <w:lang w:eastAsia="hr-HR"/>
        </w:rPr>
        <w:t>a</w:t>
      </w:r>
      <w:r w:rsidR="002016EF" w:rsidRPr="00827128">
        <w:rPr>
          <w:rFonts w:ascii="Times New Roman" w:eastAsia="Times New Roman" w:hAnsi="Times New Roman"/>
          <w:lang w:eastAsia="hr-HR"/>
        </w:rPr>
        <w:t xml:space="preserve"> za izvoz</w:t>
      </w:r>
      <w:r w:rsidR="00BB77D7">
        <w:rPr>
          <w:rFonts w:ascii="Times New Roman" w:eastAsia="Times New Roman" w:hAnsi="Times New Roman"/>
          <w:lang w:eastAsia="hr-HR"/>
        </w:rPr>
        <w:t>, uvoz i</w:t>
      </w:r>
      <w:r w:rsidR="003758DD">
        <w:rPr>
          <w:rFonts w:ascii="Times New Roman" w:eastAsia="Times New Roman" w:hAnsi="Times New Roman"/>
          <w:lang w:eastAsia="hr-HR"/>
        </w:rPr>
        <w:t xml:space="preserve"> </w:t>
      </w:r>
      <w:r w:rsidR="002016EF" w:rsidRPr="00827128">
        <w:rPr>
          <w:rFonts w:ascii="Times New Roman" w:eastAsia="Times New Roman" w:hAnsi="Times New Roman"/>
          <w:lang w:eastAsia="hr-HR"/>
        </w:rPr>
        <w:t>prijenos</w:t>
      </w:r>
      <w:r w:rsidR="00BB77D7">
        <w:rPr>
          <w:rFonts w:ascii="Times New Roman" w:eastAsia="Times New Roman" w:hAnsi="Times New Roman"/>
          <w:lang w:eastAsia="hr-HR"/>
        </w:rPr>
        <w:t xml:space="preserve"> robe vojne namjene i nevojnih ubojnih sredstava, 35 global</w:t>
      </w:r>
      <w:r>
        <w:rPr>
          <w:rFonts w:ascii="Times New Roman" w:eastAsia="Times New Roman" w:hAnsi="Times New Roman"/>
          <w:lang w:eastAsia="hr-HR"/>
        </w:rPr>
        <w:t>nih dozvola za izvoz i prijenos</w:t>
      </w:r>
      <w:r w:rsidR="00BB77D7">
        <w:rPr>
          <w:rFonts w:ascii="Times New Roman" w:eastAsia="Times New Roman" w:hAnsi="Times New Roman"/>
          <w:lang w:eastAsia="hr-HR"/>
        </w:rPr>
        <w:t xml:space="preserve"> robe vojne namjene, 8 dozvola za pružanje usluga za robu vojne namjene te 162 dozvole </w:t>
      </w:r>
      <w:r w:rsidR="003758DD">
        <w:rPr>
          <w:rFonts w:ascii="Times New Roman" w:eastAsia="Times New Roman" w:hAnsi="Times New Roman"/>
          <w:lang w:eastAsia="hr-HR"/>
        </w:rPr>
        <w:t>za privremeni izvoz, uvoz i prijenos robe vojne namjene i nevojnih ubojnih sredstava za potrebe izložbi, seminara, obuke, testiranja, popravka robe ili popravka neispravne robe proizvođaču.</w:t>
      </w:r>
    </w:p>
    <w:p w:rsidR="005F1497" w:rsidRDefault="005F1497" w:rsidP="002016EF">
      <w:pPr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016EF" w:rsidRPr="009B2869" w:rsidRDefault="0004179B" w:rsidP="0004179B">
      <w:pPr>
        <w:ind w:left="2268" w:hanging="1559"/>
        <w:jc w:val="both"/>
      </w:pPr>
      <w:r w:rsidRPr="009B2869">
        <w:t xml:space="preserve">Tablica br. </w:t>
      </w:r>
      <w:r w:rsidR="00D668C7">
        <w:t>2</w:t>
      </w:r>
      <w:r w:rsidRPr="009B2869">
        <w:t>.</w:t>
      </w:r>
      <w:r w:rsidRPr="009B2869">
        <w:tab/>
      </w:r>
      <w:r w:rsidR="002016EF" w:rsidRPr="009B2869">
        <w:t>Broj izdanih dozvola u 201</w:t>
      </w:r>
      <w:r w:rsidR="003758DD">
        <w:t>8</w:t>
      </w:r>
      <w:r w:rsidR="002016EF" w:rsidRPr="009B2869">
        <w:t>.</w:t>
      </w:r>
      <w:r w:rsidR="007E4883" w:rsidRPr="009B2869">
        <w:t xml:space="preserve"> </w:t>
      </w:r>
      <w:r w:rsidR="002016EF" w:rsidRPr="009B2869">
        <w:t>godini za izvoz/prijenos, pružanje usluga i uvoz/prijenos prema kategorijama</w:t>
      </w:r>
    </w:p>
    <w:p w:rsidR="00710E33" w:rsidRDefault="00710E33" w:rsidP="002016EF">
      <w:pPr>
        <w:jc w:val="both"/>
      </w:pPr>
    </w:p>
    <w:tbl>
      <w:tblPr>
        <w:tblStyle w:val="TableGrid21"/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418"/>
      </w:tblGrid>
      <w:tr w:rsidR="00710E33" w:rsidRPr="00710E33" w:rsidTr="00E6664A">
        <w:tc>
          <w:tcPr>
            <w:tcW w:w="2093" w:type="dxa"/>
            <w:vAlign w:val="center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ROBA VOJNE NAMJENE</w:t>
            </w:r>
          </w:p>
        </w:tc>
        <w:tc>
          <w:tcPr>
            <w:tcW w:w="1418" w:type="dxa"/>
            <w:vAlign w:val="center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NEVOJNA UBOJNA SREDSTVA</w:t>
            </w:r>
          </w:p>
        </w:tc>
        <w:tc>
          <w:tcPr>
            <w:tcW w:w="1417" w:type="dxa"/>
            <w:vAlign w:val="center"/>
          </w:tcPr>
          <w:p w:rsidR="00DE5417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PRIVREMENI izvoz/prijenos/</w:t>
            </w:r>
          </w:p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uvoz</w:t>
            </w:r>
          </w:p>
        </w:tc>
        <w:tc>
          <w:tcPr>
            <w:tcW w:w="1418" w:type="dxa"/>
            <w:vAlign w:val="center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GLOBALNE –IZVOZ</w:t>
            </w:r>
          </w:p>
        </w:tc>
        <w:tc>
          <w:tcPr>
            <w:tcW w:w="1418" w:type="dxa"/>
            <w:vAlign w:val="center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0E33">
              <w:rPr>
                <w:rFonts w:ascii="Times New Roman" w:eastAsia="Times New Roman" w:hAnsi="Times New Roman"/>
                <w:sz w:val="18"/>
                <w:szCs w:val="18"/>
              </w:rPr>
              <w:t>UKUPNO</w:t>
            </w:r>
          </w:p>
        </w:tc>
      </w:tr>
      <w:tr w:rsidR="00710E33" w:rsidRPr="00710E33" w:rsidTr="00E6664A">
        <w:tc>
          <w:tcPr>
            <w:tcW w:w="2093" w:type="dxa"/>
          </w:tcPr>
          <w:p w:rsidR="00710E33" w:rsidRPr="00710E33" w:rsidRDefault="00710E33" w:rsidP="00710E33">
            <w:pPr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Izvoz/prijenos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308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576</w:t>
            </w:r>
          </w:p>
        </w:tc>
      </w:tr>
      <w:tr w:rsidR="00710E33" w:rsidRPr="00710E33" w:rsidTr="00E6664A">
        <w:tc>
          <w:tcPr>
            <w:tcW w:w="2093" w:type="dxa"/>
          </w:tcPr>
          <w:p w:rsidR="00710E33" w:rsidRPr="00710E33" w:rsidRDefault="00710E33" w:rsidP="00710E33">
            <w:pPr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Uvoz/prijenos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255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487</w:t>
            </w:r>
          </w:p>
        </w:tc>
      </w:tr>
      <w:tr w:rsidR="00710E33" w:rsidRPr="00710E33" w:rsidTr="00E6664A">
        <w:tc>
          <w:tcPr>
            <w:tcW w:w="2093" w:type="dxa"/>
          </w:tcPr>
          <w:p w:rsidR="00710E33" w:rsidRPr="00710E33" w:rsidRDefault="00710E33" w:rsidP="00710E33">
            <w:pPr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Pružanje usluga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</w:rPr>
            </w:pPr>
            <w:r w:rsidRPr="00710E33">
              <w:rPr>
                <w:rFonts w:ascii="Times New Roman" w:eastAsia="Times New Roman" w:hAnsi="Times New Roman"/>
              </w:rPr>
              <w:t>8</w:t>
            </w:r>
          </w:p>
        </w:tc>
      </w:tr>
      <w:tr w:rsidR="00710E33" w:rsidRPr="00710E33" w:rsidTr="00E6664A">
        <w:tc>
          <w:tcPr>
            <w:tcW w:w="2093" w:type="dxa"/>
          </w:tcPr>
          <w:p w:rsidR="00710E33" w:rsidRPr="00710E33" w:rsidRDefault="00710E33" w:rsidP="00710E33">
            <w:pPr>
              <w:rPr>
                <w:rFonts w:ascii="Times New Roman" w:eastAsia="Times New Roman" w:hAnsi="Times New Roman"/>
                <w:b/>
              </w:rPr>
            </w:pPr>
            <w:r w:rsidRPr="00710E33">
              <w:rPr>
                <w:rFonts w:ascii="Times New Roman" w:eastAsia="Times New Roman" w:hAnsi="Times New Roman"/>
                <w:b/>
              </w:rPr>
              <w:t>UKUPNO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10E33">
              <w:rPr>
                <w:rFonts w:ascii="Times New Roman" w:eastAsia="Times New Roman" w:hAnsi="Times New Roman"/>
                <w:b/>
              </w:rPr>
              <w:t>571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10E33">
              <w:rPr>
                <w:rFonts w:ascii="Times New Roman" w:eastAsia="Times New Roman" w:hAnsi="Times New Roman"/>
                <w:b/>
              </w:rPr>
              <w:t>303</w:t>
            </w:r>
          </w:p>
        </w:tc>
        <w:tc>
          <w:tcPr>
            <w:tcW w:w="1417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10E33">
              <w:rPr>
                <w:rFonts w:ascii="Times New Roman" w:eastAsia="Times New Roman" w:hAnsi="Times New Roman"/>
                <w:b/>
              </w:rPr>
              <w:t>162</w:t>
            </w: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</w:tcPr>
          <w:p w:rsidR="00710E33" w:rsidRPr="00710E33" w:rsidRDefault="00710E33" w:rsidP="00710E3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10E33">
              <w:rPr>
                <w:rFonts w:ascii="Times New Roman" w:eastAsia="Times New Roman" w:hAnsi="Times New Roman"/>
                <w:b/>
              </w:rPr>
              <w:t>1071</w:t>
            </w:r>
          </w:p>
        </w:tc>
      </w:tr>
    </w:tbl>
    <w:p w:rsidR="00B04C83" w:rsidRDefault="00B04C83" w:rsidP="002016EF">
      <w:pPr>
        <w:jc w:val="both"/>
      </w:pPr>
      <w:r>
        <w:lastRenderedPageBreak/>
        <w:t xml:space="preserve">U </w:t>
      </w:r>
      <w:r w:rsidR="008969C8">
        <w:t xml:space="preserve">odnosu na </w:t>
      </w:r>
      <w:r>
        <w:t xml:space="preserve">2017. </w:t>
      </w:r>
      <w:r w:rsidR="008969C8">
        <w:t>g</w:t>
      </w:r>
      <w:r w:rsidR="00882149">
        <w:t>odinu kad</w:t>
      </w:r>
      <w:r w:rsidR="008969C8">
        <w:t xml:space="preserve"> je</w:t>
      </w:r>
      <w:r>
        <w:t xml:space="preserve"> izdano ukupno 926 dozvola, u 2018. </w:t>
      </w:r>
      <w:r w:rsidR="008969C8">
        <w:t xml:space="preserve">godini izdano je 15,6 </w:t>
      </w:r>
      <w:r w:rsidR="00882149">
        <w:t>% više</w:t>
      </w:r>
      <w:r w:rsidR="008969C8">
        <w:t xml:space="preserve"> dozvola. </w:t>
      </w:r>
    </w:p>
    <w:p w:rsidR="008969C8" w:rsidRDefault="008969C8" w:rsidP="002016EF">
      <w:pPr>
        <w:jc w:val="both"/>
      </w:pPr>
    </w:p>
    <w:p w:rsidR="001211D0" w:rsidRPr="001211D0" w:rsidRDefault="001211D0" w:rsidP="001211D0">
      <w:pPr>
        <w:jc w:val="center"/>
        <w:rPr>
          <w:b/>
        </w:rPr>
      </w:pPr>
      <w:r w:rsidRPr="001211D0">
        <w:rPr>
          <w:b/>
        </w:rPr>
        <w:t>Graf br. 1 – Ukupan broj izdanih dozvola u 2017. i 2018. godini</w:t>
      </w:r>
    </w:p>
    <w:p w:rsidR="001211D0" w:rsidRDefault="001211D0" w:rsidP="002016EF">
      <w:pPr>
        <w:jc w:val="both"/>
      </w:pPr>
    </w:p>
    <w:p w:rsidR="001211D0" w:rsidRDefault="00CC1B7E" w:rsidP="002016EF">
      <w:pPr>
        <w:jc w:val="both"/>
      </w:pPr>
      <w:r>
        <w:rPr>
          <w:noProof/>
          <w:lang w:eastAsia="hr-HR"/>
        </w:rPr>
        <w:drawing>
          <wp:inline distT="0" distB="0" distL="0" distR="0" wp14:anchorId="72A816F9" wp14:editId="358648AB">
            <wp:extent cx="3999053" cy="2586942"/>
            <wp:effectExtent l="0" t="0" r="20955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11D0" w:rsidRDefault="001211D0" w:rsidP="002016EF">
      <w:pPr>
        <w:jc w:val="both"/>
      </w:pPr>
    </w:p>
    <w:p w:rsidR="00462684" w:rsidRPr="00413817" w:rsidRDefault="00462684" w:rsidP="00462684">
      <w:pPr>
        <w:keepNext/>
        <w:spacing w:before="240"/>
        <w:ind w:firstLine="708"/>
        <w:outlineLvl w:val="0"/>
        <w:rPr>
          <w:rFonts w:ascii="Times New Roman" w:eastAsiaTheme="majorEastAsia" w:hAnsi="Times New Roman"/>
          <w:bCs/>
          <w:kern w:val="32"/>
        </w:rPr>
      </w:pPr>
      <w:r w:rsidRPr="00413817">
        <w:rPr>
          <w:rFonts w:ascii="Times New Roman" w:eastAsiaTheme="majorEastAsia" w:hAnsi="Times New Roman"/>
          <w:bCs/>
          <w:kern w:val="32"/>
        </w:rPr>
        <w:t>3.</w:t>
      </w:r>
      <w:r w:rsidRPr="00413817">
        <w:rPr>
          <w:rFonts w:ascii="Times New Roman" w:eastAsiaTheme="majorEastAsia" w:hAnsi="Times New Roman"/>
          <w:b/>
          <w:bCs/>
          <w:kern w:val="32"/>
        </w:rPr>
        <w:t xml:space="preserve"> </w:t>
      </w:r>
      <w:r w:rsidRPr="00413817">
        <w:rPr>
          <w:rFonts w:ascii="Times New Roman" w:eastAsiaTheme="majorEastAsia" w:hAnsi="Times New Roman"/>
          <w:bCs/>
          <w:kern w:val="32"/>
        </w:rPr>
        <w:t>IZVJEŠĆE O FINANCIJSKIM  POKAZATELJIMA REALIZACIJE DOZVOLA</w:t>
      </w:r>
    </w:p>
    <w:p w:rsidR="00462684" w:rsidRDefault="00462684" w:rsidP="00462684">
      <w:pPr>
        <w:ind w:firstLine="708"/>
        <w:rPr>
          <w:rFonts w:ascii="Times New Roman" w:hAnsi="Times New Roman"/>
        </w:rPr>
      </w:pPr>
    </w:p>
    <w:p w:rsidR="00462684" w:rsidRPr="00413817" w:rsidRDefault="00462684" w:rsidP="00462684">
      <w:pPr>
        <w:ind w:firstLine="708"/>
        <w:rPr>
          <w:rFonts w:ascii="Times New Roman" w:hAnsi="Times New Roman"/>
        </w:rPr>
      </w:pPr>
      <w:bookmarkStart w:id="0" w:name="_GoBack"/>
      <w:bookmarkEnd w:id="0"/>
      <w:r w:rsidRPr="00413817">
        <w:rPr>
          <w:rFonts w:ascii="Times New Roman" w:hAnsi="Times New Roman"/>
        </w:rPr>
        <w:t>3.1. FINANCIJSKA REALIZACIJA DOZVOLA IZDANIH U 2018.</w:t>
      </w:r>
      <w:r w:rsidR="00A25A02">
        <w:rPr>
          <w:rFonts w:ascii="Times New Roman" w:hAnsi="Times New Roman"/>
        </w:rPr>
        <w:t xml:space="preserve"> </w:t>
      </w:r>
      <w:r w:rsidRPr="00413817">
        <w:rPr>
          <w:rFonts w:ascii="Times New Roman" w:hAnsi="Times New Roman"/>
        </w:rPr>
        <w:t>g.</w:t>
      </w:r>
    </w:p>
    <w:p w:rsidR="00462684" w:rsidRPr="00413817" w:rsidRDefault="00462684" w:rsidP="00462684">
      <w:pPr>
        <w:jc w:val="both"/>
        <w:rPr>
          <w:rFonts w:ascii="Times New Roman" w:hAnsi="Times New Roman"/>
        </w:rPr>
      </w:pPr>
    </w:p>
    <w:p w:rsidR="00462684" w:rsidRPr="00413817" w:rsidRDefault="00462684" w:rsidP="00462684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U 2018. godini izdano je ukupno 1071 dozvola, od toga:</w:t>
      </w:r>
    </w:p>
    <w:p w:rsidR="00462684" w:rsidRPr="00413817" w:rsidRDefault="00462684" w:rsidP="00462684">
      <w:pPr>
        <w:jc w:val="both"/>
        <w:rPr>
          <w:rFonts w:ascii="Times New Roman" w:eastAsia="Times New Roman" w:hAnsi="Times New Roman"/>
          <w:lang w:eastAsia="hr-HR"/>
        </w:rPr>
      </w:pPr>
    </w:p>
    <w:p w:rsidR="00462684" w:rsidRPr="00413817" w:rsidRDefault="00462684" w:rsidP="00462684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- 308 dozvole za izvoz/prijenos robe vojne namjene u odobrenoj vrijednosti od 2.734.892.793,61 HRK (368.087.859,17 EUR) od čega je u 2018. godini realizirano 714.187.037,79 HRK (96.122.077,76 EUR) ili 26,11 %.</w:t>
      </w:r>
    </w:p>
    <w:p w:rsidR="00462684" w:rsidRPr="00413817" w:rsidRDefault="00462684" w:rsidP="00462684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13817">
        <w:rPr>
          <w:rFonts w:ascii="Times New Roman" w:eastAsia="Times New Roman" w:hAnsi="Times New Roman"/>
          <w:lang w:eastAsia="hr-HR"/>
        </w:rPr>
        <w:t>255 dozvola za uvoz/prijenos robe vojne namjene u odobrenoj vrijednosti od 411.416.387,28 HRK (55.372.326,69 EUR) od čega je realizirano 35.839.137,37 HRK (4.823.571,65 EUR) ili 8,71 %.</w:t>
      </w:r>
    </w:p>
    <w:p w:rsidR="00462684" w:rsidRPr="00413817" w:rsidRDefault="00462684" w:rsidP="00462684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- 153 dozvola za izvoz/prijenos nevojnih ubojnih sredstava u odobrenoj vrijednosti od 5.510.633.266,82 HRK (741.673.387,19 EUR) od čega je realizirano 41.629.4</w:t>
      </w:r>
      <w:r w:rsidR="00B93F90">
        <w:rPr>
          <w:rFonts w:ascii="Times New Roman" w:eastAsia="Times New Roman" w:hAnsi="Times New Roman"/>
          <w:lang w:eastAsia="hr-HR"/>
        </w:rPr>
        <w:t>4</w:t>
      </w:r>
      <w:r w:rsidRPr="00413817">
        <w:rPr>
          <w:rFonts w:ascii="Times New Roman" w:eastAsia="Times New Roman" w:hAnsi="Times New Roman"/>
          <w:lang w:eastAsia="hr-HR"/>
        </w:rPr>
        <w:t>1,57 HRK (5.602.885,81 EUR) ili 0,76 %.</w:t>
      </w:r>
    </w:p>
    <w:p w:rsidR="00462684" w:rsidRPr="00413817" w:rsidRDefault="00462684" w:rsidP="00462684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-</w:t>
      </w:r>
      <w:r w:rsidR="00A25A02">
        <w:rPr>
          <w:rFonts w:ascii="Times New Roman" w:eastAsia="Times New Roman" w:hAnsi="Times New Roman"/>
          <w:lang w:eastAsia="hr-HR"/>
        </w:rPr>
        <w:t xml:space="preserve"> </w:t>
      </w:r>
      <w:r w:rsidRPr="00413817">
        <w:rPr>
          <w:rFonts w:ascii="Times New Roman" w:eastAsia="Times New Roman" w:hAnsi="Times New Roman"/>
          <w:lang w:eastAsia="hr-HR"/>
        </w:rPr>
        <w:t xml:space="preserve">150 dozvola za uvoz/prijenos nevojnih ubojnih sredstava u vrijednosti </w:t>
      </w:r>
      <w:r w:rsidR="00A25A02">
        <w:rPr>
          <w:rFonts w:ascii="Times New Roman" w:eastAsia="Times New Roman" w:hAnsi="Times New Roman"/>
          <w:lang w:eastAsia="hr-HR"/>
        </w:rPr>
        <w:t xml:space="preserve">od </w:t>
      </w:r>
      <w:r w:rsidRPr="00413817">
        <w:rPr>
          <w:rFonts w:ascii="Times New Roman" w:eastAsia="Times New Roman" w:hAnsi="Times New Roman"/>
          <w:lang w:eastAsia="hr-HR"/>
        </w:rPr>
        <w:t>458.251.995,01 HRK (61.675.907,81 EUR) od čega je realizirano 33.890.557,05 HRK (4.561.313,20 EUR) ili 7,4 %.</w:t>
      </w:r>
    </w:p>
    <w:p w:rsidR="00462684" w:rsidRPr="00413817" w:rsidRDefault="00462684" w:rsidP="00462684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413817">
        <w:rPr>
          <w:rFonts w:ascii="Times New Roman" w:eastAsia="Times New Roman" w:hAnsi="Times New Roman"/>
          <w:lang w:eastAsia="hr-HR"/>
        </w:rPr>
        <w:t>-</w:t>
      </w:r>
      <w:r w:rsidR="000C7D29">
        <w:rPr>
          <w:rFonts w:ascii="Times New Roman" w:eastAsia="Times New Roman" w:hAnsi="Times New Roman"/>
          <w:lang w:eastAsia="hr-HR"/>
        </w:rPr>
        <w:t xml:space="preserve"> </w:t>
      </w:r>
      <w:r w:rsidRPr="00413817">
        <w:rPr>
          <w:rFonts w:ascii="Times New Roman" w:eastAsia="Times New Roman" w:hAnsi="Times New Roman"/>
          <w:lang w:eastAsia="hr-HR"/>
        </w:rPr>
        <w:t>8 dozvola za pružanje usluga za robu vojne namjene u odobrenoj vrijednosti od 24.930.697,51 HRK (3.355.410,16 EUR) od čega je realizirano 0,00 HRK (0,00 EUR).</w:t>
      </w:r>
    </w:p>
    <w:p w:rsidR="00723F94" w:rsidRDefault="00723F94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462684" w:rsidRDefault="00462684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016EF" w:rsidRPr="00B63055" w:rsidRDefault="00B63055" w:rsidP="00B63055">
      <w:pPr>
        <w:keepNext/>
        <w:spacing w:line="276" w:lineRule="auto"/>
        <w:ind w:left="709" w:hanging="709"/>
        <w:jc w:val="both"/>
        <w:outlineLvl w:val="1"/>
        <w:rPr>
          <w:rFonts w:asciiTheme="majorHAnsi" w:eastAsiaTheme="majorEastAsia" w:hAnsiTheme="majorHAnsi" w:cstheme="majorBidi"/>
          <w:bCs/>
          <w:iCs/>
        </w:rPr>
      </w:pPr>
      <w:r>
        <w:rPr>
          <w:rFonts w:asciiTheme="majorHAnsi" w:eastAsiaTheme="majorEastAsia" w:hAnsiTheme="majorHAnsi" w:cstheme="majorBidi"/>
          <w:bCs/>
          <w:iCs/>
        </w:rPr>
        <w:t>3.2.</w:t>
      </w:r>
      <w:r>
        <w:rPr>
          <w:rFonts w:asciiTheme="majorHAnsi" w:eastAsiaTheme="majorEastAsia" w:hAnsiTheme="majorHAnsi" w:cstheme="majorBidi"/>
          <w:bCs/>
          <w:iCs/>
        </w:rPr>
        <w:tab/>
      </w:r>
      <w:r w:rsidR="002016EF" w:rsidRPr="00B63055">
        <w:rPr>
          <w:rFonts w:asciiTheme="majorHAnsi" w:eastAsiaTheme="majorEastAsia" w:hAnsiTheme="majorHAnsi" w:cstheme="majorBidi"/>
          <w:bCs/>
          <w:iCs/>
        </w:rPr>
        <w:t>UKUPNI  FINANCIJSKI  POKAZATELJI  REALIZACIJE  DOZVOLA U</w:t>
      </w:r>
      <w:r w:rsidR="002A2DA6" w:rsidRPr="00B63055">
        <w:rPr>
          <w:rFonts w:asciiTheme="majorHAnsi" w:eastAsiaTheme="majorEastAsia" w:hAnsiTheme="majorHAnsi" w:cstheme="majorBidi"/>
          <w:bCs/>
          <w:iCs/>
        </w:rPr>
        <w:t xml:space="preserve"> </w:t>
      </w:r>
      <w:r w:rsidR="00ED4BDB" w:rsidRPr="00B63055">
        <w:rPr>
          <w:rFonts w:asciiTheme="majorHAnsi" w:eastAsiaTheme="majorEastAsia" w:hAnsiTheme="majorHAnsi" w:cstheme="majorBidi"/>
          <w:bCs/>
          <w:iCs/>
        </w:rPr>
        <w:t>201</w:t>
      </w:r>
      <w:r>
        <w:rPr>
          <w:rFonts w:asciiTheme="majorHAnsi" w:eastAsiaTheme="majorEastAsia" w:hAnsiTheme="majorHAnsi" w:cstheme="majorBidi"/>
          <w:bCs/>
          <w:iCs/>
        </w:rPr>
        <w:t>8</w:t>
      </w:r>
      <w:r w:rsidR="002016EF" w:rsidRPr="00B63055">
        <w:rPr>
          <w:rFonts w:asciiTheme="majorHAnsi" w:eastAsiaTheme="majorEastAsia" w:hAnsiTheme="majorHAnsi" w:cstheme="majorBidi"/>
          <w:bCs/>
          <w:iCs/>
        </w:rPr>
        <w:t>.</w:t>
      </w:r>
      <w:r>
        <w:rPr>
          <w:rFonts w:asciiTheme="majorHAnsi" w:eastAsiaTheme="majorEastAsia" w:hAnsiTheme="majorHAnsi" w:cstheme="majorBidi"/>
          <w:bCs/>
          <w:iCs/>
        </w:rPr>
        <w:t xml:space="preserve"> </w:t>
      </w:r>
      <w:r w:rsidR="00A25A02">
        <w:rPr>
          <w:rFonts w:asciiTheme="majorHAnsi" w:eastAsiaTheme="majorEastAsia" w:hAnsiTheme="majorHAnsi" w:cstheme="majorBidi"/>
          <w:bCs/>
          <w:iCs/>
        </w:rPr>
        <w:t>GODINI S</w:t>
      </w:r>
      <w:r w:rsidR="002016EF" w:rsidRPr="00B63055">
        <w:rPr>
          <w:rFonts w:asciiTheme="majorHAnsi" w:eastAsiaTheme="majorEastAsia" w:hAnsiTheme="majorHAnsi" w:cstheme="majorBidi"/>
          <w:bCs/>
          <w:iCs/>
        </w:rPr>
        <w:t xml:space="preserve"> DODANOM REALIZACIJOM DOZVOLA KOJE SU </w:t>
      </w:r>
      <w:r w:rsidR="00BA04FE" w:rsidRPr="00B63055">
        <w:rPr>
          <w:rFonts w:asciiTheme="majorHAnsi" w:eastAsiaTheme="majorEastAsia" w:hAnsiTheme="majorHAnsi" w:cstheme="majorBidi"/>
          <w:bCs/>
          <w:iCs/>
        </w:rPr>
        <w:t>IZDANE U</w:t>
      </w:r>
      <w:r w:rsidR="00ED4BDB" w:rsidRPr="00B63055">
        <w:rPr>
          <w:rFonts w:asciiTheme="majorHAnsi" w:eastAsiaTheme="majorEastAsia" w:hAnsiTheme="majorHAnsi" w:cstheme="majorBidi"/>
          <w:bCs/>
          <w:iCs/>
        </w:rPr>
        <w:t xml:space="preserve"> 201</w:t>
      </w:r>
      <w:r w:rsidR="00D668C7" w:rsidRPr="00B63055">
        <w:rPr>
          <w:rFonts w:asciiTheme="majorHAnsi" w:eastAsiaTheme="majorEastAsia" w:hAnsiTheme="majorHAnsi" w:cstheme="majorBidi"/>
          <w:bCs/>
          <w:iCs/>
        </w:rPr>
        <w:t>7</w:t>
      </w:r>
      <w:r w:rsidR="00ED4BDB" w:rsidRPr="00B63055">
        <w:rPr>
          <w:rFonts w:asciiTheme="majorHAnsi" w:eastAsiaTheme="majorEastAsia" w:hAnsiTheme="majorHAnsi" w:cstheme="majorBidi"/>
          <w:bCs/>
          <w:iCs/>
        </w:rPr>
        <w:t>. GODINI</w:t>
      </w:r>
      <w:r w:rsidR="00A25A02">
        <w:rPr>
          <w:rFonts w:asciiTheme="majorHAnsi" w:eastAsiaTheme="majorEastAsia" w:hAnsiTheme="majorHAnsi" w:cstheme="majorBidi"/>
          <w:bCs/>
          <w:iCs/>
        </w:rPr>
        <w:t>,</w:t>
      </w:r>
      <w:r w:rsidR="00ED4BDB" w:rsidRPr="00B63055">
        <w:rPr>
          <w:rFonts w:asciiTheme="majorHAnsi" w:eastAsiaTheme="majorEastAsia" w:hAnsiTheme="majorHAnsi" w:cstheme="majorBidi"/>
          <w:bCs/>
          <w:iCs/>
        </w:rPr>
        <w:t xml:space="preserve">  A  REALIZIRANE U 201</w:t>
      </w:r>
      <w:r>
        <w:rPr>
          <w:rFonts w:asciiTheme="majorHAnsi" w:eastAsiaTheme="majorEastAsia" w:hAnsiTheme="majorHAnsi" w:cstheme="majorBidi"/>
          <w:bCs/>
          <w:iCs/>
        </w:rPr>
        <w:t>8</w:t>
      </w:r>
      <w:r w:rsidR="002016EF" w:rsidRPr="00B63055">
        <w:rPr>
          <w:rFonts w:asciiTheme="majorHAnsi" w:eastAsiaTheme="majorEastAsia" w:hAnsiTheme="majorHAnsi" w:cstheme="majorBidi"/>
          <w:bCs/>
          <w:iCs/>
        </w:rPr>
        <w:t>.</w:t>
      </w:r>
      <w:r>
        <w:rPr>
          <w:rFonts w:asciiTheme="majorHAnsi" w:eastAsiaTheme="majorEastAsia" w:hAnsiTheme="majorHAnsi" w:cstheme="majorBidi"/>
          <w:bCs/>
          <w:iCs/>
        </w:rPr>
        <w:t xml:space="preserve"> </w:t>
      </w:r>
      <w:r w:rsidR="002016EF" w:rsidRPr="00B63055">
        <w:rPr>
          <w:rFonts w:asciiTheme="majorHAnsi" w:eastAsiaTheme="majorEastAsia" w:hAnsiTheme="majorHAnsi" w:cstheme="majorBidi"/>
          <w:bCs/>
          <w:iCs/>
        </w:rPr>
        <w:t xml:space="preserve">GODINI </w:t>
      </w:r>
      <w:r w:rsidR="002016EF" w:rsidRPr="00B63055">
        <w:rPr>
          <w:rFonts w:asciiTheme="majorHAnsi" w:eastAsiaTheme="majorEastAsia" w:hAnsiTheme="majorHAnsi" w:cstheme="majorBidi"/>
          <w:b/>
          <w:bCs/>
          <w:iCs/>
        </w:rPr>
        <w:t>*</w:t>
      </w:r>
    </w:p>
    <w:p w:rsidR="002016EF" w:rsidRPr="002016EF" w:rsidRDefault="002016EF" w:rsidP="007F12D5">
      <w:pPr>
        <w:spacing w:line="276" w:lineRule="auto"/>
      </w:pPr>
    </w:p>
    <w:p w:rsidR="002016EF" w:rsidRPr="002016EF" w:rsidRDefault="002016EF" w:rsidP="007F12D5">
      <w:pPr>
        <w:spacing w:line="276" w:lineRule="auto"/>
        <w:ind w:firstLine="708"/>
      </w:pPr>
      <w:r w:rsidRPr="00BC5F2A">
        <w:t>3.2.1.</w:t>
      </w:r>
      <w:r w:rsidRPr="002016EF">
        <w:t xml:space="preserve"> Izvoz/prijenos robe vojne namjene i nevojnih ubojnih sredstava</w:t>
      </w:r>
    </w:p>
    <w:p w:rsidR="002016EF" w:rsidRPr="002016EF" w:rsidRDefault="002016EF" w:rsidP="007F12D5">
      <w:pPr>
        <w:spacing w:line="276" w:lineRule="auto"/>
      </w:pPr>
    </w:p>
    <w:p w:rsidR="00BA04FE" w:rsidRDefault="002016EF" w:rsidP="007F12D5">
      <w:pPr>
        <w:spacing w:line="276" w:lineRule="auto"/>
        <w:ind w:firstLine="708"/>
        <w:jc w:val="both"/>
      </w:pPr>
      <w:r w:rsidRPr="002016EF">
        <w:t xml:space="preserve">Ukupna realizacija </w:t>
      </w:r>
      <w:r w:rsidR="00A25A02">
        <w:t xml:space="preserve">po </w:t>
      </w:r>
      <w:r w:rsidRPr="002016EF">
        <w:t>izdani</w:t>
      </w:r>
      <w:r w:rsidR="00A25A02">
        <w:t>m</w:t>
      </w:r>
      <w:r w:rsidRPr="002016EF">
        <w:t xml:space="preserve"> dozvola</w:t>
      </w:r>
      <w:r w:rsidR="00A25A02">
        <w:t>ma</w:t>
      </w:r>
      <w:r w:rsidRPr="002016EF">
        <w:t xml:space="preserve"> za </w:t>
      </w:r>
      <w:r w:rsidRPr="00F039BE">
        <w:t>izvoz/prijenos robe vojne namjene</w:t>
      </w:r>
      <w:r w:rsidR="00963BBB">
        <w:t xml:space="preserve"> u 201</w:t>
      </w:r>
      <w:r w:rsidR="00AD4BFD">
        <w:t>8</w:t>
      </w:r>
      <w:r w:rsidRPr="002016EF">
        <w:t xml:space="preserve">. godini iznosi </w:t>
      </w:r>
      <w:r w:rsidR="00AD4BFD">
        <w:t>958</w:t>
      </w:r>
      <w:r w:rsidR="00963BBB">
        <w:rPr>
          <w:bCs/>
          <w:iCs/>
        </w:rPr>
        <w:t>.</w:t>
      </w:r>
      <w:r w:rsidR="00AD4BFD">
        <w:rPr>
          <w:bCs/>
          <w:iCs/>
        </w:rPr>
        <w:t>069</w:t>
      </w:r>
      <w:r w:rsidR="00963BBB">
        <w:rPr>
          <w:bCs/>
          <w:iCs/>
        </w:rPr>
        <w:t>.</w:t>
      </w:r>
      <w:r w:rsidR="00AD4BFD">
        <w:rPr>
          <w:bCs/>
          <w:iCs/>
        </w:rPr>
        <w:t>969</w:t>
      </w:r>
      <w:r w:rsidR="00963BBB">
        <w:rPr>
          <w:bCs/>
          <w:iCs/>
        </w:rPr>
        <w:t>,</w:t>
      </w:r>
      <w:r w:rsidR="00AD4BFD">
        <w:rPr>
          <w:bCs/>
          <w:iCs/>
        </w:rPr>
        <w:t>05</w:t>
      </w:r>
      <w:r w:rsidR="00963BBB">
        <w:rPr>
          <w:bCs/>
          <w:iCs/>
        </w:rPr>
        <w:t xml:space="preserve"> HRK (1</w:t>
      </w:r>
      <w:r w:rsidR="00AD4BFD">
        <w:rPr>
          <w:bCs/>
          <w:iCs/>
        </w:rPr>
        <w:t>28</w:t>
      </w:r>
      <w:r w:rsidR="00963BBB">
        <w:rPr>
          <w:bCs/>
          <w:iCs/>
        </w:rPr>
        <w:t>.</w:t>
      </w:r>
      <w:r w:rsidR="00AD4BFD">
        <w:rPr>
          <w:bCs/>
          <w:iCs/>
        </w:rPr>
        <w:t>946</w:t>
      </w:r>
      <w:r w:rsidR="00963BBB">
        <w:rPr>
          <w:bCs/>
          <w:iCs/>
        </w:rPr>
        <w:t>.</w:t>
      </w:r>
      <w:r w:rsidR="00AD4BFD">
        <w:rPr>
          <w:bCs/>
          <w:iCs/>
        </w:rPr>
        <w:t>160</w:t>
      </w:r>
      <w:r w:rsidR="00963BBB">
        <w:rPr>
          <w:bCs/>
          <w:iCs/>
        </w:rPr>
        <w:t>,</w:t>
      </w:r>
      <w:r w:rsidR="00AD4BFD">
        <w:rPr>
          <w:bCs/>
          <w:iCs/>
        </w:rPr>
        <w:t>03</w:t>
      </w:r>
      <w:r w:rsidRPr="002016EF">
        <w:rPr>
          <w:bCs/>
          <w:iCs/>
        </w:rPr>
        <w:t xml:space="preserve"> EUR), u što je uključena</w:t>
      </w:r>
      <w:r w:rsidR="00C736F0">
        <w:rPr>
          <w:bCs/>
          <w:iCs/>
        </w:rPr>
        <w:t xml:space="preserve"> i</w:t>
      </w:r>
      <w:r w:rsidRPr="002016EF">
        <w:rPr>
          <w:bCs/>
          <w:iCs/>
        </w:rPr>
        <w:t xml:space="preserve"> realizacija po</w:t>
      </w:r>
      <w:r w:rsidRPr="002016EF">
        <w:t xml:space="preserve"> </w:t>
      </w:r>
      <w:r w:rsidR="00C736F0">
        <w:t>izdanim dozvolama u</w:t>
      </w:r>
      <w:r w:rsidR="00963BBB">
        <w:t xml:space="preserve"> 201</w:t>
      </w:r>
      <w:r w:rsidR="00E814DD">
        <w:t>7</w:t>
      </w:r>
      <w:r w:rsidR="00F039BE">
        <w:t>. godin</w:t>
      </w:r>
      <w:r w:rsidR="00C736F0">
        <w:t>i</w:t>
      </w:r>
      <w:r w:rsidR="00F039BE">
        <w:t>.</w:t>
      </w:r>
    </w:p>
    <w:p w:rsidR="002A2DA6" w:rsidRPr="002016EF" w:rsidRDefault="002A2DA6" w:rsidP="007F12D5">
      <w:pPr>
        <w:spacing w:line="276" w:lineRule="auto"/>
        <w:ind w:firstLine="708"/>
        <w:jc w:val="both"/>
      </w:pPr>
    </w:p>
    <w:p w:rsidR="00AE334F" w:rsidRDefault="002016EF" w:rsidP="00AE334F">
      <w:pPr>
        <w:ind w:firstLine="708"/>
        <w:jc w:val="both"/>
        <w:rPr>
          <w:rFonts w:ascii="Times New Roman" w:hAnsi="Times New Roman"/>
        </w:rPr>
      </w:pPr>
      <w:r w:rsidRPr="002016EF">
        <w:rPr>
          <w:rFonts w:ascii="Times New Roman" w:eastAsia="Times New Roman" w:hAnsi="Times New Roman"/>
          <w:lang w:eastAsia="hr-HR"/>
        </w:rPr>
        <w:t xml:space="preserve">Ukupna realizacija </w:t>
      </w:r>
      <w:r w:rsidR="00A25A02" w:rsidRPr="00A25A02">
        <w:rPr>
          <w:rFonts w:ascii="Times New Roman" w:eastAsia="Times New Roman" w:hAnsi="Times New Roman"/>
          <w:lang w:eastAsia="hr-HR"/>
        </w:rPr>
        <w:t xml:space="preserve">po izdanim dozvolama </w:t>
      </w:r>
      <w:r w:rsidRPr="002016EF">
        <w:rPr>
          <w:rFonts w:ascii="Times New Roman" w:eastAsia="Times New Roman" w:hAnsi="Times New Roman"/>
          <w:lang w:eastAsia="hr-HR"/>
        </w:rPr>
        <w:t xml:space="preserve">za </w:t>
      </w:r>
      <w:r w:rsidRPr="00F039BE">
        <w:rPr>
          <w:rFonts w:ascii="Times New Roman" w:eastAsia="Times New Roman" w:hAnsi="Times New Roman"/>
          <w:lang w:eastAsia="hr-HR"/>
        </w:rPr>
        <w:t>izvoz/prijenos nevojnih ubojnih sredstava</w:t>
      </w:r>
      <w:r w:rsidR="00F039BE" w:rsidRPr="00F039BE">
        <w:rPr>
          <w:rFonts w:ascii="Times New Roman" w:eastAsia="Times New Roman" w:hAnsi="Times New Roman"/>
          <w:i/>
          <w:lang w:eastAsia="hr-HR"/>
        </w:rPr>
        <w:t xml:space="preserve"> </w:t>
      </w:r>
      <w:r w:rsidRPr="00F039BE">
        <w:rPr>
          <w:rFonts w:ascii="Times New Roman" w:eastAsia="Times New Roman" w:hAnsi="Times New Roman"/>
          <w:lang w:eastAsia="hr-HR"/>
        </w:rPr>
        <w:t>u</w:t>
      </w:r>
      <w:r w:rsidR="000D2FB6">
        <w:rPr>
          <w:rFonts w:ascii="Times New Roman" w:eastAsia="Times New Roman" w:hAnsi="Times New Roman"/>
          <w:lang w:eastAsia="hr-HR"/>
        </w:rPr>
        <w:t xml:space="preserve"> 201</w:t>
      </w:r>
      <w:r w:rsidR="00AD4BFD">
        <w:rPr>
          <w:rFonts w:ascii="Times New Roman" w:eastAsia="Times New Roman" w:hAnsi="Times New Roman"/>
          <w:lang w:eastAsia="hr-HR"/>
        </w:rPr>
        <w:t>8</w:t>
      </w:r>
      <w:r w:rsidRPr="002016EF">
        <w:rPr>
          <w:rFonts w:ascii="Times New Roman" w:eastAsia="Times New Roman" w:hAnsi="Times New Roman"/>
          <w:lang w:eastAsia="hr-HR"/>
        </w:rPr>
        <w:t>.</w:t>
      </w:r>
      <w:r w:rsidR="0073416D">
        <w:rPr>
          <w:rFonts w:ascii="Times New Roman" w:eastAsia="Times New Roman" w:hAnsi="Times New Roman"/>
          <w:lang w:eastAsia="hr-HR"/>
        </w:rPr>
        <w:t xml:space="preserve"> </w:t>
      </w:r>
      <w:r w:rsidRPr="002016EF">
        <w:rPr>
          <w:rFonts w:ascii="Times New Roman" w:eastAsia="Times New Roman" w:hAnsi="Times New Roman"/>
          <w:lang w:eastAsia="hr-HR"/>
        </w:rPr>
        <w:t>god</w:t>
      </w:r>
      <w:r w:rsidR="00F039BE" w:rsidRPr="00F039BE">
        <w:rPr>
          <w:rFonts w:ascii="Times New Roman" w:eastAsia="Times New Roman" w:hAnsi="Times New Roman"/>
          <w:lang w:eastAsia="hr-HR"/>
        </w:rPr>
        <w:t>ini</w:t>
      </w:r>
      <w:r w:rsidR="000D2FB6">
        <w:rPr>
          <w:rFonts w:ascii="Times New Roman" w:eastAsia="Times New Roman" w:hAnsi="Times New Roman"/>
          <w:lang w:eastAsia="hr-HR"/>
        </w:rPr>
        <w:t xml:space="preserve"> iznosi </w:t>
      </w:r>
      <w:r w:rsidR="00AD4BFD">
        <w:rPr>
          <w:rFonts w:ascii="Times New Roman" w:eastAsia="Times New Roman" w:hAnsi="Times New Roman"/>
          <w:lang w:eastAsia="hr-HR"/>
        </w:rPr>
        <w:t>44</w:t>
      </w:r>
      <w:r w:rsidR="000D2FB6">
        <w:rPr>
          <w:rFonts w:ascii="Times New Roman" w:eastAsia="Times New Roman" w:hAnsi="Times New Roman"/>
          <w:lang w:eastAsia="hr-HR"/>
        </w:rPr>
        <w:t>.</w:t>
      </w:r>
      <w:r w:rsidR="00AD4BFD">
        <w:rPr>
          <w:rFonts w:ascii="Times New Roman" w:eastAsia="Times New Roman" w:hAnsi="Times New Roman"/>
          <w:lang w:eastAsia="hr-HR"/>
        </w:rPr>
        <w:t>539</w:t>
      </w:r>
      <w:r w:rsidR="000D2FB6">
        <w:rPr>
          <w:rFonts w:ascii="Times New Roman" w:eastAsia="Times New Roman" w:hAnsi="Times New Roman"/>
          <w:lang w:eastAsia="hr-HR"/>
        </w:rPr>
        <w:t>.</w:t>
      </w:r>
      <w:r w:rsidR="00AD4BFD">
        <w:rPr>
          <w:rFonts w:ascii="Times New Roman" w:eastAsia="Times New Roman" w:hAnsi="Times New Roman"/>
          <w:lang w:eastAsia="hr-HR"/>
        </w:rPr>
        <w:t>191</w:t>
      </w:r>
      <w:r w:rsidR="000D2FB6">
        <w:rPr>
          <w:rFonts w:ascii="Times New Roman" w:eastAsia="Times New Roman" w:hAnsi="Times New Roman"/>
          <w:lang w:eastAsia="hr-HR"/>
        </w:rPr>
        <w:t>,</w:t>
      </w:r>
      <w:r w:rsidR="00AD4BFD">
        <w:rPr>
          <w:rFonts w:ascii="Times New Roman" w:eastAsia="Times New Roman" w:hAnsi="Times New Roman"/>
          <w:lang w:eastAsia="hr-HR"/>
        </w:rPr>
        <w:t>32</w:t>
      </w:r>
      <w:r w:rsidR="000D2FB6">
        <w:rPr>
          <w:rFonts w:ascii="Times New Roman" w:eastAsia="Times New Roman" w:hAnsi="Times New Roman"/>
          <w:lang w:eastAsia="hr-HR"/>
        </w:rPr>
        <w:t xml:space="preserve"> HRK (5.</w:t>
      </w:r>
      <w:r w:rsidR="00AD4BFD">
        <w:rPr>
          <w:rFonts w:ascii="Times New Roman" w:eastAsia="Times New Roman" w:hAnsi="Times New Roman"/>
          <w:lang w:eastAsia="hr-HR"/>
        </w:rPr>
        <w:t>994</w:t>
      </w:r>
      <w:r w:rsidR="000D2FB6">
        <w:rPr>
          <w:rFonts w:ascii="Times New Roman" w:eastAsia="Times New Roman" w:hAnsi="Times New Roman"/>
          <w:lang w:eastAsia="hr-HR"/>
        </w:rPr>
        <w:t>.</w:t>
      </w:r>
      <w:r w:rsidR="00AD4BFD">
        <w:rPr>
          <w:rFonts w:ascii="Times New Roman" w:eastAsia="Times New Roman" w:hAnsi="Times New Roman"/>
          <w:lang w:eastAsia="hr-HR"/>
        </w:rPr>
        <w:t>507</w:t>
      </w:r>
      <w:r w:rsidR="000D2FB6">
        <w:rPr>
          <w:rFonts w:ascii="Times New Roman" w:eastAsia="Times New Roman" w:hAnsi="Times New Roman"/>
          <w:lang w:eastAsia="hr-HR"/>
        </w:rPr>
        <w:t>,</w:t>
      </w:r>
      <w:r w:rsidR="00AD4BFD">
        <w:rPr>
          <w:rFonts w:ascii="Times New Roman" w:eastAsia="Times New Roman" w:hAnsi="Times New Roman"/>
          <w:lang w:eastAsia="hr-HR"/>
        </w:rPr>
        <w:t>58</w:t>
      </w:r>
      <w:r w:rsidRPr="002016EF">
        <w:rPr>
          <w:rFonts w:ascii="Times New Roman" w:eastAsia="Times New Roman" w:hAnsi="Times New Roman"/>
          <w:lang w:eastAsia="hr-HR"/>
        </w:rPr>
        <w:t xml:space="preserve"> EUR), u što je uključena </w:t>
      </w:r>
      <w:r w:rsidR="00C736F0">
        <w:rPr>
          <w:rFonts w:ascii="Times New Roman" w:eastAsia="Times New Roman" w:hAnsi="Times New Roman"/>
          <w:lang w:eastAsia="hr-HR"/>
        </w:rPr>
        <w:t xml:space="preserve">i </w:t>
      </w:r>
      <w:r w:rsidRPr="002016EF">
        <w:rPr>
          <w:rFonts w:ascii="Times New Roman" w:eastAsia="Times New Roman" w:hAnsi="Times New Roman"/>
          <w:lang w:eastAsia="hr-HR"/>
        </w:rPr>
        <w:t>realizacija</w:t>
      </w:r>
      <w:r w:rsidR="00C736F0">
        <w:rPr>
          <w:rFonts w:ascii="Times New Roman" w:eastAsia="Times New Roman" w:hAnsi="Times New Roman"/>
          <w:lang w:eastAsia="hr-HR"/>
        </w:rPr>
        <w:t xml:space="preserve"> po </w:t>
      </w:r>
      <w:r w:rsidR="00F039BE">
        <w:rPr>
          <w:rFonts w:ascii="Times New Roman" w:eastAsia="Times New Roman" w:hAnsi="Times New Roman"/>
          <w:lang w:eastAsia="hr-HR"/>
        </w:rPr>
        <w:t>izdanim dozvol</w:t>
      </w:r>
      <w:r w:rsidR="00C736F0">
        <w:rPr>
          <w:rFonts w:ascii="Times New Roman" w:eastAsia="Times New Roman" w:hAnsi="Times New Roman"/>
          <w:lang w:eastAsia="hr-HR"/>
        </w:rPr>
        <w:t>ama u</w:t>
      </w:r>
      <w:r w:rsidR="000D2FB6">
        <w:rPr>
          <w:rFonts w:ascii="Times New Roman" w:eastAsia="Times New Roman" w:hAnsi="Times New Roman"/>
          <w:lang w:eastAsia="hr-HR"/>
        </w:rPr>
        <w:t xml:space="preserve"> 201</w:t>
      </w:r>
      <w:r w:rsidR="00E814DD">
        <w:rPr>
          <w:rFonts w:ascii="Times New Roman" w:eastAsia="Times New Roman" w:hAnsi="Times New Roman"/>
          <w:lang w:eastAsia="hr-HR"/>
        </w:rPr>
        <w:t>7</w:t>
      </w:r>
      <w:r w:rsidR="00C736F0">
        <w:rPr>
          <w:rFonts w:ascii="Times New Roman" w:eastAsia="Times New Roman" w:hAnsi="Times New Roman"/>
          <w:lang w:eastAsia="hr-HR"/>
        </w:rPr>
        <w:t>. godini</w:t>
      </w:r>
      <w:r w:rsidR="00F039BE">
        <w:rPr>
          <w:rFonts w:ascii="Times New Roman" w:eastAsia="Times New Roman" w:hAnsi="Times New Roman"/>
          <w:lang w:eastAsia="hr-HR"/>
        </w:rPr>
        <w:t>.</w:t>
      </w:r>
      <w:r w:rsidR="00AE334F" w:rsidRPr="00AE334F">
        <w:rPr>
          <w:rFonts w:ascii="Times New Roman" w:hAnsi="Times New Roman"/>
        </w:rPr>
        <w:t xml:space="preserve"> </w:t>
      </w:r>
    </w:p>
    <w:p w:rsidR="00AD4BFD" w:rsidRDefault="00AD4BFD" w:rsidP="00AE334F">
      <w:pPr>
        <w:ind w:firstLine="708"/>
        <w:jc w:val="both"/>
        <w:rPr>
          <w:rFonts w:ascii="Times New Roman" w:hAnsi="Times New Roman"/>
        </w:rPr>
      </w:pPr>
    </w:p>
    <w:p w:rsidR="00AE334F" w:rsidRPr="00F4483F" w:rsidRDefault="00AE334F" w:rsidP="00AE33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Naime, u Godišnjem izvješću za 201</w:t>
      </w:r>
      <w:r w:rsidR="00AD4BFD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godinu specificirane su dozvole koje su izdane tijekom 201</w:t>
      </w:r>
      <w:r w:rsidR="00AD4BFD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godine. Isto tako, dozvole izdane tijekom 201</w:t>
      </w:r>
      <w:r w:rsidR="00AD4BFD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 nisu sve realizirane u 201</w:t>
      </w:r>
      <w:r w:rsidR="00AD4BF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DB1239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odini</w:t>
      </w:r>
      <w:r w:rsidR="00EF48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nego i u 201</w:t>
      </w:r>
      <w:r w:rsidR="00AD4BFD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godini pa slijedom navedenog, svake godine u godišnjem izvješću za prošlu godinu evidentira se i realizacija</w:t>
      </w:r>
      <w:r w:rsidR="00185176">
        <w:rPr>
          <w:rFonts w:ascii="Times New Roman" w:hAnsi="Times New Roman"/>
        </w:rPr>
        <w:t xml:space="preserve"> po dozvolama iz prethodne godine koje nisu realizirane u godini u kojoj su izdane (2017. godina).</w:t>
      </w:r>
    </w:p>
    <w:p w:rsidR="00AE334F" w:rsidRPr="00F4483F" w:rsidRDefault="00AE334F" w:rsidP="00AE334F">
      <w:pPr>
        <w:rPr>
          <w:rFonts w:ascii="Times New Roman" w:hAnsi="Times New Roman"/>
        </w:rPr>
      </w:pPr>
    </w:p>
    <w:p w:rsidR="002016EF" w:rsidRPr="002016EF" w:rsidRDefault="00D86A06" w:rsidP="007F12D5">
      <w:pPr>
        <w:spacing w:line="276" w:lineRule="auto"/>
        <w:ind w:left="2268" w:hanging="1559"/>
        <w:jc w:val="both"/>
      </w:pPr>
      <w:r>
        <w:t xml:space="preserve">Tablica br. </w:t>
      </w:r>
      <w:r w:rsidR="00D668C7">
        <w:t>3</w:t>
      </w:r>
      <w:r>
        <w:t>.</w:t>
      </w:r>
      <w:r>
        <w:tab/>
      </w:r>
      <w:r w:rsidR="002016EF" w:rsidRPr="002016EF">
        <w:t>Usporedni prikaz</w:t>
      </w:r>
      <w:r w:rsidR="0073416D">
        <w:t xml:space="preserve"> ukupne</w:t>
      </w:r>
      <w:r w:rsidR="002016EF" w:rsidRPr="002016EF">
        <w:t xml:space="preserve"> realizacije izvo</w:t>
      </w:r>
      <w:r w:rsidR="0073416D">
        <w:t>za/prijenosa robe vojne</w:t>
      </w:r>
      <w:r>
        <w:t xml:space="preserve"> </w:t>
      </w:r>
      <w:r w:rsidR="0073416D">
        <w:t>namjene</w:t>
      </w:r>
      <w:r w:rsidR="00BA04FE">
        <w:t xml:space="preserve"> </w:t>
      </w:r>
      <w:r w:rsidR="0073416D">
        <w:t>i nevojnih ubojnih</w:t>
      </w:r>
      <w:r w:rsidR="00F5170B">
        <w:t xml:space="preserve"> sredstava za </w:t>
      </w:r>
      <w:r>
        <w:t>201</w:t>
      </w:r>
      <w:r w:rsidR="00B00376">
        <w:t>7</w:t>
      </w:r>
      <w:r>
        <w:t>. i</w:t>
      </w:r>
      <w:r w:rsidR="002016EF" w:rsidRPr="002016EF">
        <w:t xml:space="preserve"> 201</w:t>
      </w:r>
      <w:r w:rsidR="00B00376">
        <w:t>8</w:t>
      </w:r>
      <w:r w:rsidR="002016EF" w:rsidRPr="002016EF">
        <w:t>.</w:t>
      </w:r>
      <w:r w:rsidR="00EF487F">
        <w:t xml:space="preserve"> </w:t>
      </w:r>
      <w:r w:rsidR="002016EF" w:rsidRPr="002016EF">
        <w:t>godin</w:t>
      </w:r>
      <w:r w:rsidR="00EF487F">
        <w:t>u</w:t>
      </w:r>
      <w:r w:rsidR="002016EF" w:rsidRPr="002016EF">
        <w:t xml:space="preserve"> u HRK/EUR</w:t>
      </w:r>
    </w:p>
    <w:p w:rsidR="002016EF" w:rsidRDefault="002016EF" w:rsidP="002016EF">
      <w:pPr>
        <w:jc w:val="both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1559"/>
      </w:tblGrid>
      <w:tr w:rsidR="00B575D7" w:rsidRPr="00EA6D75" w:rsidTr="00EA6D75">
        <w:trPr>
          <w:trHeight w:val="2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75D7" w:rsidRPr="00EA6D75" w:rsidRDefault="00B575D7" w:rsidP="00742B7D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bCs/>
                <w:color w:val="000000"/>
                <w:lang w:eastAsia="hr-HR"/>
              </w:rPr>
              <w:t>IZVOZ/PRIJENOS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575D7" w:rsidRPr="00EA6D75" w:rsidRDefault="00B575D7" w:rsidP="00CB5D42">
            <w:pPr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bCs/>
                <w:color w:val="000000"/>
                <w:lang w:eastAsia="hr-HR"/>
              </w:rPr>
              <w:t>201</w:t>
            </w:r>
            <w:r w:rsidR="00CB5D42" w:rsidRPr="00EA6D75">
              <w:rPr>
                <w:rFonts w:eastAsia="Times New Roman" w:cstheme="minorHAnsi"/>
                <w:bCs/>
                <w:color w:val="000000"/>
                <w:lang w:eastAsia="hr-HR"/>
              </w:rPr>
              <w:t>7</w:t>
            </w:r>
            <w:r w:rsidRPr="00EA6D75">
              <w:rPr>
                <w:rFonts w:eastAsia="Times New Roman" w:cstheme="minorHAnsi"/>
                <w:bCs/>
                <w:color w:val="000000"/>
                <w:lang w:eastAsia="hr-HR"/>
              </w:rPr>
              <w:t>.godina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575D7" w:rsidRPr="00EA6D75" w:rsidRDefault="00B575D7" w:rsidP="00E814DD">
            <w:pPr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EA6D75">
              <w:rPr>
                <w:rFonts w:eastAsia="Times New Roman" w:cstheme="minorHAnsi"/>
                <w:bCs/>
                <w:lang w:eastAsia="hr-HR"/>
              </w:rPr>
              <w:t>201</w:t>
            </w:r>
            <w:r w:rsidR="00E814DD" w:rsidRPr="00EA6D75">
              <w:rPr>
                <w:rFonts w:eastAsia="Times New Roman" w:cstheme="minorHAnsi"/>
                <w:bCs/>
                <w:lang w:eastAsia="hr-HR"/>
              </w:rPr>
              <w:t>8</w:t>
            </w:r>
            <w:r w:rsidRPr="00EA6D75">
              <w:rPr>
                <w:rFonts w:eastAsia="Times New Roman" w:cstheme="minorHAnsi"/>
                <w:bCs/>
                <w:lang w:eastAsia="hr-HR"/>
              </w:rPr>
              <w:t>. godina</w:t>
            </w:r>
          </w:p>
        </w:tc>
      </w:tr>
      <w:tr w:rsidR="00B575D7" w:rsidRPr="00EA6D75" w:rsidTr="00EA6D75">
        <w:trPr>
          <w:trHeight w:val="2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5D7" w:rsidRPr="00EA6D75" w:rsidRDefault="00B575D7" w:rsidP="00742B7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D7" w:rsidRPr="00EA6D75" w:rsidRDefault="00B575D7" w:rsidP="00742B7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color w:val="000000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D7" w:rsidRPr="00EA6D75" w:rsidRDefault="00B575D7" w:rsidP="00742B7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color w:val="00000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D7" w:rsidRPr="00EA6D75" w:rsidRDefault="00B575D7" w:rsidP="00742B7D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EA6D75">
              <w:rPr>
                <w:rFonts w:eastAsia="Times New Roman" w:cstheme="minorHAnsi"/>
                <w:lang w:eastAsia="hr-HR"/>
              </w:rPr>
              <w:t>HRK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D7" w:rsidRPr="00EA6D75" w:rsidRDefault="00B575D7" w:rsidP="00742B7D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EA6D75">
              <w:rPr>
                <w:rFonts w:eastAsia="Times New Roman" w:cstheme="minorHAnsi"/>
                <w:lang w:eastAsia="hr-HR"/>
              </w:rPr>
              <w:t>EUR</w:t>
            </w:r>
          </w:p>
        </w:tc>
      </w:tr>
      <w:tr w:rsidR="00CB5D42" w:rsidRPr="00EA6D75" w:rsidTr="00EA6D75">
        <w:trPr>
          <w:trHeight w:val="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42" w:rsidRPr="00EA6D75" w:rsidRDefault="00CB5D42" w:rsidP="00742B7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Roba vojne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1.001.661.341,93</w:t>
            </w:r>
          </w:p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</w:rPr>
            </w:pPr>
            <w:r w:rsidRPr="00EA6D75">
              <w:rPr>
                <w:rFonts w:eastAsia="Times New Roman" w:cstheme="minorHAnsi"/>
                <w:bCs/>
                <w:sz w:val="20"/>
                <w:szCs w:val="20"/>
              </w:rPr>
              <w:t>133.199.646,53</w:t>
            </w:r>
          </w:p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958</w:t>
            </w:r>
            <w:r w:rsidRPr="00EA6D75">
              <w:rPr>
                <w:rFonts w:eastAsia="Times New Roman" w:cstheme="minorHAnsi"/>
                <w:bCs/>
                <w:iCs/>
                <w:sz w:val="20"/>
                <w:szCs w:val="20"/>
                <w:lang w:eastAsia="hr-HR"/>
              </w:rPr>
              <w:t>.069.969,05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iCs/>
                <w:sz w:val="20"/>
                <w:szCs w:val="20"/>
                <w:lang w:eastAsia="hr-HR"/>
              </w:rPr>
              <w:t>128.946.160,03</w:t>
            </w:r>
          </w:p>
        </w:tc>
      </w:tr>
      <w:tr w:rsidR="00CB5D42" w:rsidRPr="00EA6D75" w:rsidTr="00EA6D75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42" w:rsidRPr="00EA6D75" w:rsidRDefault="00CB5D42" w:rsidP="00742B7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Nevojna ubojna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39.211.985,77</w:t>
            </w:r>
          </w:p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5.214.359,81</w:t>
            </w:r>
          </w:p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44.539.191,32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5.994.507,58</w:t>
            </w:r>
          </w:p>
        </w:tc>
      </w:tr>
      <w:tr w:rsidR="00CB5D42" w:rsidRPr="00EA6D75" w:rsidTr="00EA6D75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742B7D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1.040.873.327,70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42" w:rsidRPr="00EA6D75" w:rsidRDefault="00CB5D42" w:rsidP="00EA6D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138.414.006,34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1.002.609.160,37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42" w:rsidRPr="00EA6D75" w:rsidRDefault="00E814DD" w:rsidP="00EA6D7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</w:t>
            </w:r>
            <w:r w:rsidR="00041E0C"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</w:t>
            </w:r>
            <w:r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  <w:r w:rsidR="00041E0C"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940</w:t>
            </w:r>
            <w:r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  <w:r w:rsidR="00041E0C"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667</w:t>
            </w:r>
            <w:r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,</w:t>
            </w:r>
            <w:r w:rsidR="00041E0C" w:rsidRPr="00EA6D7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61</w:t>
            </w:r>
          </w:p>
        </w:tc>
      </w:tr>
    </w:tbl>
    <w:p w:rsidR="00EA58D1" w:rsidRDefault="00EA58D1" w:rsidP="002016EF">
      <w:pPr>
        <w:contextualSpacing/>
        <w:jc w:val="both"/>
        <w:rPr>
          <w:sz w:val="18"/>
          <w:szCs w:val="18"/>
        </w:rPr>
      </w:pPr>
    </w:p>
    <w:p w:rsidR="002016EF" w:rsidRDefault="002016EF" w:rsidP="002016EF">
      <w:pPr>
        <w:contextualSpacing/>
        <w:jc w:val="both"/>
        <w:rPr>
          <w:sz w:val="18"/>
          <w:szCs w:val="18"/>
        </w:rPr>
      </w:pPr>
      <w:r w:rsidRPr="002016EF">
        <w:rPr>
          <w:sz w:val="18"/>
          <w:szCs w:val="18"/>
        </w:rPr>
        <w:t xml:space="preserve">Pretvaranje valuta u HRK i EUR </w:t>
      </w:r>
      <w:r w:rsidR="00E814DD">
        <w:rPr>
          <w:sz w:val="18"/>
          <w:szCs w:val="18"/>
        </w:rPr>
        <w:t xml:space="preserve">za realizacije u 2018. godini </w:t>
      </w:r>
      <w:r w:rsidRPr="002016EF">
        <w:rPr>
          <w:sz w:val="18"/>
          <w:szCs w:val="18"/>
        </w:rPr>
        <w:t>izvršeno je prema srednjem tečaju Hrvatske</w:t>
      </w:r>
      <w:r w:rsidR="00742B7D">
        <w:rPr>
          <w:sz w:val="18"/>
          <w:szCs w:val="18"/>
        </w:rPr>
        <w:t xml:space="preserve"> narodne banke na dan 31.12.201</w:t>
      </w:r>
      <w:r w:rsidR="00E814DD">
        <w:rPr>
          <w:sz w:val="18"/>
          <w:szCs w:val="18"/>
        </w:rPr>
        <w:t>8</w:t>
      </w:r>
      <w:r w:rsidRPr="002016EF">
        <w:rPr>
          <w:sz w:val="18"/>
          <w:szCs w:val="18"/>
        </w:rPr>
        <w:t>. godine</w:t>
      </w:r>
      <w:r w:rsidR="00E814DD">
        <w:rPr>
          <w:sz w:val="18"/>
          <w:szCs w:val="18"/>
        </w:rPr>
        <w:t xml:space="preserve">, a za realizacije u 2017. godini </w:t>
      </w:r>
      <w:r w:rsidR="00E814DD" w:rsidRPr="00E814DD">
        <w:rPr>
          <w:sz w:val="18"/>
          <w:szCs w:val="18"/>
        </w:rPr>
        <w:t>prema srednjem tečaju Hrvatske narodne banke na dan 31.12.201</w:t>
      </w:r>
      <w:r w:rsidR="00E814DD">
        <w:rPr>
          <w:sz w:val="18"/>
          <w:szCs w:val="18"/>
        </w:rPr>
        <w:t>7</w:t>
      </w:r>
      <w:r w:rsidR="00E814DD" w:rsidRPr="00E814DD">
        <w:rPr>
          <w:sz w:val="18"/>
          <w:szCs w:val="18"/>
        </w:rPr>
        <w:t>. godine</w:t>
      </w:r>
      <w:r w:rsidR="00E814DD">
        <w:rPr>
          <w:sz w:val="18"/>
          <w:szCs w:val="18"/>
        </w:rPr>
        <w:t>.</w:t>
      </w:r>
    </w:p>
    <w:p w:rsidR="00706ADC" w:rsidRDefault="00706ADC" w:rsidP="002016EF">
      <w:pPr>
        <w:contextualSpacing/>
        <w:jc w:val="both"/>
        <w:rPr>
          <w:sz w:val="18"/>
          <w:szCs w:val="18"/>
        </w:rPr>
      </w:pPr>
    </w:p>
    <w:p w:rsidR="002016EF" w:rsidRPr="002016EF" w:rsidRDefault="002016EF" w:rsidP="002016EF">
      <w:pPr>
        <w:contextualSpacing/>
        <w:jc w:val="center"/>
        <w:rPr>
          <w:sz w:val="18"/>
          <w:szCs w:val="18"/>
        </w:rPr>
      </w:pPr>
    </w:p>
    <w:p w:rsidR="002016EF" w:rsidRPr="002016EF" w:rsidRDefault="002016EF" w:rsidP="007F12D5">
      <w:pPr>
        <w:spacing w:line="276" w:lineRule="auto"/>
        <w:ind w:firstLine="708"/>
        <w:jc w:val="both"/>
      </w:pPr>
      <w:r w:rsidRPr="00BC5F2A">
        <w:t>3.2.2.</w:t>
      </w:r>
      <w:r w:rsidRPr="002016EF">
        <w:t xml:space="preserve"> Pružene usluge za robu vojne namjene</w:t>
      </w:r>
    </w:p>
    <w:p w:rsidR="002016EF" w:rsidRPr="002016EF" w:rsidRDefault="002016EF" w:rsidP="007F12D5">
      <w:pPr>
        <w:spacing w:line="276" w:lineRule="auto"/>
        <w:jc w:val="both"/>
      </w:pPr>
    </w:p>
    <w:p w:rsidR="00AE334F" w:rsidRPr="00F4483F" w:rsidRDefault="00801896" w:rsidP="00801896">
      <w:pPr>
        <w:spacing w:line="276" w:lineRule="auto"/>
        <w:ind w:firstLine="708"/>
        <w:jc w:val="both"/>
        <w:rPr>
          <w:rFonts w:ascii="Times New Roman" w:hAnsi="Times New Roman"/>
        </w:rPr>
      </w:pPr>
      <w:r>
        <w:t>U 2018. godini izdano</w:t>
      </w:r>
      <w:r w:rsidR="00EA6D75">
        <w:t xml:space="preserve"> </w:t>
      </w:r>
      <w:r w:rsidR="00EA6D75" w:rsidRPr="00EA6D75">
        <w:t>je</w:t>
      </w:r>
      <w:r>
        <w:t xml:space="preserve"> </w:t>
      </w:r>
      <w:r w:rsidRPr="00801896">
        <w:t>8 dozvola za pružanje usluga za robu vojne namjene u odobrenoj vrijednosti od 24.930.697,51 HRK (3.355.410,16 EUR)</w:t>
      </w:r>
      <w:r w:rsidR="00910911">
        <w:t>.</w:t>
      </w:r>
      <w:r>
        <w:t xml:space="preserve"> U 2018. godini nije </w:t>
      </w:r>
      <w:r w:rsidR="00FB5578">
        <w:t>zabilježena realizacija</w:t>
      </w:r>
      <w:r>
        <w:t xml:space="preserve"> po predmetnim dozvolama, kao ni prema dozvolama </w:t>
      </w:r>
      <w:r w:rsidR="00AE334F">
        <w:rPr>
          <w:rFonts w:ascii="Times New Roman" w:hAnsi="Times New Roman"/>
        </w:rPr>
        <w:t xml:space="preserve">koje su izdane tijekom 2017. godine. </w:t>
      </w:r>
    </w:p>
    <w:p w:rsidR="002753EC" w:rsidRDefault="002753EC" w:rsidP="002016EF">
      <w:pPr>
        <w:contextualSpacing/>
        <w:jc w:val="both"/>
        <w:rPr>
          <w:sz w:val="18"/>
          <w:szCs w:val="18"/>
        </w:rPr>
      </w:pPr>
    </w:p>
    <w:p w:rsidR="00ED215D" w:rsidRDefault="00ED215D" w:rsidP="002016EF">
      <w:pPr>
        <w:ind w:firstLine="708"/>
        <w:jc w:val="both"/>
      </w:pPr>
    </w:p>
    <w:p w:rsidR="002016EF" w:rsidRPr="002016EF" w:rsidRDefault="0073416D" w:rsidP="007F12D5">
      <w:pPr>
        <w:spacing w:line="276" w:lineRule="auto"/>
        <w:ind w:firstLine="708"/>
        <w:jc w:val="both"/>
      </w:pPr>
      <w:r>
        <w:t>3.2.</w:t>
      </w:r>
      <w:r w:rsidR="00D1769C">
        <w:t>3</w:t>
      </w:r>
      <w:r w:rsidR="002016EF" w:rsidRPr="00BC5F2A">
        <w:t>.</w:t>
      </w:r>
      <w:r w:rsidR="002016EF" w:rsidRPr="002016EF">
        <w:t xml:space="preserve"> Uvoz/prijenos robe vojne namjene i nevojnih ubojnih sredstava</w:t>
      </w:r>
    </w:p>
    <w:p w:rsidR="002016EF" w:rsidRPr="002016EF" w:rsidRDefault="002016EF" w:rsidP="007F12D5">
      <w:pPr>
        <w:spacing w:line="276" w:lineRule="auto"/>
        <w:jc w:val="both"/>
      </w:pPr>
    </w:p>
    <w:p w:rsidR="002016EF" w:rsidRPr="00C879BD" w:rsidRDefault="002016EF" w:rsidP="007F12D5">
      <w:pPr>
        <w:spacing w:line="276" w:lineRule="auto"/>
        <w:ind w:firstLine="708"/>
        <w:jc w:val="both"/>
      </w:pPr>
      <w:r w:rsidRPr="00C879BD">
        <w:t xml:space="preserve">Ukupna realizacija </w:t>
      </w:r>
      <w:r w:rsidR="00A25A02" w:rsidRPr="00A25A02">
        <w:t xml:space="preserve">po izdanim dozvolama </w:t>
      </w:r>
      <w:r w:rsidRPr="00C879BD">
        <w:t>za uvoz/prijenos robe vojne namjene</w:t>
      </w:r>
      <w:r w:rsidR="00F30DEB" w:rsidRPr="00C879BD">
        <w:t xml:space="preserve"> u 201</w:t>
      </w:r>
      <w:r w:rsidR="00FA6F8B" w:rsidRPr="00C879BD">
        <w:t>8</w:t>
      </w:r>
      <w:r w:rsidR="00F30DEB" w:rsidRPr="00C879BD">
        <w:t xml:space="preserve">. godini iznosi </w:t>
      </w:r>
      <w:r w:rsidR="00C879BD" w:rsidRPr="00C879BD">
        <w:rPr>
          <w:lang w:val="en-US"/>
        </w:rPr>
        <w:t>50.654.269,81</w:t>
      </w:r>
      <w:r w:rsidR="00C879BD">
        <w:rPr>
          <w:lang w:val="en-US"/>
        </w:rPr>
        <w:t xml:space="preserve"> </w:t>
      </w:r>
      <w:r w:rsidR="00F30DEB" w:rsidRPr="00C879BD">
        <w:t>HRK (</w:t>
      </w:r>
      <w:r w:rsidR="00C879BD" w:rsidRPr="00C879BD">
        <w:rPr>
          <w:lang w:val="en-US"/>
        </w:rPr>
        <w:t>6.817.532,95</w:t>
      </w:r>
      <w:r w:rsidR="00C879BD">
        <w:rPr>
          <w:lang w:val="en-US"/>
        </w:rPr>
        <w:t xml:space="preserve"> </w:t>
      </w:r>
      <w:r w:rsidRPr="00C879BD">
        <w:t>EUR)</w:t>
      </w:r>
      <w:r w:rsidR="000628BA" w:rsidRPr="00C879BD">
        <w:t xml:space="preserve"> </w:t>
      </w:r>
      <w:r w:rsidRPr="00C879BD">
        <w:rPr>
          <w:bCs/>
          <w:iCs/>
        </w:rPr>
        <w:t>u što je uključena realizacija po</w:t>
      </w:r>
      <w:r w:rsidR="00F30DEB" w:rsidRPr="00C879BD">
        <w:t xml:space="preserve"> izdanim dozvolama iz 201</w:t>
      </w:r>
      <w:r w:rsidR="00480FA5" w:rsidRPr="00C879BD">
        <w:t>7</w:t>
      </w:r>
      <w:r w:rsidR="000628BA" w:rsidRPr="00C879BD">
        <w:t>. godine.</w:t>
      </w:r>
    </w:p>
    <w:p w:rsidR="002A2DA6" w:rsidRPr="00C879BD" w:rsidRDefault="002A2DA6" w:rsidP="007F12D5">
      <w:pPr>
        <w:spacing w:line="276" w:lineRule="auto"/>
        <w:ind w:firstLine="708"/>
        <w:jc w:val="both"/>
        <w:rPr>
          <w:bCs/>
          <w:iCs/>
        </w:rPr>
      </w:pPr>
    </w:p>
    <w:p w:rsidR="002016EF" w:rsidRPr="00C879BD" w:rsidRDefault="002016EF" w:rsidP="007F12D5">
      <w:pPr>
        <w:spacing w:line="276" w:lineRule="auto"/>
        <w:ind w:firstLine="708"/>
        <w:jc w:val="both"/>
      </w:pPr>
      <w:r w:rsidRPr="00C879BD">
        <w:t xml:space="preserve">Ukupna realizacija </w:t>
      </w:r>
      <w:r w:rsidR="00A25A02" w:rsidRPr="00A25A02">
        <w:t xml:space="preserve">po izdanim dozvolama </w:t>
      </w:r>
      <w:r w:rsidRPr="00C879BD">
        <w:t>za uvoz/prijenos nevojnih ubojnih sredstava</w:t>
      </w:r>
      <w:r w:rsidR="00F30DEB" w:rsidRPr="00C879BD">
        <w:t xml:space="preserve"> u 201</w:t>
      </w:r>
      <w:r w:rsidR="00185176">
        <w:t>8</w:t>
      </w:r>
      <w:r w:rsidR="00F30DEB" w:rsidRPr="00C879BD">
        <w:t xml:space="preserve">. godini iznosi </w:t>
      </w:r>
      <w:r w:rsidR="00C879BD" w:rsidRPr="00C879BD">
        <w:rPr>
          <w:lang w:val="en-US"/>
        </w:rPr>
        <w:t>56.506.071,69</w:t>
      </w:r>
      <w:r w:rsidR="00C879BD">
        <w:rPr>
          <w:lang w:val="en-US"/>
        </w:rPr>
        <w:t xml:space="preserve"> </w:t>
      </w:r>
      <w:r w:rsidR="00F30DEB" w:rsidRPr="00C879BD">
        <w:t>HRK (6</w:t>
      </w:r>
      <w:r w:rsidR="00C879BD" w:rsidRPr="00C879BD">
        <w:rPr>
          <w:lang w:val="en-US"/>
        </w:rPr>
        <w:t>7.605.124,05</w:t>
      </w:r>
      <w:r w:rsidR="00C879BD">
        <w:rPr>
          <w:lang w:val="en-US"/>
        </w:rPr>
        <w:t xml:space="preserve"> </w:t>
      </w:r>
      <w:r w:rsidRPr="00C879BD">
        <w:t xml:space="preserve">EUR) </w:t>
      </w:r>
      <w:r w:rsidRPr="00C879BD">
        <w:rPr>
          <w:bCs/>
          <w:iCs/>
        </w:rPr>
        <w:t>u što je uključena realizacija po</w:t>
      </w:r>
      <w:r w:rsidR="00F30DEB" w:rsidRPr="00C879BD">
        <w:t xml:space="preserve"> izdanim dozvolama iz 201</w:t>
      </w:r>
      <w:r w:rsidR="00480FA5" w:rsidRPr="00C879BD">
        <w:t>7</w:t>
      </w:r>
      <w:r w:rsidRPr="00C879BD">
        <w:t>. godine.</w:t>
      </w:r>
    </w:p>
    <w:p w:rsidR="00EA58D1" w:rsidRPr="00C879BD" w:rsidRDefault="00EA58D1" w:rsidP="00AE334F">
      <w:pPr>
        <w:ind w:firstLine="708"/>
        <w:jc w:val="both"/>
        <w:rPr>
          <w:rFonts w:ascii="Times New Roman" w:hAnsi="Times New Roman"/>
        </w:rPr>
      </w:pPr>
    </w:p>
    <w:p w:rsidR="00975ED3" w:rsidRPr="00975ED3" w:rsidRDefault="00AE334F" w:rsidP="00975ED3">
      <w:pPr>
        <w:ind w:firstLine="708"/>
        <w:jc w:val="both"/>
        <w:rPr>
          <w:rFonts w:ascii="Times New Roman" w:hAnsi="Times New Roman"/>
        </w:rPr>
      </w:pPr>
      <w:r w:rsidRPr="00C879BD">
        <w:rPr>
          <w:rFonts w:ascii="Times New Roman" w:hAnsi="Times New Roman"/>
        </w:rPr>
        <w:t>Naime, u Godišnjem izvješću za 201</w:t>
      </w:r>
      <w:r w:rsidR="00480FA5" w:rsidRPr="00C879BD">
        <w:rPr>
          <w:rFonts w:ascii="Times New Roman" w:hAnsi="Times New Roman"/>
        </w:rPr>
        <w:t>8</w:t>
      </w:r>
      <w:r w:rsidRPr="00C879BD">
        <w:rPr>
          <w:rFonts w:ascii="Times New Roman" w:hAnsi="Times New Roman"/>
        </w:rPr>
        <w:t>. godinu specificirane su dozvole koje su izdane tijekom 201</w:t>
      </w:r>
      <w:r w:rsidR="00480FA5" w:rsidRPr="00C879BD">
        <w:rPr>
          <w:rFonts w:ascii="Times New Roman" w:hAnsi="Times New Roman"/>
        </w:rPr>
        <w:t>8</w:t>
      </w:r>
      <w:r w:rsidRPr="00C879BD">
        <w:rPr>
          <w:rFonts w:ascii="Times New Roman" w:hAnsi="Times New Roman"/>
        </w:rPr>
        <w:t>. godine. Isto tako, dozvole izdane tijekom 201</w:t>
      </w:r>
      <w:r w:rsidR="00480FA5" w:rsidRPr="00C879BD">
        <w:rPr>
          <w:rFonts w:ascii="Times New Roman" w:hAnsi="Times New Roman"/>
        </w:rPr>
        <w:t>7</w:t>
      </w:r>
      <w:r w:rsidRPr="00C879BD">
        <w:rPr>
          <w:rFonts w:ascii="Times New Roman" w:hAnsi="Times New Roman"/>
        </w:rPr>
        <w:t>. godine nisu sve realizirane u 201</w:t>
      </w:r>
      <w:r w:rsidR="00480FA5" w:rsidRPr="00C879BD">
        <w:rPr>
          <w:rFonts w:ascii="Times New Roman" w:hAnsi="Times New Roman"/>
        </w:rPr>
        <w:t>7</w:t>
      </w:r>
      <w:r w:rsidRPr="00C879BD">
        <w:rPr>
          <w:rFonts w:ascii="Times New Roman" w:hAnsi="Times New Roman"/>
        </w:rPr>
        <w:t>. godini nego i u 201</w:t>
      </w:r>
      <w:r w:rsidR="00480FA5" w:rsidRPr="00C879BD">
        <w:rPr>
          <w:rFonts w:ascii="Times New Roman" w:hAnsi="Times New Roman"/>
        </w:rPr>
        <w:t>8</w:t>
      </w:r>
      <w:r w:rsidRPr="00C879BD">
        <w:rPr>
          <w:rFonts w:ascii="Times New Roman" w:hAnsi="Times New Roman"/>
        </w:rPr>
        <w:t xml:space="preserve">. godini pa slijedom navedenog, svake godine u godišnjem izvješću za prošlu godinu evidentira se i realizacija po dozvolama </w:t>
      </w:r>
      <w:r w:rsidR="00975ED3" w:rsidRPr="00975ED3">
        <w:rPr>
          <w:rFonts w:ascii="Times New Roman" w:hAnsi="Times New Roman"/>
        </w:rPr>
        <w:t>iz prethodne godine koje nisu realizirane u godini u kojoj su izdane (2017. godina).</w:t>
      </w:r>
    </w:p>
    <w:p w:rsidR="00AE334F" w:rsidRPr="00C879BD" w:rsidRDefault="00AE334F" w:rsidP="00AE334F">
      <w:pPr>
        <w:ind w:firstLine="708"/>
        <w:jc w:val="both"/>
        <w:rPr>
          <w:rFonts w:ascii="Times New Roman" w:hAnsi="Times New Roman"/>
        </w:rPr>
      </w:pPr>
    </w:p>
    <w:p w:rsidR="00F43F13" w:rsidRDefault="00F43F13" w:rsidP="007F12D5">
      <w:pPr>
        <w:spacing w:line="276" w:lineRule="auto"/>
        <w:ind w:firstLine="708"/>
        <w:jc w:val="both"/>
      </w:pPr>
    </w:p>
    <w:p w:rsidR="00F43F13" w:rsidRDefault="00F43F13" w:rsidP="007F12D5">
      <w:pPr>
        <w:spacing w:line="276" w:lineRule="auto"/>
        <w:ind w:firstLine="708"/>
        <w:jc w:val="both"/>
      </w:pPr>
    </w:p>
    <w:p w:rsidR="002016EF" w:rsidRDefault="002016EF" w:rsidP="00A07961">
      <w:pPr>
        <w:spacing w:line="276" w:lineRule="auto"/>
        <w:ind w:left="2268" w:hanging="1559"/>
        <w:jc w:val="both"/>
      </w:pPr>
      <w:r w:rsidRPr="002016EF">
        <w:t xml:space="preserve">Tablica br. </w:t>
      </w:r>
      <w:r w:rsidR="00A07961">
        <w:t>4</w:t>
      </w:r>
      <w:r w:rsidRPr="002016EF">
        <w:t xml:space="preserve">. Usporedni prikaz realizacije uvoza/prijenosa robe vojne namjene i </w:t>
      </w:r>
      <w:r w:rsidR="000628BA">
        <w:t xml:space="preserve">nevojnih ubojnih </w:t>
      </w:r>
      <w:r w:rsidRPr="002016EF">
        <w:t>sr</w:t>
      </w:r>
      <w:r w:rsidR="00432487">
        <w:t>edstava za 201</w:t>
      </w:r>
      <w:r w:rsidR="00F43F13">
        <w:t>7</w:t>
      </w:r>
      <w:r w:rsidR="00432487">
        <w:t>. i 201</w:t>
      </w:r>
      <w:r w:rsidR="00F43F13">
        <w:t>8</w:t>
      </w:r>
      <w:r w:rsidR="000628BA">
        <w:t>.</w:t>
      </w:r>
      <w:r w:rsidR="00EA6D75">
        <w:t xml:space="preserve"> </w:t>
      </w:r>
      <w:r w:rsidR="000628BA">
        <w:t xml:space="preserve">godinu </w:t>
      </w:r>
      <w:r w:rsidRPr="002016EF">
        <w:t>u HRK/EUR</w:t>
      </w:r>
    </w:p>
    <w:p w:rsidR="00BC5F2A" w:rsidRDefault="00BC5F2A" w:rsidP="002016EF">
      <w:pPr>
        <w:jc w:val="both"/>
      </w:pPr>
    </w:p>
    <w:p w:rsidR="00432487" w:rsidRDefault="00432487" w:rsidP="002016EF">
      <w:pPr>
        <w:contextualSpacing/>
        <w:jc w:val="both"/>
        <w:rPr>
          <w:sz w:val="18"/>
          <w:szCs w:val="18"/>
        </w:rPr>
      </w:pP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2398"/>
        <w:gridCol w:w="1761"/>
        <w:gridCol w:w="1629"/>
        <w:gridCol w:w="1716"/>
        <w:gridCol w:w="1596"/>
      </w:tblGrid>
      <w:tr w:rsidR="00432487" w:rsidRPr="00EA6D75" w:rsidTr="005D277C">
        <w:trPr>
          <w:trHeight w:val="30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32487" w:rsidRPr="00EA6D75" w:rsidRDefault="00432487" w:rsidP="00432487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UVOZ/PRIJENOS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</w:tcPr>
          <w:p w:rsidR="00432487" w:rsidRPr="00EA6D75" w:rsidRDefault="005D277C" w:rsidP="00432487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2017.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DFEC"/>
            <w:vAlign w:val="center"/>
            <w:hideMark/>
          </w:tcPr>
          <w:p w:rsidR="00432487" w:rsidRPr="00EA6D75" w:rsidRDefault="005D277C" w:rsidP="00432487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2018.</w:t>
            </w:r>
          </w:p>
        </w:tc>
      </w:tr>
      <w:tr w:rsidR="005D277C" w:rsidRPr="00EA6D75" w:rsidTr="005D277C">
        <w:trPr>
          <w:trHeight w:val="30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7C" w:rsidRPr="00EA6D75" w:rsidRDefault="005D277C" w:rsidP="005D277C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HRK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HRK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EUR</w:t>
            </w:r>
          </w:p>
        </w:tc>
      </w:tr>
      <w:tr w:rsidR="005D277C" w:rsidRPr="00EA6D75" w:rsidTr="005D277C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7C" w:rsidRPr="00EA6D75" w:rsidRDefault="005D277C" w:rsidP="005D277C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Roba</w:t>
            </w:r>
            <w:proofErr w:type="spellEnd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vojne</w:t>
            </w:r>
            <w:proofErr w:type="spellEnd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namjene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149.806.083,98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19.921.021,81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D1769C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50.654.269,81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F83F36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6.817.532,95</w:t>
            </w:r>
          </w:p>
        </w:tc>
      </w:tr>
      <w:tr w:rsidR="005D277C" w:rsidRPr="00EA6D75" w:rsidTr="005D277C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7C" w:rsidRPr="00EA6D75" w:rsidRDefault="005D277C" w:rsidP="005D277C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Nevojna</w:t>
            </w:r>
            <w:proofErr w:type="spellEnd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ubojna</w:t>
            </w:r>
            <w:proofErr w:type="spellEnd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sredstva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47.064.092,12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6.258.522,89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49456F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56.506.071,69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49456F" w:rsidP="005D277C">
            <w:pPr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EA6D75">
              <w:rPr>
                <w:rFonts w:ascii="Times New Roman" w:eastAsia="Times New Roman" w:hAnsi="Times New Roman"/>
                <w:lang w:val="en-US"/>
              </w:rPr>
              <w:t>7.605.124,05</w:t>
            </w:r>
          </w:p>
        </w:tc>
      </w:tr>
      <w:tr w:rsidR="005D277C" w:rsidRPr="00EA6D75" w:rsidTr="005D277C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7C" w:rsidRPr="00EA6D75" w:rsidRDefault="005D277C" w:rsidP="005D277C">
            <w:pPr>
              <w:jc w:val="both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UKUPNO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196.870.176,10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5D277C" w:rsidP="005D277C">
            <w:pPr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26.179.544,70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D1769C" w:rsidP="00D1769C">
            <w:pPr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107.160.341,50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7C" w:rsidRPr="00EA6D75" w:rsidRDefault="00D1769C" w:rsidP="005D277C">
            <w:pPr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EA6D75">
              <w:rPr>
                <w:rFonts w:ascii="Times New Roman" w:eastAsia="Times New Roman" w:hAnsi="Times New Roman"/>
                <w:b/>
                <w:bCs/>
                <w:lang w:val="en-US"/>
              </w:rPr>
              <w:t>14.422.657,00</w:t>
            </w:r>
          </w:p>
        </w:tc>
      </w:tr>
    </w:tbl>
    <w:p w:rsidR="009616EC" w:rsidRDefault="009616EC" w:rsidP="002016EF">
      <w:pPr>
        <w:contextualSpacing/>
        <w:jc w:val="both"/>
        <w:rPr>
          <w:sz w:val="18"/>
          <w:szCs w:val="18"/>
        </w:rPr>
      </w:pPr>
    </w:p>
    <w:p w:rsidR="006D733D" w:rsidRPr="006D733D" w:rsidRDefault="006D733D" w:rsidP="006D733D">
      <w:pPr>
        <w:jc w:val="both"/>
        <w:rPr>
          <w:sz w:val="18"/>
          <w:szCs w:val="18"/>
        </w:rPr>
      </w:pPr>
      <w:r w:rsidRPr="006D733D">
        <w:rPr>
          <w:sz w:val="18"/>
          <w:szCs w:val="18"/>
        </w:rPr>
        <w:t>Pretvaranje valuta u HRK i EUR za realizacije u 2018. godini izvršeno je prema srednjem tečaju Hrvatske narodne banke na dan 31.12.2018. godine, a za realizacije u 2017. godini prema srednjem tečaju Hrvatske narodne banke na dan 31.12.2017. godine.</w:t>
      </w:r>
    </w:p>
    <w:p w:rsidR="00793341" w:rsidRDefault="00793341" w:rsidP="00793341">
      <w:pPr>
        <w:jc w:val="center"/>
        <w:rPr>
          <w:rFonts w:ascii="Times New Roman" w:hAnsi="Times New Roman"/>
          <w:b/>
          <w:bCs/>
        </w:rPr>
      </w:pPr>
    </w:p>
    <w:p w:rsidR="00793341" w:rsidRDefault="00793341" w:rsidP="00793341">
      <w:pPr>
        <w:jc w:val="center"/>
        <w:rPr>
          <w:rFonts w:ascii="Times New Roman" w:hAnsi="Times New Roman"/>
          <w:b/>
          <w:bCs/>
        </w:rPr>
      </w:pPr>
    </w:p>
    <w:p w:rsidR="00425C4A" w:rsidRDefault="00425C4A" w:rsidP="00793341">
      <w:pPr>
        <w:jc w:val="center"/>
        <w:rPr>
          <w:rFonts w:ascii="Times New Roman" w:hAnsi="Times New Roman"/>
          <w:b/>
          <w:bCs/>
        </w:rPr>
      </w:pPr>
    </w:p>
    <w:p w:rsidR="00425C4A" w:rsidRDefault="00425C4A" w:rsidP="00793341">
      <w:pPr>
        <w:jc w:val="center"/>
        <w:rPr>
          <w:rFonts w:ascii="Times New Roman" w:hAnsi="Times New Roman"/>
          <w:b/>
          <w:bCs/>
        </w:rPr>
      </w:pPr>
    </w:p>
    <w:p w:rsidR="00793341" w:rsidRDefault="00793341" w:rsidP="00793341">
      <w:pPr>
        <w:jc w:val="center"/>
        <w:rPr>
          <w:rFonts w:ascii="Times New Roman" w:hAnsi="Times New Roman"/>
          <w:b/>
          <w:bCs/>
        </w:rPr>
      </w:pPr>
    </w:p>
    <w:p w:rsidR="00793341" w:rsidRPr="00A705F3" w:rsidRDefault="00415C3F" w:rsidP="0079334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Graf</w:t>
      </w:r>
      <w:r w:rsidR="00726A94">
        <w:rPr>
          <w:rFonts w:ascii="Times New Roman" w:hAnsi="Times New Roman"/>
          <w:b/>
          <w:bCs/>
        </w:rPr>
        <w:t xml:space="preserve"> br. 2 -</w:t>
      </w:r>
      <w:r>
        <w:rPr>
          <w:rFonts w:ascii="Times New Roman" w:hAnsi="Times New Roman"/>
          <w:b/>
          <w:bCs/>
        </w:rPr>
        <w:t xml:space="preserve"> </w:t>
      </w:r>
      <w:r w:rsidR="00793341" w:rsidRPr="00A705F3">
        <w:rPr>
          <w:rFonts w:ascii="Times New Roman" w:hAnsi="Times New Roman"/>
          <w:b/>
          <w:bCs/>
        </w:rPr>
        <w:t>Ukupan izvoz/prijenos i uvoz/prijenos</w:t>
      </w:r>
    </w:p>
    <w:p w:rsidR="00793341" w:rsidRPr="00A705F3" w:rsidRDefault="00793341" w:rsidP="00793341">
      <w:pPr>
        <w:jc w:val="center"/>
        <w:rPr>
          <w:rFonts w:ascii="Times New Roman" w:hAnsi="Times New Roman"/>
          <w:b/>
          <w:bCs/>
        </w:rPr>
      </w:pPr>
      <w:r w:rsidRPr="00A705F3">
        <w:rPr>
          <w:rFonts w:ascii="Times New Roman" w:hAnsi="Times New Roman"/>
          <w:b/>
          <w:bCs/>
        </w:rPr>
        <w:t>robe vojne namjene i nevojnih ubojnih sredstava</w:t>
      </w:r>
    </w:p>
    <w:p w:rsidR="00793341" w:rsidRPr="00A705F3" w:rsidRDefault="00793341" w:rsidP="00793341">
      <w:pPr>
        <w:jc w:val="center"/>
        <w:rPr>
          <w:rFonts w:ascii="Times New Roman" w:hAnsi="Times New Roman"/>
          <w:b/>
          <w:bCs/>
        </w:rPr>
      </w:pPr>
      <w:r w:rsidRPr="00A705F3">
        <w:rPr>
          <w:rFonts w:ascii="Times New Roman" w:hAnsi="Times New Roman"/>
          <w:b/>
          <w:bCs/>
        </w:rPr>
        <w:t>u 2017. i 2018. godini (u milijunima kuna)</w:t>
      </w:r>
    </w:p>
    <w:p w:rsidR="00793341" w:rsidRPr="00BC5F2A" w:rsidRDefault="00793341" w:rsidP="00E96688">
      <w:pPr>
        <w:keepNext/>
        <w:spacing w:before="240" w:after="60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Cs w:val="32"/>
        </w:rPr>
      </w:pPr>
    </w:p>
    <w:p w:rsidR="00793341" w:rsidRDefault="00793341" w:rsidP="00793341">
      <w:r>
        <w:rPr>
          <w:noProof/>
          <w:lang w:eastAsia="hr-HR"/>
        </w:rPr>
        <w:drawing>
          <wp:inline distT="0" distB="0" distL="0" distR="0" wp14:anchorId="3A724903" wp14:editId="4D67D53A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16EF" w:rsidRDefault="002016EF" w:rsidP="002016EF">
      <w:pPr>
        <w:jc w:val="both"/>
        <w:rPr>
          <w:b/>
        </w:rPr>
      </w:pPr>
    </w:p>
    <w:p w:rsidR="00F512B2" w:rsidRPr="00BC5F2A" w:rsidRDefault="00F512B2" w:rsidP="007F12D5">
      <w:pPr>
        <w:keepNext/>
        <w:spacing w:before="240" w:after="60" w:line="276" w:lineRule="auto"/>
        <w:ind w:firstLine="708"/>
        <w:outlineLvl w:val="0"/>
        <w:rPr>
          <w:rFonts w:asciiTheme="majorHAnsi" w:eastAsiaTheme="majorEastAsia" w:hAnsiTheme="majorHAnsi" w:cstheme="majorBidi"/>
          <w:bCs/>
          <w:kern w:val="32"/>
          <w:szCs w:val="32"/>
        </w:rPr>
      </w:pPr>
      <w:r w:rsidRPr="00BC5F2A">
        <w:rPr>
          <w:rFonts w:asciiTheme="majorHAnsi" w:eastAsiaTheme="majorEastAsia" w:hAnsiTheme="majorHAnsi" w:cstheme="majorBidi"/>
          <w:bCs/>
          <w:kern w:val="32"/>
          <w:szCs w:val="32"/>
        </w:rPr>
        <w:t xml:space="preserve">4. ZAKLJUČAK </w:t>
      </w:r>
    </w:p>
    <w:p w:rsidR="00F512B2" w:rsidRPr="002016EF" w:rsidRDefault="00F512B2" w:rsidP="007F12D5">
      <w:pPr>
        <w:spacing w:line="276" w:lineRule="auto"/>
      </w:pPr>
    </w:p>
    <w:p w:rsidR="00F512B2" w:rsidRDefault="00851FB9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S</w:t>
      </w:r>
      <w:r w:rsidR="00F512B2">
        <w:rPr>
          <w:rFonts w:ascii="Times New Roman" w:eastAsia="Times New Roman" w:hAnsi="Times New Roman"/>
          <w:bCs/>
          <w:lang w:eastAsia="hr-HR"/>
        </w:rPr>
        <w:t>ukladno obvezi iz</w:t>
      </w:r>
      <w:r w:rsidR="00F512B2" w:rsidRPr="007763D8">
        <w:rPr>
          <w:rFonts w:ascii="Times New Roman" w:eastAsia="Times New Roman" w:hAnsi="Times New Roman"/>
          <w:lang w:eastAsia="hr-HR"/>
        </w:rPr>
        <w:t xml:space="preserve"> </w:t>
      </w:r>
      <w:r w:rsidR="00F512B2" w:rsidRPr="007763D8">
        <w:rPr>
          <w:rFonts w:ascii="Times New Roman" w:eastAsia="Times New Roman" w:hAnsi="Times New Roman"/>
          <w:bCs/>
          <w:lang w:eastAsia="hr-HR"/>
        </w:rPr>
        <w:t>članka 25</w:t>
      </w:r>
      <w:r w:rsidR="00F512B2" w:rsidRPr="007763D8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F512B2" w:rsidRPr="007763D8">
        <w:rPr>
          <w:rFonts w:ascii="Times New Roman" w:eastAsia="Times New Roman" w:hAnsi="Times New Roman"/>
          <w:bCs/>
          <w:lang w:eastAsia="hr-HR"/>
        </w:rPr>
        <w:t>stavka 2. Zakona o nadzoru prometa robe vojne namjene i nevojnih ubojnih sredstava</w:t>
      </w:r>
      <w:r w:rsidR="00F512B2">
        <w:rPr>
          <w:rFonts w:ascii="Times New Roman" w:eastAsia="Times New Roman" w:hAnsi="Times New Roman"/>
          <w:bCs/>
          <w:lang w:eastAsia="hr-HR"/>
        </w:rPr>
        <w:t xml:space="preserve"> </w:t>
      </w:r>
      <w:r w:rsidR="00F512B2" w:rsidRPr="006D5D35">
        <w:rPr>
          <w:rFonts w:ascii="Times New Roman" w:eastAsia="Times New Roman" w:hAnsi="Times New Roman"/>
          <w:bCs/>
          <w:lang w:eastAsia="hr-HR"/>
        </w:rPr>
        <w:t>(Narodne novine</w:t>
      </w:r>
      <w:r w:rsidR="009F7619">
        <w:rPr>
          <w:rFonts w:ascii="Times New Roman" w:eastAsia="Times New Roman" w:hAnsi="Times New Roman"/>
          <w:bCs/>
          <w:lang w:eastAsia="hr-HR"/>
        </w:rPr>
        <w:t>,</w:t>
      </w:r>
      <w:r w:rsidR="00F512B2" w:rsidRPr="006D5D35">
        <w:rPr>
          <w:rFonts w:ascii="Times New Roman" w:eastAsia="Times New Roman" w:hAnsi="Times New Roman"/>
          <w:bCs/>
          <w:lang w:eastAsia="hr-HR"/>
        </w:rPr>
        <w:t xml:space="preserve"> broj 80/13</w:t>
      </w:r>
      <w:r w:rsidR="00F512B2">
        <w:rPr>
          <w:rFonts w:ascii="Times New Roman" w:eastAsia="Times New Roman" w:hAnsi="Times New Roman"/>
          <w:bCs/>
          <w:lang w:eastAsia="hr-HR"/>
        </w:rPr>
        <w:t>)</w:t>
      </w:r>
      <w:r>
        <w:rPr>
          <w:rFonts w:ascii="Times New Roman" w:eastAsia="Times New Roman" w:hAnsi="Times New Roman"/>
          <w:bCs/>
          <w:lang w:eastAsia="hr-HR"/>
        </w:rPr>
        <w:t xml:space="preserve">, </w:t>
      </w:r>
      <w:r w:rsidRPr="00851FB9">
        <w:rPr>
          <w:rFonts w:ascii="Times New Roman" w:eastAsia="Times New Roman" w:hAnsi="Times New Roman"/>
          <w:bCs/>
          <w:lang w:eastAsia="hr-HR"/>
        </w:rPr>
        <w:t>Ministarstvo gospodarstva, poduzetništva i obrta je</w:t>
      </w:r>
      <w:r w:rsidR="00F512B2">
        <w:rPr>
          <w:rFonts w:ascii="Times New Roman" w:eastAsia="Times New Roman" w:hAnsi="Times New Roman"/>
          <w:bCs/>
          <w:lang w:eastAsia="hr-HR"/>
        </w:rPr>
        <w:t xml:space="preserve"> izradilo G</w:t>
      </w:r>
      <w:r w:rsidR="00F512B2" w:rsidRPr="00992A5B">
        <w:rPr>
          <w:rFonts w:ascii="Times New Roman" w:eastAsia="Times New Roman" w:hAnsi="Times New Roman"/>
          <w:bCs/>
          <w:lang w:eastAsia="hr-HR"/>
        </w:rPr>
        <w:t>odišnje izvješće</w:t>
      </w:r>
      <w:r w:rsidR="00F512B2">
        <w:rPr>
          <w:rFonts w:ascii="Times New Roman" w:eastAsia="Times New Roman" w:hAnsi="Times New Roman"/>
          <w:bCs/>
          <w:lang w:eastAsia="hr-HR"/>
        </w:rPr>
        <w:t xml:space="preserve"> </w:t>
      </w:r>
      <w:r w:rsidR="00F512B2" w:rsidRPr="00992A5B">
        <w:rPr>
          <w:rFonts w:ascii="Times New Roman" w:eastAsia="Times New Roman" w:hAnsi="Times New Roman"/>
          <w:lang w:eastAsia="hr-HR"/>
        </w:rPr>
        <w:t>o izvozu i uvozu robe vojne namjene i nevojnih ubojnih sredsta</w:t>
      </w:r>
      <w:r w:rsidR="00F512B2">
        <w:rPr>
          <w:rFonts w:ascii="Times New Roman" w:eastAsia="Times New Roman" w:hAnsi="Times New Roman"/>
          <w:lang w:eastAsia="hr-HR"/>
        </w:rPr>
        <w:t>va za komercijalne svrhe za 201</w:t>
      </w:r>
      <w:r w:rsidR="00581985">
        <w:rPr>
          <w:rFonts w:ascii="Times New Roman" w:eastAsia="Times New Roman" w:hAnsi="Times New Roman"/>
          <w:lang w:eastAsia="hr-HR"/>
        </w:rPr>
        <w:t>8</w:t>
      </w:r>
      <w:r w:rsidR="00F512B2" w:rsidRPr="00992A5B">
        <w:rPr>
          <w:rFonts w:ascii="Times New Roman" w:eastAsia="Times New Roman" w:hAnsi="Times New Roman"/>
          <w:lang w:eastAsia="hr-HR"/>
        </w:rPr>
        <w:t xml:space="preserve">. </w:t>
      </w:r>
      <w:r w:rsidR="00F512B2">
        <w:rPr>
          <w:rFonts w:ascii="Times New Roman" w:eastAsia="Times New Roman" w:hAnsi="Times New Roman"/>
          <w:lang w:eastAsia="hr-HR"/>
        </w:rPr>
        <w:t>g</w:t>
      </w:r>
      <w:r w:rsidR="00F512B2" w:rsidRPr="00992A5B">
        <w:rPr>
          <w:rFonts w:ascii="Times New Roman" w:eastAsia="Times New Roman" w:hAnsi="Times New Roman"/>
          <w:lang w:eastAsia="hr-HR"/>
        </w:rPr>
        <w:t>odinu</w:t>
      </w:r>
      <w:r w:rsidR="00F512B2">
        <w:rPr>
          <w:rFonts w:ascii="Times New Roman" w:eastAsia="Times New Roman" w:hAnsi="Times New Roman"/>
          <w:lang w:eastAsia="hr-HR"/>
        </w:rPr>
        <w:t xml:space="preserve"> te ga je dostavilo </w:t>
      </w:r>
      <w:r w:rsidR="00F512B2" w:rsidRPr="007763D8">
        <w:rPr>
          <w:rFonts w:ascii="Times New Roman" w:eastAsia="Times New Roman" w:hAnsi="Times New Roman"/>
          <w:bCs/>
          <w:lang w:eastAsia="hr-HR"/>
        </w:rPr>
        <w:t>Vladi Republike Hrvatske</w:t>
      </w:r>
      <w:r w:rsidR="00F512B2">
        <w:rPr>
          <w:rFonts w:ascii="Times New Roman" w:eastAsia="Times New Roman" w:hAnsi="Times New Roman"/>
          <w:bCs/>
          <w:lang w:eastAsia="hr-HR"/>
        </w:rPr>
        <w:t xml:space="preserve"> na usvajanje</w:t>
      </w:r>
      <w:r w:rsidR="00765353">
        <w:rPr>
          <w:rFonts w:ascii="Times New Roman" w:eastAsia="Times New Roman" w:hAnsi="Times New Roman"/>
          <w:bCs/>
          <w:lang w:eastAsia="hr-HR"/>
        </w:rPr>
        <w:t>.</w:t>
      </w:r>
    </w:p>
    <w:p w:rsidR="007D3DE5" w:rsidRDefault="007D3DE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7D3DE5" w:rsidRDefault="007D3DE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U 2018. godini Ministarstvo </w:t>
      </w:r>
      <w:r w:rsidRPr="007D3DE5">
        <w:rPr>
          <w:rFonts w:ascii="Times New Roman" w:eastAsia="Times New Roman" w:hAnsi="Times New Roman"/>
          <w:bCs/>
          <w:lang w:eastAsia="hr-HR"/>
        </w:rPr>
        <w:t>gospodarstva, poduzetništva i obrta</w:t>
      </w:r>
      <w:r>
        <w:rPr>
          <w:rFonts w:ascii="Times New Roman" w:eastAsia="Times New Roman" w:hAnsi="Times New Roman"/>
          <w:bCs/>
          <w:lang w:eastAsia="hr-HR"/>
        </w:rPr>
        <w:t xml:space="preserve"> izdalo je ukupno 1071 dozvolu za uvoz, izvoz i prijenos robe vojne namjene i nevojnih ubojnih sredstava.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581985" w:rsidRDefault="0058198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 2018. godini ukupna vrijednost izvoza robe vojne namjene i nevojnih ubojnih sredstava iznosi 1.002.609.160,37 HRK odnosno 134.940.667,61 EUR. Ukupna vrijednost uvoza </w:t>
      </w:r>
      <w:r w:rsidRPr="00581985">
        <w:rPr>
          <w:rFonts w:ascii="Times New Roman" w:eastAsia="Times New Roman" w:hAnsi="Times New Roman"/>
          <w:lang w:eastAsia="hr-HR"/>
        </w:rPr>
        <w:t>robe vojne namjene i nevojnih ubojnih sredstava</w:t>
      </w:r>
      <w:r>
        <w:rPr>
          <w:rFonts w:ascii="Times New Roman" w:eastAsia="Times New Roman" w:hAnsi="Times New Roman"/>
          <w:lang w:eastAsia="hr-HR"/>
        </w:rPr>
        <w:t xml:space="preserve"> u 2018. godini iznosila je 107.160.341,50 HRK odnosno 14.442.657,00 EUR.</w:t>
      </w:r>
    </w:p>
    <w:p w:rsidR="00581985" w:rsidRDefault="0058198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581985" w:rsidRPr="00FB013A" w:rsidRDefault="007D3DE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Slijedom financijskih pokazatelja, </w:t>
      </w:r>
      <w:r w:rsidR="00581985">
        <w:rPr>
          <w:rFonts w:ascii="Times New Roman" w:eastAsia="Times New Roman" w:hAnsi="Times New Roman"/>
          <w:lang w:eastAsia="hr-HR"/>
        </w:rPr>
        <w:t>gospodarski subjekti</w:t>
      </w:r>
      <w:r>
        <w:rPr>
          <w:rFonts w:ascii="Times New Roman" w:eastAsia="Times New Roman" w:hAnsi="Times New Roman"/>
          <w:lang w:eastAsia="hr-HR"/>
        </w:rPr>
        <w:t xml:space="preserve"> su u 2018. godini</w:t>
      </w:r>
      <w:r w:rsidR="00581985">
        <w:rPr>
          <w:rFonts w:ascii="Times New Roman" w:eastAsia="Times New Roman" w:hAnsi="Times New Roman"/>
          <w:lang w:eastAsia="hr-HR"/>
        </w:rPr>
        <w:t>, u promet</w:t>
      </w:r>
      <w:r>
        <w:rPr>
          <w:rFonts w:ascii="Times New Roman" w:eastAsia="Times New Roman" w:hAnsi="Times New Roman"/>
          <w:lang w:eastAsia="hr-HR"/>
        </w:rPr>
        <w:t>u robom vojne namjene i nevojnim</w:t>
      </w:r>
      <w:r w:rsidR="00581985">
        <w:rPr>
          <w:rFonts w:ascii="Times New Roman" w:eastAsia="Times New Roman" w:hAnsi="Times New Roman"/>
          <w:lang w:eastAsia="hr-HR"/>
        </w:rPr>
        <w:t xml:space="preserve"> ubojni</w:t>
      </w:r>
      <w:r>
        <w:rPr>
          <w:rFonts w:ascii="Times New Roman" w:eastAsia="Times New Roman" w:hAnsi="Times New Roman"/>
          <w:lang w:eastAsia="hr-HR"/>
        </w:rPr>
        <w:t>m sredstvima</w:t>
      </w:r>
      <w:r w:rsidR="00581985">
        <w:rPr>
          <w:rFonts w:ascii="Times New Roman" w:eastAsia="Times New Roman" w:hAnsi="Times New Roman"/>
          <w:lang w:eastAsia="hr-HR"/>
        </w:rPr>
        <w:t xml:space="preserve">, ostvarili suficit u iznosu </w:t>
      </w:r>
      <w:r w:rsidR="00A73C1F">
        <w:rPr>
          <w:rFonts w:ascii="Times New Roman" w:eastAsia="Times New Roman" w:hAnsi="Times New Roman"/>
          <w:lang w:eastAsia="hr-HR"/>
        </w:rPr>
        <w:t>nešto manjem od</w:t>
      </w:r>
      <w:r w:rsidR="00BB697C">
        <w:rPr>
          <w:rFonts w:ascii="Times New Roman" w:eastAsia="Times New Roman" w:hAnsi="Times New Roman"/>
          <w:color w:val="FF0000"/>
          <w:lang w:eastAsia="hr-HR"/>
        </w:rPr>
        <w:t xml:space="preserve"> </w:t>
      </w:r>
      <w:r w:rsidR="00BB697C" w:rsidRPr="00A73C1F">
        <w:rPr>
          <w:rFonts w:ascii="Times New Roman" w:eastAsia="Times New Roman" w:hAnsi="Times New Roman"/>
          <w:lang w:eastAsia="hr-HR"/>
        </w:rPr>
        <w:t xml:space="preserve">900 milijuna </w:t>
      </w:r>
      <w:r w:rsidR="00A73C1F" w:rsidRPr="00A73C1F">
        <w:rPr>
          <w:rFonts w:ascii="Times New Roman" w:eastAsia="Times New Roman" w:hAnsi="Times New Roman"/>
          <w:lang w:eastAsia="hr-HR"/>
        </w:rPr>
        <w:t>HRK</w:t>
      </w:r>
      <w:r w:rsidR="00BB697C" w:rsidRPr="00A73C1F">
        <w:rPr>
          <w:rFonts w:ascii="Times New Roman" w:eastAsia="Times New Roman" w:hAnsi="Times New Roman"/>
          <w:lang w:eastAsia="hr-HR"/>
        </w:rPr>
        <w:t xml:space="preserve"> (120 milijuna </w:t>
      </w:r>
      <w:r w:rsidR="00A73C1F" w:rsidRPr="00A73C1F">
        <w:rPr>
          <w:rFonts w:ascii="Times New Roman" w:eastAsia="Times New Roman" w:hAnsi="Times New Roman"/>
          <w:lang w:eastAsia="hr-HR"/>
        </w:rPr>
        <w:t>EUR</w:t>
      </w:r>
      <w:r w:rsidR="00BB697C" w:rsidRPr="00A73C1F">
        <w:rPr>
          <w:rFonts w:ascii="Times New Roman" w:eastAsia="Times New Roman" w:hAnsi="Times New Roman"/>
          <w:lang w:eastAsia="hr-HR"/>
        </w:rPr>
        <w:t>).</w:t>
      </w:r>
      <w:r w:rsidR="00A73C1F">
        <w:rPr>
          <w:rFonts w:ascii="Times New Roman" w:eastAsia="Times New Roman" w:hAnsi="Times New Roman"/>
          <w:lang w:eastAsia="hr-HR"/>
        </w:rPr>
        <w:t xml:space="preserve"> </w:t>
      </w:r>
      <w:r w:rsidR="00A73C1F" w:rsidRPr="00A73C1F">
        <w:rPr>
          <w:rFonts w:ascii="Times New Roman" w:eastAsia="Times New Roman" w:hAnsi="Times New Roman"/>
          <w:lang w:eastAsia="hr-HR"/>
        </w:rPr>
        <w:t>Naročito je</w:t>
      </w:r>
      <w:r w:rsidR="00614B77" w:rsidRPr="00A73C1F">
        <w:rPr>
          <w:rFonts w:ascii="Times New Roman" w:eastAsia="Times New Roman" w:hAnsi="Times New Roman"/>
          <w:lang w:eastAsia="hr-HR"/>
        </w:rPr>
        <w:t xml:space="preserve"> </w:t>
      </w:r>
      <w:r w:rsidR="00A73C1F" w:rsidRPr="00A73C1F">
        <w:rPr>
          <w:rFonts w:ascii="Times New Roman" w:eastAsia="Times New Roman" w:hAnsi="Times New Roman"/>
          <w:lang w:eastAsia="hr-HR"/>
        </w:rPr>
        <w:t>važno da je</w:t>
      </w:r>
      <w:r w:rsidR="00614B77" w:rsidRPr="00A73C1F">
        <w:rPr>
          <w:rFonts w:ascii="Times New Roman" w:eastAsia="Times New Roman" w:hAnsi="Times New Roman"/>
          <w:lang w:eastAsia="hr-HR"/>
        </w:rPr>
        <w:t xml:space="preserve"> izvezena roba u najvećem dijelu hrvatske proizvodnje.</w:t>
      </w:r>
    </w:p>
    <w:p w:rsidR="00581985" w:rsidRDefault="00581985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F512B2" w:rsidRDefault="000732F2" w:rsidP="007F12D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hr-HR"/>
        </w:rPr>
        <w:t>Osim financijskih pokazatelja, c</w:t>
      </w:r>
      <w:r w:rsidR="00F512B2" w:rsidRPr="00992A5B">
        <w:rPr>
          <w:rFonts w:ascii="Times New Roman" w:eastAsia="Times New Roman" w:hAnsi="Times New Roman"/>
          <w:bCs/>
          <w:lang w:eastAsia="hr-HR"/>
        </w:rPr>
        <w:t>ilj ovoga</w:t>
      </w:r>
      <w:r w:rsidR="00F512B2">
        <w:rPr>
          <w:rFonts w:ascii="Times New Roman" w:eastAsia="Times New Roman" w:hAnsi="Times New Roman"/>
          <w:lang w:eastAsia="hr-HR"/>
        </w:rPr>
        <w:t xml:space="preserve"> izvješća je</w:t>
      </w:r>
      <w:r w:rsidR="00851FB9">
        <w:rPr>
          <w:rFonts w:ascii="Times New Roman" w:eastAsia="Times New Roman" w:hAnsi="Times New Roman"/>
          <w:lang w:eastAsia="hr-HR"/>
        </w:rPr>
        <w:t>st</w:t>
      </w:r>
      <w:r w:rsidR="00F512B2">
        <w:rPr>
          <w:rFonts w:ascii="Times New Roman" w:eastAsia="Times New Roman" w:hAnsi="Times New Roman"/>
          <w:lang w:eastAsia="hr-HR"/>
        </w:rPr>
        <w:t xml:space="preserve"> da se na</w:t>
      </w:r>
      <w:r w:rsidR="00F512B2" w:rsidRPr="009B2AF9">
        <w:rPr>
          <w:rFonts w:ascii="Times New Roman" w:hAnsi="Times New Roman"/>
        </w:rPr>
        <w:t xml:space="preserve"> </w:t>
      </w:r>
      <w:r w:rsidR="00F512B2">
        <w:rPr>
          <w:rFonts w:ascii="Times New Roman" w:hAnsi="Times New Roman"/>
        </w:rPr>
        <w:t xml:space="preserve">transparentan način informira javnost </w:t>
      </w:r>
      <w:r w:rsidR="00F512B2" w:rsidRPr="001D7EB0">
        <w:rPr>
          <w:rFonts w:ascii="Times New Roman" w:hAnsi="Times New Roman"/>
        </w:rPr>
        <w:t>o činjenicama od značaja za nacionalnu sigurnost, vanjsku politiku i gospodar</w:t>
      </w:r>
      <w:r w:rsidR="00F512B2">
        <w:rPr>
          <w:rFonts w:ascii="Times New Roman" w:hAnsi="Times New Roman"/>
        </w:rPr>
        <w:t xml:space="preserve">ske interese Republike Hrvatske te da se unaprijedi </w:t>
      </w:r>
      <w:r w:rsidR="00F512B2" w:rsidRPr="006D5D35">
        <w:rPr>
          <w:rFonts w:ascii="Times New Roman" w:hAnsi="Times New Roman"/>
        </w:rPr>
        <w:t>sustav kontrole izvoza i uvoza robe vojne namjene i nevojnih ubojnih sredstava za komercijalne svrhe</w:t>
      </w:r>
      <w:r w:rsidR="00F512B2">
        <w:rPr>
          <w:rFonts w:ascii="Times New Roman" w:hAnsi="Times New Roman"/>
        </w:rPr>
        <w:t>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F512B2" w:rsidRDefault="00F512B2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Godišnje izvješće za 201</w:t>
      </w:r>
      <w:r w:rsidR="00581985">
        <w:rPr>
          <w:rFonts w:ascii="Times New Roman" w:eastAsia="Times New Roman" w:hAnsi="Times New Roman"/>
          <w:bCs/>
          <w:lang w:eastAsia="hr-HR"/>
        </w:rPr>
        <w:t>8</w:t>
      </w:r>
      <w:r>
        <w:rPr>
          <w:rFonts w:ascii="Times New Roman" w:eastAsia="Times New Roman" w:hAnsi="Times New Roman"/>
          <w:bCs/>
          <w:lang w:eastAsia="hr-HR"/>
        </w:rPr>
        <w:t>. godinu bit će objavljeno na internetskoj stranici Ministarstva gosp</w:t>
      </w:r>
      <w:r w:rsidR="005968C4">
        <w:rPr>
          <w:rFonts w:ascii="Times New Roman" w:eastAsia="Times New Roman" w:hAnsi="Times New Roman"/>
          <w:bCs/>
          <w:lang w:eastAsia="hr-HR"/>
        </w:rPr>
        <w:t>odarstva, poduzetništva i obrta</w:t>
      </w:r>
      <w:r>
        <w:rPr>
          <w:rFonts w:ascii="Times New Roman" w:eastAsia="Times New Roman" w:hAnsi="Times New Roman"/>
          <w:bCs/>
          <w:lang w:eastAsia="hr-HR"/>
        </w:rPr>
        <w:t>.</w:t>
      </w:r>
    </w:p>
    <w:p w:rsidR="002A2DA6" w:rsidRDefault="002A2DA6" w:rsidP="007F12D5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F512B2" w:rsidRPr="00F66369" w:rsidRDefault="00F512B2" w:rsidP="007F12D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hr-HR"/>
        </w:rPr>
        <w:t xml:space="preserve">Godišnja izvješća </w:t>
      </w:r>
      <w:r w:rsidRPr="00352FA3">
        <w:rPr>
          <w:rFonts w:ascii="Times New Roman" w:eastAsia="Times New Roman" w:hAnsi="Times New Roman"/>
          <w:bCs/>
          <w:lang w:eastAsia="hr-HR"/>
        </w:rPr>
        <w:t>o izvozu i uvozu robe vojne namjene i nevojnih ubojnih sredstava za komercijalne svrhe</w:t>
      </w:r>
      <w:r>
        <w:rPr>
          <w:rFonts w:ascii="Times New Roman" w:eastAsia="Times New Roman" w:hAnsi="Times New Roman"/>
          <w:bCs/>
          <w:lang w:eastAsia="hr-HR"/>
        </w:rPr>
        <w:t xml:space="preserve"> objavljuju</w:t>
      </w:r>
      <w:r w:rsidR="00851FB9">
        <w:rPr>
          <w:rFonts w:ascii="Times New Roman" w:eastAsia="Times New Roman" w:hAnsi="Times New Roman"/>
          <w:bCs/>
          <w:lang w:eastAsia="hr-HR"/>
        </w:rPr>
        <w:t xml:space="preserve"> </w:t>
      </w:r>
      <w:r w:rsidR="00851FB9" w:rsidRPr="00851FB9">
        <w:rPr>
          <w:rFonts w:ascii="Times New Roman" w:eastAsia="Times New Roman" w:hAnsi="Times New Roman"/>
          <w:bCs/>
          <w:lang w:eastAsia="hr-HR"/>
        </w:rPr>
        <w:t>se</w:t>
      </w:r>
      <w:r>
        <w:rPr>
          <w:rFonts w:ascii="Times New Roman" w:eastAsia="Times New Roman" w:hAnsi="Times New Roman"/>
          <w:bCs/>
          <w:lang w:eastAsia="hr-HR"/>
        </w:rPr>
        <w:t xml:space="preserve"> bez povjerljivih podataka, odnosno imena tvrtki i pojedinačnih financijskih pokazatelja te drugih </w:t>
      </w:r>
      <w:r w:rsidR="00970E75">
        <w:rPr>
          <w:rFonts w:ascii="Times New Roman" w:eastAsia="Times New Roman" w:hAnsi="Times New Roman"/>
          <w:bCs/>
          <w:lang w:eastAsia="hr-HR"/>
        </w:rPr>
        <w:t xml:space="preserve">povjerljivih </w:t>
      </w:r>
      <w:r>
        <w:rPr>
          <w:rFonts w:ascii="Times New Roman" w:eastAsia="Times New Roman" w:hAnsi="Times New Roman"/>
          <w:bCs/>
          <w:lang w:eastAsia="hr-HR"/>
        </w:rPr>
        <w:t>podataka</w:t>
      </w:r>
      <w:r w:rsidR="00970E75">
        <w:rPr>
          <w:rFonts w:ascii="Times New Roman" w:eastAsia="Times New Roman" w:hAnsi="Times New Roman"/>
          <w:bCs/>
          <w:lang w:eastAsia="hr-HR"/>
        </w:rPr>
        <w:t>.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</w:p>
    <w:p w:rsidR="00F512B2" w:rsidRDefault="00F512B2" w:rsidP="007F12D5">
      <w:pPr>
        <w:spacing w:before="200" w:after="200" w:line="276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:rsidR="00F512B2" w:rsidRPr="002016EF" w:rsidRDefault="00F512B2" w:rsidP="002016EF">
      <w:pPr>
        <w:jc w:val="both"/>
        <w:rPr>
          <w:b/>
        </w:rPr>
      </w:pPr>
    </w:p>
    <w:sectPr w:rsidR="00F512B2" w:rsidRPr="002016EF" w:rsidSect="008213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3" w:rsidRDefault="00F75E83" w:rsidP="0037000A">
      <w:r>
        <w:separator/>
      </w:r>
    </w:p>
  </w:endnote>
  <w:endnote w:type="continuationSeparator" w:id="0">
    <w:p w:rsidR="00F75E83" w:rsidRDefault="00F75E83" w:rsidP="003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5937"/>
      <w:docPartObj>
        <w:docPartGallery w:val="Page Numbers (Bottom of Page)"/>
        <w:docPartUnique/>
      </w:docPartObj>
    </w:sdtPr>
    <w:sdtEndPr/>
    <w:sdtContent>
      <w:p w:rsidR="002016EF" w:rsidRDefault="002016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B4">
          <w:rPr>
            <w:noProof/>
          </w:rPr>
          <w:t>8</w:t>
        </w:r>
        <w:r>
          <w:fldChar w:fldCharType="end"/>
        </w:r>
      </w:p>
    </w:sdtContent>
  </w:sdt>
  <w:p w:rsidR="002016EF" w:rsidRDefault="002016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3" w:rsidRDefault="00F75E83" w:rsidP="0037000A">
      <w:r>
        <w:separator/>
      </w:r>
    </w:p>
  </w:footnote>
  <w:footnote w:type="continuationSeparator" w:id="0">
    <w:p w:rsidR="00F75E83" w:rsidRDefault="00F75E83" w:rsidP="0037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7F"/>
    <w:multiLevelType w:val="hybridMultilevel"/>
    <w:tmpl w:val="80D87856"/>
    <w:lvl w:ilvl="0" w:tplc="13F85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657"/>
    <w:multiLevelType w:val="multilevel"/>
    <w:tmpl w:val="770468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E79FD"/>
    <w:multiLevelType w:val="hybridMultilevel"/>
    <w:tmpl w:val="28B65246"/>
    <w:lvl w:ilvl="0" w:tplc="3A36AC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140"/>
    <w:multiLevelType w:val="hybridMultilevel"/>
    <w:tmpl w:val="A40E2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8CC"/>
    <w:multiLevelType w:val="hybridMultilevel"/>
    <w:tmpl w:val="B48E5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54A"/>
    <w:multiLevelType w:val="hybridMultilevel"/>
    <w:tmpl w:val="E314205C"/>
    <w:lvl w:ilvl="0" w:tplc="EB5CE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4F2E18"/>
    <w:multiLevelType w:val="multilevel"/>
    <w:tmpl w:val="1E8C6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DF1E75"/>
    <w:multiLevelType w:val="hybridMultilevel"/>
    <w:tmpl w:val="53E28C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69C2"/>
    <w:multiLevelType w:val="hybridMultilevel"/>
    <w:tmpl w:val="24B0DCBC"/>
    <w:lvl w:ilvl="0" w:tplc="69D0DCD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5BC5"/>
    <w:multiLevelType w:val="hybridMultilevel"/>
    <w:tmpl w:val="1BAE6B66"/>
    <w:lvl w:ilvl="0" w:tplc="A19C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E7B53"/>
    <w:multiLevelType w:val="hybridMultilevel"/>
    <w:tmpl w:val="021C57B4"/>
    <w:lvl w:ilvl="0" w:tplc="FCF8741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61D6"/>
    <w:multiLevelType w:val="hybridMultilevel"/>
    <w:tmpl w:val="3A1215EE"/>
    <w:lvl w:ilvl="0" w:tplc="91923B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7739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F"/>
    <w:rsid w:val="00001A27"/>
    <w:rsid w:val="000040C7"/>
    <w:rsid w:val="00023F48"/>
    <w:rsid w:val="000358B6"/>
    <w:rsid w:val="00037500"/>
    <w:rsid w:val="0004179B"/>
    <w:rsid w:val="00041E0C"/>
    <w:rsid w:val="000452F1"/>
    <w:rsid w:val="00050E30"/>
    <w:rsid w:val="000510F3"/>
    <w:rsid w:val="0005631B"/>
    <w:rsid w:val="0006188E"/>
    <w:rsid w:val="000628BA"/>
    <w:rsid w:val="00064652"/>
    <w:rsid w:val="00066808"/>
    <w:rsid w:val="00071B23"/>
    <w:rsid w:val="0007217F"/>
    <w:rsid w:val="00072DB8"/>
    <w:rsid w:val="000732F2"/>
    <w:rsid w:val="00077101"/>
    <w:rsid w:val="00081457"/>
    <w:rsid w:val="00085C6D"/>
    <w:rsid w:val="00095258"/>
    <w:rsid w:val="000A1165"/>
    <w:rsid w:val="000A654B"/>
    <w:rsid w:val="000A76A9"/>
    <w:rsid w:val="000B2A97"/>
    <w:rsid w:val="000B5607"/>
    <w:rsid w:val="000C2331"/>
    <w:rsid w:val="000C2B75"/>
    <w:rsid w:val="000C4FB4"/>
    <w:rsid w:val="000C5C7B"/>
    <w:rsid w:val="000C7D29"/>
    <w:rsid w:val="000D017C"/>
    <w:rsid w:val="000D2FB6"/>
    <w:rsid w:val="000D3C46"/>
    <w:rsid w:val="000E0587"/>
    <w:rsid w:val="000E0C61"/>
    <w:rsid w:val="000E26E6"/>
    <w:rsid w:val="000E2E2B"/>
    <w:rsid w:val="000E35AD"/>
    <w:rsid w:val="000E3707"/>
    <w:rsid w:val="0010045D"/>
    <w:rsid w:val="00102CF0"/>
    <w:rsid w:val="0010321A"/>
    <w:rsid w:val="001046E2"/>
    <w:rsid w:val="00111D15"/>
    <w:rsid w:val="00116034"/>
    <w:rsid w:val="00117250"/>
    <w:rsid w:val="001211D0"/>
    <w:rsid w:val="00123978"/>
    <w:rsid w:val="001460FC"/>
    <w:rsid w:val="001515E2"/>
    <w:rsid w:val="00153362"/>
    <w:rsid w:val="0015388E"/>
    <w:rsid w:val="00153F01"/>
    <w:rsid w:val="00155C9C"/>
    <w:rsid w:val="0015661D"/>
    <w:rsid w:val="001569B1"/>
    <w:rsid w:val="00162BD5"/>
    <w:rsid w:val="00164733"/>
    <w:rsid w:val="00170DD6"/>
    <w:rsid w:val="001716B0"/>
    <w:rsid w:val="001750B8"/>
    <w:rsid w:val="0017564F"/>
    <w:rsid w:val="001836EE"/>
    <w:rsid w:val="00185176"/>
    <w:rsid w:val="00185B03"/>
    <w:rsid w:val="00193E98"/>
    <w:rsid w:val="001A7CC9"/>
    <w:rsid w:val="001B0893"/>
    <w:rsid w:val="001B1C7C"/>
    <w:rsid w:val="001B353D"/>
    <w:rsid w:val="001B612E"/>
    <w:rsid w:val="001B66DE"/>
    <w:rsid w:val="001C0312"/>
    <w:rsid w:val="001C69F2"/>
    <w:rsid w:val="001D5296"/>
    <w:rsid w:val="001D63B7"/>
    <w:rsid w:val="001E49A7"/>
    <w:rsid w:val="001F647A"/>
    <w:rsid w:val="002016EF"/>
    <w:rsid w:val="002065BC"/>
    <w:rsid w:val="002075F4"/>
    <w:rsid w:val="0021095F"/>
    <w:rsid w:val="00216EB0"/>
    <w:rsid w:val="002206C6"/>
    <w:rsid w:val="00220DF1"/>
    <w:rsid w:val="0022385C"/>
    <w:rsid w:val="002317FA"/>
    <w:rsid w:val="00236E3F"/>
    <w:rsid w:val="00241FE1"/>
    <w:rsid w:val="00250B6D"/>
    <w:rsid w:val="00252C87"/>
    <w:rsid w:val="00255371"/>
    <w:rsid w:val="002666DC"/>
    <w:rsid w:val="00272391"/>
    <w:rsid w:val="00273745"/>
    <w:rsid w:val="002741C5"/>
    <w:rsid w:val="002742EF"/>
    <w:rsid w:val="002753EC"/>
    <w:rsid w:val="002772B8"/>
    <w:rsid w:val="00280B04"/>
    <w:rsid w:val="00285AA3"/>
    <w:rsid w:val="00290D26"/>
    <w:rsid w:val="002A06E4"/>
    <w:rsid w:val="002A0F07"/>
    <w:rsid w:val="002A2DA6"/>
    <w:rsid w:val="002A31E6"/>
    <w:rsid w:val="002A5A9E"/>
    <w:rsid w:val="002A77ED"/>
    <w:rsid w:val="002B25B0"/>
    <w:rsid w:val="002B46E8"/>
    <w:rsid w:val="002B6BDC"/>
    <w:rsid w:val="002B735D"/>
    <w:rsid w:val="002B736E"/>
    <w:rsid w:val="002B739F"/>
    <w:rsid w:val="002B770D"/>
    <w:rsid w:val="002C7237"/>
    <w:rsid w:val="002D40DF"/>
    <w:rsid w:val="002E257B"/>
    <w:rsid w:val="002E35E5"/>
    <w:rsid w:val="002E4C08"/>
    <w:rsid w:val="002F5289"/>
    <w:rsid w:val="00302515"/>
    <w:rsid w:val="00302EAC"/>
    <w:rsid w:val="00303BFB"/>
    <w:rsid w:val="00312D48"/>
    <w:rsid w:val="00314625"/>
    <w:rsid w:val="003220D8"/>
    <w:rsid w:val="0033031D"/>
    <w:rsid w:val="00336E35"/>
    <w:rsid w:val="00340C59"/>
    <w:rsid w:val="0034303B"/>
    <w:rsid w:val="00344DB6"/>
    <w:rsid w:val="003473C7"/>
    <w:rsid w:val="00347760"/>
    <w:rsid w:val="00347A1D"/>
    <w:rsid w:val="003500BC"/>
    <w:rsid w:val="0035205E"/>
    <w:rsid w:val="00352FA3"/>
    <w:rsid w:val="0035551E"/>
    <w:rsid w:val="003557BB"/>
    <w:rsid w:val="003600D6"/>
    <w:rsid w:val="00362D86"/>
    <w:rsid w:val="0036419E"/>
    <w:rsid w:val="00365B65"/>
    <w:rsid w:val="00366646"/>
    <w:rsid w:val="0037000A"/>
    <w:rsid w:val="00371248"/>
    <w:rsid w:val="003758DD"/>
    <w:rsid w:val="00377BF2"/>
    <w:rsid w:val="003904AE"/>
    <w:rsid w:val="00396383"/>
    <w:rsid w:val="00397E5B"/>
    <w:rsid w:val="003A199F"/>
    <w:rsid w:val="003B538B"/>
    <w:rsid w:val="003C0279"/>
    <w:rsid w:val="003C0AAD"/>
    <w:rsid w:val="003C0EFC"/>
    <w:rsid w:val="003C1500"/>
    <w:rsid w:val="003C33DF"/>
    <w:rsid w:val="003D0715"/>
    <w:rsid w:val="003D1644"/>
    <w:rsid w:val="003D254D"/>
    <w:rsid w:val="003D5752"/>
    <w:rsid w:val="003D6893"/>
    <w:rsid w:val="003D7049"/>
    <w:rsid w:val="003E2706"/>
    <w:rsid w:val="003F5F92"/>
    <w:rsid w:val="004022F8"/>
    <w:rsid w:val="004031E8"/>
    <w:rsid w:val="0040470F"/>
    <w:rsid w:val="00414E5D"/>
    <w:rsid w:val="00415C3F"/>
    <w:rsid w:val="00424AF5"/>
    <w:rsid w:val="00424CAF"/>
    <w:rsid w:val="00425513"/>
    <w:rsid w:val="00425C4A"/>
    <w:rsid w:val="00430050"/>
    <w:rsid w:val="00432487"/>
    <w:rsid w:val="00442320"/>
    <w:rsid w:val="0044337A"/>
    <w:rsid w:val="0044384D"/>
    <w:rsid w:val="00447AA6"/>
    <w:rsid w:val="00456CDB"/>
    <w:rsid w:val="00457520"/>
    <w:rsid w:val="0046024D"/>
    <w:rsid w:val="00461087"/>
    <w:rsid w:val="00461FDC"/>
    <w:rsid w:val="00462684"/>
    <w:rsid w:val="004630C9"/>
    <w:rsid w:val="004645BE"/>
    <w:rsid w:val="004645F2"/>
    <w:rsid w:val="00464B0C"/>
    <w:rsid w:val="0047297F"/>
    <w:rsid w:val="00480FA5"/>
    <w:rsid w:val="00483944"/>
    <w:rsid w:val="00492BB2"/>
    <w:rsid w:val="0049456F"/>
    <w:rsid w:val="00494DA1"/>
    <w:rsid w:val="004A07FB"/>
    <w:rsid w:val="004A0C54"/>
    <w:rsid w:val="004A281C"/>
    <w:rsid w:val="004A7495"/>
    <w:rsid w:val="004A762F"/>
    <w:rsid w:val="004B28E3"/>
    <w:rsid w:val="004C2BFE"/>
    <w:rsid w:val="004C69EF"/>
    <w:rsid w:val="004E32FE"/>
    <w:rsid w:val="004E5ECC"/>
    <w:rsid w:val="004E63FB"/>
    <w:rsid w:val="004E6BA3"/>
    <w:rsid w:val="00504961"/>
    <w:rsid w:val="0050559E"/>
    <w:rsid w:val="00513CD8"/>
    <w:rsid w:val="00515F4A"/>
    <w:rsid w:val="005162E8"/>
    <w:rsid w:val="00517866"/>
    <w:rsid w:val="00517A83"/>
    <w:rsid w:val="00520B77"/>
    <w:rsid w:val="00524260"/>
    <w:rsid w:val="00524C42"/>
    <w:rsid w:val="005252BB"/>
    <w:rsid w:val="00531892"/>
    <w:rsid w:val="00531ADD"/>
    <w:rsid w:val="00533C9C"/>
    <w:rsid w:val="005378EA"/>
    <w:rsid w:val="0054257E"/>
    <w:rsid w:val="005474A7"/>
    <w:rsid w:val="005514C5"/>
    <w:rsid w:val="00551E92"/>
    <w:rsid w:val="00552DB7"/>
    <w:rsid w:val="005551BA"/>
    <w:rsid w:val="00556085"/>
    <w:rsid w:val="0057294B"/>
    <w:rsid w:val="00574444"/>
    <w:rsid w:val="005757C8"/>
    <w:rsid w:val="00581985"/>
    <w:rsid w:val="00592F95"/>
    <w:rsid w:val="005968C4"/>
    <w:rsid w:val="005A0A9C"/>
    <w:rsid w:val="005C16A3"/>
    <w:rsid w:val="005C2A4A"/>
    <w:rsid w:val="005C309A"/>
    <w:rsid w:val="005D01A9"/>
    <w:rsid w:val="005D0ED5"/>
    <w:rsid w:val="005D21A7"/>
    <w:rsid w:val="005D277C"/>
    <w:rsid w:val="005D43C4"/>
    <w:rsid w:val="005D4AA5"/>
    <w:rsid w:val="005D60D0"/>
    <w:rsid w:val="005E3209"/>
    <w:rsid w:val="005E55C1"/>
    <w:rsid w:val="005E7208"/>
    <w:rsid w:val="005E79A1"/>
    <w:rsid w:val="005F0FE0"/>
    <w:rsid w:val="005F1497"/>
    <w:rsid w:val="005F24F2"/>
    <w:rsid w:val="005F516F"/>
    <w:rsid w:val="00607FD5"/>
    <w:rsid w:val="0061028E"/>
    <w:rsid w:val="00610959"/>
    <w:rsid w:val="00611FFB"/>
    <w:rsid w:val="006131E1"/>
    <w:rsid w:val="00614B77"/>
    <w:rsid w:val="00614BE2"/>
    <w:rsid w:val="006159A7"/>
    <w:rsid w:val="00615EAA"/>
    <w:rsid w:val="00621DCD"/>
    <w:rsid w:val="00642229"/>
    <w:rsid w:val="00645385"/>
    <w:rsid w:val="0065073D"/>
    <w:rsid w:val="00651EE0"/>
    <w:rsid w:val="00653985"/>
    <w:rsid w:val="00653B8E"/>
    <w:rsid w:val="00653FCA"/>
    <w:rsid w:val="006603B4"/>
    <w:rsid w:val="00662894"/>
    <w:rsid w:val="006717DD"/>
    <w:rsid w:val="00677212"/>
    <w:rsid w:val="006915EC"/>
    <w:rsid w:val="00692C6B"/>
    <w:rsid w:val="006B4243"/>
    <w:rsid w:val="006B5DC6"/>
    <w:rsid w:val="006C344F"/>
    <w:rsid w:val="006C35EE"/>
    <w:rsid w:val="006C7C04"/>
    <w:rsid w:val="006D3EA0"/>
    <w:rsid w:val="006D5D35"/>
    <w:rsid w:val="006D5DA5"/>
    <w:rsid w:val="006D733D"/>
    <w:rsid w:val="006E010E"/>
    <w:rsid w:val="006E3538"/>
    <w:rsid w:val="006F0C1F"/>
    <w:rsid w:val="006F6F75"/>
    <w:rsid w:val="006F7FE9"/>
    <w:rsid w:val="007046DD"/>
    <w:rsid w:val="00706ADC"/>
    <w:rsid w:val="00707449"/>
    <w:rsid w:val="00710E33"/>
    <w:rsid w:val="007205F4"/>
    <w:rsid w:val="00722D66"/>
    <w:rsid w:val="00723F94"/>
    <w:rsid w:val="00726A94"/>
    <w:rsid w:val="00730C22"/>
    <w:rsid w:val="0073416D"/>
    <w:rsid w:val="00735120"/>
    <w:rsid w:val="00740553"/>
    <w:rsid w:val="00741839"/>
    <w:rsid w:val="00742B7D"/>
    <w:rsid w:val="007455D2"/>
    <w:rsid w:val="007546CE"/>
    <w:rsid w:val="007552EB"/>
    <w:rsid w:val="007601BA"/>
    <w:rsid w:val="007623EE"/>
    <w:rsid w:val="00765353"/>
    <w:rsid w:val="00766F11"/>
    <w:rsid w:val="00770AF7"/>
    <w:rsid w:val="007748A4"/>
    <w:rsid w:val="00775BD0"/>
    <w:rsid w:val="00775F45"/>
    <w:rsid w:val="007763D8"/>
    <w:rsid w:val="00776A79"/>
    <w:rsid w:val="00781C35"/>
    <w:rsid w:val="00783341"/>
    <w:rsid w:val="0078605B"/>
    <w:rsid w:val="00787B03"/>
    <w:rsid w:val="00790D38"/>
    <w:rsid w:val="00793341"/>
    <w:rsid w:val="00795BC1"/>
    <w:rsid w:val="007A01E2"/>
    <w:rsid w:val="007B1327"/>
    <w:rsid w:val="007C48E9"/>
    <w:rsid w:val="007D3DE5"/>
    <w:rsid w:val="007E0E4F"/>
    <w:rsid w:val="007E2136"/>
    <w:rsid w:val="007E3600"/>
    <w:rsid w:val="007E4883"/>
    <w:rsid w:val="007E7D8A"/>
    <w:rsid w:val="007F12D5"/>
    <w:rsid w:val="007F7358"/>
    <w:rsid w:val="00800113"/>
    <w:rsid w:val="00800413"/>
    <w:rsid w:val="00801896"/>
    <w:rsid w:val="0080285C"/>
    <w:rsid w:val="00804E99"/>
    <w:rsid w:val="00805CB3"/>
    <w:rsid w:val="0081249D"/>
    <w:rsid w:val="00815608"/>
    <w:rsid w:val="00820247"/>
    <w:rsid w:val="00821350"/>
    <w:rsid w:val="00826300"/>
    <w:rsid w:val="00827128"/>
    <w:rsid w:val="00831253"/>
    <w:rsid w:val="008407B1"/>
    <w:rsid w:val="008435E3"/>
    <w:rsid w:val="00851FB9"/>
    <w:rsid w:val="0085200C"/>
    <w:rsid w:val="00853D21"/>
    <w:rsid w:val="0085637B"/>
    <w:rsid w:val="008568E4"/>
    <w:rsid w:val="00857E5C"/>
    <w:rsid w:val="00865445"/>
    <w:rsid w:val="00865908"/>
    <w:rsid w:val="0086664A"/>
    <w:rsid w:val="00867962"/>
    <w:rsid w:val="008754FB"/>
    <w:rsid w:val="0088153B"/>
    <w:rsid w:val="00882149"/>
    <w:rsid w:val="008832B2"/>
    <w:rsid w:val="00887177"/>
    <w:rsid w:val="00895500"/>
    <w:rsid w:val="008969C8"/>
    <w:rsid w:val="008B305F"/>
    <w:rsid w:val="008B6A9F"/>
    <w:rsid w:val="008D170E"/>
    <w:rsid w:val="008D191B"/>
    <w:rsid w:val="008D3A37"/>
    <w:rsid w:val="008D45F1"/>
    <w:rsid w:val="008E1136"/>
    <w:rsid w:val="008E33FF"/>
    <w:rsid w:val="008E4223"/>
    <w:rsid w:val="008E4D11"/>
    <w:rsid w:val="008F115A"/>
    <w:rsid w:val="008F364B"/>
    <w:rsid w:val="00906EB9"/>
    <w:rsid w:val="009077CD"/>
    <w:rsid w:val="00910911"/>
    <w:rsid w:val="00911A41"/>
    <w:rsid w:val="00912981"/>
    <w:rsid w:val="00914180"/>
    <w:rsid w:val="009151A9"/>
    <w:rsid w:val="00916638"/>
    <w:rsid w:val="00942FB9"/>
    <w:rsid w:val="0094380F"/>
    <w:rsid w:val="009518C4"/>
    <w:rsid w:val="009616EC"/>
    <w:rsid w:val="00963BBB"/>
    <w:rsid w:val="00964E30"/>
    <w:rsid w:val="00970E75"/>
    <w:rsid w:val="009735CD"/>
    <w:rsid w:val="00975ED3"/>
    <w:rsid w:val="00982E81"/>
    <w:rsid w:val="009839C9"/>
    <w:rsid w:val="009879A8"/>
    <w:rsid w:val="0099015B"/>
    <w:rsid w:val="00991EA4"/>
    <w:rsid w:val="00992A5B"/>
    <w:rsid w:val="009975C6"/>
    <w:rsid w:val="009A03CE"/>
    <w:rsid w:val="009A1F5C"/>
    <w:rsid w:val="009A478C"/>
    <w:rsid w:val="009A554B"/>
    <w:rsid w:val="009B2869"/>
    <w:rsid w:val="009B328F"/>
    <w:rsid w:val="009B5136"/>
    <w:rsid w:val="009B7B93"/>
    <w:rsid w:val="009C13A9"/>
    <w:rsid w:val="009C41BE"/>
    <w:rsid w:val="009C48A4"/>
    <w:rsid w:val="009D467E"/>
    <w:rsid w:val="009D499D"/>
    <w:rsid w:val="009D4AC9"/>
    <w:rsid w:val="009E5B99"/>
    <w:rsid w:val="009F5276"/>
    <w:rsid w:val="009F7619"/>
    <w:rsid w:val="00A07961"/>
    <w:rsid w:val="00A11D18"/>
    <w:rsid w:val="00A1779F"/>
    <w:rsid w:val="00A2061F"/>
    <w:rsid w:val="00A25A02"/>
    <w:rsid w:val="00A25E85"/>
    <w:rsid w:val="00A2752D"/>
    <w:rsid w:val="00A33ED4"/>
    <w:rsid w:val="00A350FD"/>
    <w:rsid w:val="00A41C3F"/>
    <w:rsid w:val="00A46AF6"/>
    <w:rsid w:val="00A6199D"/>
    <w:rsid w:val="00A638C8"/>
    <w:rsid w:val="00A6749A"/>
    <w:rsid w:val="00A70A06"/>
    <w:rsid w:val="00A73C1F"/>
    <w:rsid w:val="00A7799F"/>
    <w:rsid w:val="00A96034"/>
    <w:rsid w:val="00A96748"/>
    <w:rsid w:val="00A9722F"/>
    <w:rsid w:val="00A974C8"/>
    <w:rsid w:val="00AA75BC"/>
    <w:rsid w:val="00AB238A"/>
    <w:rsid w:val="00AB2937"/>
    <w:rsid w:val="00AB55B2"/>
    <w:rsid w:val="00AC080F"/>
    <w:rsid w:val="00AD3A23"/>
    <w:rsid w:val="00AD4BFD"/>
    <w:rsid w:val="00AD5959"/>
    <w:rsid w:val="00AD7A3B"/>
    <w:rsid w:val="00AE170F"/>
    <w:rsid w:val="00AE285F"/>
    <w:rsid w:val="00AE334F"/>
    <w:rsid w:val="00AF50F3"/>
    <w:rsid w:val="00B00376"/>
    <w:rsid w:val="00B00444"/>
    <w:rsid w:val="00B04C83"/>
    <w:rsid w:val="00B10F01"/>
    <w:rsid w:val="00B13FC8"/>
    <w:rsid w:val="00B1481A"/>
    <w:rsid w:val="00B14A03"/>
    <w:rsid w:val="00B156D6"/>
    <w:rsid w:val="00B17DA6"/>
    <w:rsid w:val="00B20191"/>
    <w:rsid w:val="00B22810"/>
    <w:rsid w:val="00B32ECD"/>
    <w:rsid w:val="00B33DEE"/>
    <w:rsid w:val="00B341D9"/>
    <w:rsid w:val="00B40339"/>
    <w:rsid w:val="00B409E2"/>
    <w:rsid w:val="00B45274"/>
    <w:rsid w:val="00B52E87"/>
    <w:rsid w:val="00B55BF5"/>
    <w:rsid w:val="00B572DB"/>
    <w:rsid w:val="00B575D7"/>
    <w:rsid w:val="00B61CCC"/>
    <w:rsid w:val="00B63055"/>
    <w:rsid w:val="00B64511"/>
    <w:rsid w:val="00B67941"/>
    <w:rsid w:val="00B82D7E"/>
    <w:rsid w:val="00B8507B"/>
    <w:rsid w:val="00B85B1B"/>
    <w:rsid w:val="00B92D21"/>
    <w:rsid w:val="00B93F90"/>
    <w:rsid w:val="00B95EBB"/>
    <w:rsid w:val="00BA04FE"/>
    <w:rsid w:val="00BA110F"/>
    <w:rsid w:val="00BA1B6B"/>
    <w:rsid w:val="00BA2629"/>
    <w:rsid w:val="00BA7143"/>
    <w:rsid w:val="00BA76DA"/>
    <w:rsid w:val="00BB266D"/>
    <w:rsid w:val="00BB4181"/>
    <w:rsid w:val="00BB697C"/>
    <w:rsid w:val="00BB77D7"/>
    <w:rsid w:val="00BC335C"/>
    <w:rsid w:val="00BC5F2A"/>
    <w:rsid w:val="00BC7E03"/>
    <w:rsid w:val="00BD748E"/>
    <w:rsid w:val="00BE13C5"/>
    <w:rsid w:val="00BE7790"/>
    <w:rsid w:val="00BF3103"/>
    <w:rsid w:val="00BF689A"/>
    <w:rsid w:val="00C03CE5"/>
    <w:rsid w:val="00C04010"/>
    <w:rsid w:val="00C065DD"/>
    <w:rsid w:val="00C1099D"/>
    <w:rsid w:val="00C10B16"/>
    <w:rsid w:val="00C2174B"/>
    <w:rsid w:val="00C23095"/>
    <w:rsid w:val="00C27809"/>
    <w:rsid w:val="00C27E4F"/>
    <w:rsid w:val="00C3336B"/>
    <w:rsid w:val="00C3442B"/>
    <w:rsid w:val="00C3720C"/>
    <w:rsid w:val="00C43132"/>
    <w:rsid w:val="00C56C53"/>
    <w:rsid w:val="00C610A2"/>
    <w:rsid w:val="00C62FB5"/>
    <w:rsid w:val="00C65703"/>
    <w:rsid w:val="00C7354F"/>
    <w:rsid w:val="00C736F0"/>
    <w:rsid w:val="00C810A7"/>
    <w:rsid w:val="00C81CEF"/>
    <w:rsid w:val="00C87841"/>
    <w:rsid w:val="00C879BD"/>
    <w:rsid w:val="00C90A4B"/>
    <w:rsid w:val="00C9167C"/>
    <w:rsid w:val="00C943FE"/>
    <w:rsid w:val="00C952FA"/>
    <w:rsid w:val="00CA0174"/>
    <w:rsid w:val="00CB5D42"/>
    <w:rsid w:val="00CC0DA5"/>
    <w:rsid w:val="00CC1B7E"/>
    <w:rsid w:val="00CD27A8"/>
    <w:rsid w:val="00CD7C4F"/>
    <w:rsid w:val="00CE0E37"/>
    <w:rsid w:val="00D03F70"/>
    <w:rsid w:val="00D111FD"/>
    <w:rsid w:val="00D12782"/>
    <w:rsid w:val="00D15823"/>
    <w:rsid w:val="00D16AA5"/>
    <w:rsid w:val="00D1769C"/>
    <w:rsid w:val="00D234BC"/>
    <w:rsid w:val="00D3166F"/>
    <w:rsid w:val="00D34AFD"/>
    <w:rsid w:val="00D36B6D"/>
    <w:rsid w:val="00D41533"/>
    <w:rsid w:val="00D46DA9"/>
    <w:rsid w:val="00D505B7"/>
    <w:rsid w:val="00D55527"/>
    <w:rsid w:val="00D60898"/>
    <w:rsid w:val="00D668C7"/>
    <w:rsid w:val="00D67CA9"/>
    <w:rsid w:val="00D703C9"/>
    <w:rsid w:val="00D73CB9"/>
    <w:rsid w:val="00D73E6F"/>
    <w:rsid w:val="00D7578A"/>
    <w:rsid w:val="00D7652C"/>
    <w:rsid w:val="00D817E0"/>
    <w:rsid w:val="00D86A06"/>
    <w:rsid w:val="00D928EE"/>
    <w:rsid w:val="00D94159"/>
    <w:rsid w:val="00DA0029"/>
    <w:rsid w:val="00DA0171"/>
    <w:rsid w:val="00DA1054"/>
    <w:rsid w:val="00DB1239"/>
    <w:rsid w:val="00DB6093"/>
    <w:rsid w:val="00DC2447"/>
    <w:rsid w:val="00DE3B42"/>
    <w:rsid w:val="00DE5417"/>
    <w:rsid w:val="00DF02B8"/>
    <w:rsid w:val="00DF08E7"/>
    <w:rsid w:val="00E03459"/>
    <w:rsid w:val="00E05BC0"/>
    <w:rsid w:val="00E20808"/>
    <w:rsid w:val="00E23E3B"/>
    <w:rsid w:val="00E320D2"/>
    <w:rsid w:val="00E3578E"/>
    <w:rsid w:val="00E37321"/>
    <w:rsid w:val="00E41DC7"/>
    <w:rsid w:val="00E443BD"/>
    <w:rsid w:val="00E55D71"/>
    <w:rsid w:val="00E56858"/>
    <w:rsid w:val="00E609FA"/>
    <w:rsid w:val="00E61A87"/>
    <w:rsid w:val="00E62EC9"/>
    <w:rsid w:val="00E64B6B"/>
    <w:rsid w:val="00E6683E"/>
    <w:rsid w:val="00E66CD0"/>
    <w:rsid w:val="00E67AD5"/>
    <w:rsid w:val="00E74805"/>
    <w:rsid w:val="00E814DD"/>
    <w:rsid w:val="00E840EE"/>
    <w:rsid w:val="00E84C49"/>
    <w:rsid w:val="00E860A3"/>
    <w:rsid w:val="00E86E1F"/>
    <w:rsid w:val="00E912ED"/>
    <w:rsid w:val="00E91C14"/>
    <w:rsid w:val="00E94FB7"/>
    <w:rsid w:val="00E96688"/>
    <w:rsid w:val="00EA0A68"/>
    <w:rsid w:val="00EA2E66"/>
    <w:rsid w:val="00EA58D1"/>
    <w:rsid w:val="00EA669C"/>
    <w:rsid w:val="00EA6D75"/>
    <w:rsid w:val="00EB1F8A"/>
    <w:rsid w:val="00EB2236"/>
    <w:rsid w:val="00EB4289"/>
    <w:rsid w:val="00EC1916"/>
    <w:rsid w:val="00EC2E78"/>
    <w:rsid w:val="00ED215D"/>
    <w:rsid w:val="00ED3C17"/>
    <w:rsid w:val="00ED4BDB"/>
    <w:rsid w:val="00EE112A"/>
    <w:rsid w:val="00EE2CB7"/>
    <w:rsid w:val="00EF487F"/>
    <w:rsid w:val="00EF6556"/>
    <w:rsid w:val="00EF6B37"/>
    <w:rsid w:val="00F0079F"/>
    <w:rsid w:val="00F039BE"/>
    <w:rsid w:val="00F07A09"/>
    <w:rsid w:val="00F10599"/>
    <w:rsid w:val="00F135B8"/>
    <w:rsid w:val="00F1486F"/>
    <w:rsid w:val="00F17E55"/>
    <w:rsid w:val="00F202DB"/>
    <w:rsid w:val="00F21DDF"/>
    <w:rsid w:val="00F21E99"/>
    <w:rsid w:val="00F2333E"/>
    <w:rsid w:val="00F30DEB"/>
    <w:rsid w:val="00F33DF5"/>
    <w:rsid w:val="00F34755"/>
    <w:rsid w:val="00F37D31"/>
    <w:rsid w:val="00F40024"/>
    <w:rsid w:val="00F40EAA"/>
    <w:rsid w:val="00F40EAE"/>
    <w:rsid w:val="00F43C25"/>
    <w:rsid w:val="00F43F13"/>
    <w:rsid w:val="00F5087C"/>
    <w:rsid w:val="00F512B2"/>
    <w:rsid w:val="00F5170B"/>
    <w:rsid w:val="00F521E8"/>
    <w:rsid w:val="00F567FE"/>
    <w:rsid w:val="00F6329B"/>
    <w:rsid w:val="00F63931"/>
    <w:rsid w:val="00F66369"/>
    <w:rsid w:val="00F7083B"/>
    <w:rsid w:val="00F73C75"/>
    <w:rsid w:val="00F75E83"/>
    <w:rsid w:val="00F7637E"/>
    <w:rsid w:val="00F802B2"/>
    <w:rsid w:val="00F81B95"/>
    <w:rsid w:val="00F83F36"/>
    <w:rsid w:val="00F86223"/>
    <w:rsid w:val="00F92B37"/>
    <w:rsid w:val="00FA1EC7"/>
    <w:rsid w:val="00FA291B"/>
    <w:rsid w:val="00FA2F14"/>
    <w:rsid w:val="00FA3CD8"/>
    <w:rsid w:val="00FA6F8B"/>
    <w:rsid w:val="00FB013A"/>
    <w:rsid w:val="00FB5578"/>
    <w:rsid w:val="00FB7C18"/>
    <w:rsid w:val="00FE128C"/>
    <w:rsid w:val="00FE480D"/>
    <w:rsid w:val="00FF58F7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538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6DC"/>
    <w:pPr>
      <w:keepNext/>
      <w:ind w:left="851" w:hanging="425"/>
      <w:jc w:val="both"/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C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C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C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C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C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38"/>
    <w:rPr>
      <w:rFonts w:asciiTheme="majorHAnsi" w:eastAsiaTheme="majorEastAsia" w:hAnsiTheme="majorHAnsi" w:cstheme="majorBidi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6DC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C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C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C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C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C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C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111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11FD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1C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CEF"/>
    <w:rPr>
      <w:b/>
      <w:bCs/>
    </w:rPr>
  </w:style>
  <w:style w:type="character" w:styleId="Emphasis">
    <w:name w:val="Emphasis"/>
    <w:basedOn w:val="DefaultParagraphFont"/>
    <w:uiPriority w:val="20"/>
    <w:qFormat/>
    <w:rsid w:val="00C81C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CE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7578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81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C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EF"/>
    <w:rPr>
      <w:b/>
      <w:i/>
      <w:sz w:val="24"/>
    </w:rPr>
  </w:style>
  <w:style w:type="character" w:styleId="SubtleEmphasis">
    <w:name w:val="Subtle Emphasis"/>
    <w:uiPriority w:val="19"/>
    <w:qFormat/>
    <w:rsid w:val="00C81C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C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C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C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C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CE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7578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000A"/>
  </w:style>
  <w:style w:type="character" w:styleId="Hyperlink">
    <w:name w:val="Hyperlink"/>
    <w:basedOn w:val="DefaultParagraphFont"/>
    <w:uiPriority w:val="99"/>
    <w:unhideWhenUsed/>
    <w:rsid w:val="00BC335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538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6DC"/>
    <w:pPr>
      <w:keepNext/>
      <w:ind w:left="851" w:hanging="425"/>
      <w:jc w:val="both"/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C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C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C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C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C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38"/>
    <w:rPr>
      <w:rFonts w:asciiTheme="majorHAnsi" w:eastAsiaTheme="majorEastAsia" w:hAnsiTheme="majorHAnsi" w:cstheme="majorBidi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6DC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C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C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C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C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C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C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111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11FD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1C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CEF"/>
    <w:rPr>
      <w:b/>
      <w:bCs/>
    </w:rPr>
  </w:style>
  <w:style w:type="character" w:styleId="Emphasis">
    <w:name w:val="Emphasis"/>
    <w:basedOn w:val="DefaultParagraphFont"/>
    <w:uiPriority w:val="20"/>
    <w:qFormat/>
    <w:rsid w:val="00C81C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CE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7578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81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C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EF"/>
    <w:rPr>
      <w:b/>
      <w:i/>
      <w:sz w:val="24"/>
    </w:rPr>
  </w:style>
  <w:style w:type="character" w:styleId="SubtleEmphasis">
    <w:name w:val="Subtle Emphasis"/>
    <w:uiPriority w:val="19"/>
    <w:qFormat/>
    <w:rsid w:val="00C81C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C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C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C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C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CE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7578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000A"/>
  </w:style>
  <w:style w:type="character" w:styleId="Hyperlink">
    <w:name w:val="Hyperlink"/>
    <w:basedOn w:val="DefaultParagraphFont"/>
    <w:uiPriority w:val="99"/>
    <w:unhideWhenUsed/>
    <w:rsid w:val="00BC335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ingo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2017. godina    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                        2017. godina            2018. godina                                                     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2-462F-9480-C5E27CB55C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     2018. godina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                        2017. godina            2018. godina                                                     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2-462F-9480-C5E27CB55C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                        2017. godina            2018. godina                                                      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2-462F-9480-C5E27CB55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-30"/>
        <c:axId val="48368256"/>
        <c:axId val="48378240"/>
      </c:barChart>
      <c:catAx>
        <c:axId val="4836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48378240"/>
        <c:crosses val="autoZero"/>
        <c:auto val="1"/>
        <c:lblAlgn val="ctr"/>
        <c:lblOffset val="100"/>
        <c:tickLblSkip val="1"/>
        <c:noMultiLvlLbl val="0"/>
      </c:catAx>
      <c:valAx>
        <c:axId val="4837824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368256"/>
        <c:crosses val="autoZero"/>
        <c:crossBetween val="between"/>
      </c:valAx>
    </c:plotArea>
    <c:plotVisOnly val="1"/>
    <c:dispBlanksAs val="gap"/>
    <c:showDLblsOverMax val="0"/>
  </c:chart>
  <c:spPr>
    <a:pattFill prst="pct5">
      <a:fgClr>
        <a:srgbClr val="002060"/>
      </a:fgClr>
      <a:bgClr>
        <a:schemeClr val="bg1"/>
      </a:bgClr>
    </a:patt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2017. godina</c:v>
                </c:pt>
                <c:pt idx="1">
                  <c:v>2018. godina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1040.8699999999999</c:v>
                </c:pt>
                <c:pt idx="1">
                  <c:v>1002.61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7B-4C0D-B2E6-85404A0839E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Uvoz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2017. godina</c:v>
                </c:pt>
                <c:pt idx="1">
                  <c:v>2018. godina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196.87</c:v>
                </c:pt>
                <c:pt idx="1">
                  <c:v>107.16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7B-4C0D-B2E6-85404A0839E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2017. godina</c:v>
                </c:pt>
                <c:pt idx="1">
                  <c:v>2018. godina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7B-4C0D-B2E6-85404A083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68992"/>
        <c:axId val="49274880"/>
      </c:barChart>
      <c:catAx>
        <c:axId val="492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274880"/>
        <c:crosses val="autoZero"/>
        <c:auto val="1"/>
        <c:lblAlgn val="ctr"/>
        <c:lblOffset val="100"/>
        <c:noMultiLvlLbl val="0"/>
      </c:catAx>
      <c:valAx>
        <c:axId val="4927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26899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vor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E468-F448-4CFA-A29C-4B9ADEE6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Krpan</dc:creator>
  <cp:lastModifiedBy>Tomislav Curman</cp:lastModifiedBy>
  <cp:revision>2</cp:revision>
  <cp:lastPrinted>2019-06-04T07:12:00Z</cp:lastPrinted>
  <dcterms:created xsi:type="dcterms:W3CDTF">2019-07-18T13:07:00Z</dcterms:created>
  <dcterms:modified xsi:type="dcterms:W3CDTF">2019-07-18T13:07:00Z</dcterms:modified>
</cp:coreProperties>
</file>